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7"/>
        <w:spacing w:line="560" w:lineRule="exact"/>
        <w:ind w:right="0" w:rightChars="0"/>
        <w:jc w:val="left"/>
        <w:textAlignment w:val="baseline"/>
        <w:rPr>
          <w:rFonts w:hint="eastAsia" w:ascii="黑体" w:hAnsi="黑体" w:eastAsia="黑体" w:cs="黑体"/>
          <w:b w:val="0"/>
          <w:bCs w:val="0"/>
          <w:sz w:val="32"/>
          <w:szCs w:val="32"/>
        </w:rPr>
      </w:pPr>
      <w:bookmarkStart w:id="7" w:name="_GoBack"/>
      <w:bookmarkEnd w:id="7"/>
      <w:bookmarkStart w:id="0" w:name="Content"/>
      <w:r>
        <w:rPr>
          <w:rFonts w:hint="eastAsia" w:ascii="黑体" w:hAnsi="黑体" w:eastAsia="黑体" w:cs="黑体"/>
          <w:b w:val="0"/>
          <w:bCs w:val="0"/>
          <w:sz w:val="32"/>
          <w:szCs w:val="32"/>
        </w:rPr>
        <w:t>附件</w:t>
      </w:r>
    </w:p>
    <w:p>
      <w:pPr>
        <w:pStyle w:val="17"/>
        <w:spacing w:line="560" w:lineRule="exact"/>
        <w:ind w:right="0" w:rightChars="0"/>
        <w:jc w:val="left"/>
        <w:textAlignment w:val="baseline"/>
        <w:rPr>
          <w:rFonts w:hint="eastAsia" w:ascii="黑体" w:hAnsi="黑体" w:eastAsia="黑体" w:cs="黑体"/>
          <w:b w:val="0"/>
          <w:bCs w:val="0"/>
          <w:sz w:val="32"/>
          <w:szCs w:val="32"/>
        </w:rPr>
      </w:pPr>
    </w:p>
    <w:p>
      <w:pPr>
        <w:pStyle w:val="17"/>
        <w:spacing w:line="560" w:lineRule="exact"/>
        <w:ind w:right="0" w:rightChars="0"/>
        <w:textAlignment w:val="baseline"/>
        <w:rPr>
          <w:rFonts w:ascii="宋体" w:hAnsi="宋体" w:cs="Arial"/>
          <w:b/>
          <w:bCs/>
          <w:sz w:val="44"/>
          <w:szCs w:val="44"/>
        </w:rPr>
      </w:pPr>
      <w:r>
        <w:rPr>
          <w:rFonts w:hint="eastAsia" w:ascii="宋体" w:hAnsi="宋体" w:cs="Arial"/>
          <w:b/>
          <w:bCs/>
          <w:sz w:val="44"/>
          <w:szCs w:val="44"/>
        </w:rPr>
        <w:t>全国银行间同业拆借中心境外机构投资者</w:t>
      </w:r>
    </w:p>
    <w:p>
      <w:pPr>
        <w:pStyle w:val="17"/>
        <w:spacing w:line="560" w:lineRule="exact"/>
        <w:ind w:right="0" w:rightChars="0"/>
        <w:textAlignment w:val="baseline"/>
        <w:rPr>
          <w:rFonts w:ascii="宋体" w:hAnsi="宋体" w:cs="Arial"/>
          <w:b/>
          <w:bCs/>
          <w:sz w:val="44"/>
          <w:szCs w:val="44"/>
        </w:rPr>
      </w:pPr>
      <w:r>
        <w:rPr>
          <w:rFonts w:hint="eastAsia" w:ascii="宋体" w:hAnsi="宋体" w:cs="Arial"/>
          <w:b/>
          <w:bCs/>
          <w:sz w:val="44"/>
          <w:szCs w:val="44"/>
        </w:rPr>
        <w:t>银行间债券市场债券回购交易细则</w:t>
      </w:r>
    </w:p>
    <w:p>
      <w:pPr>
        <w:pStyle w:val="17"/>
        <w:spacing w:line="560" w:lineRule="exact"/>
        <w:ind w:right="374"/>
        <w:textAlignment w:val="baseline"/>
        <w:rPr>
          <w:rFonts w:hint="eastAsia" w:ascii="仿宋_GB2312" w:hAnsi="Arial" w:eastAsia="仿宋_GB2312" w:cs="Arial"/>
          <w:b/>
          <w:bCs/>
          <w:sz w:val="44"/>
          <w:szCs w:val="44"/>
        </w:rPr>
      </w:pPr>
    </w:p>
    <w:p>
      <w:pPr>
        <w:pStyle w:val="18"/>
        <w:spacing w:line="560" w:lineRule="exact"/>
        <w:ind w:left="0" w:leftChars="0" w:right="0" w:rightChars="0"/>
        <w:jc w:val="center"/>
        <w:textAlignment w:val="baseline"/>
        <w:rPr>
          <w:rFonts w:ascii="黑体" w:hAnsi="黑体" w:eastAsia="黑体" w:cs="宋体"/>
          <w:b w:val="0"/>
          <w:bCs w:val="0"/>
          <w:color w:val="000000"/>
          <w:sz w:val="32"/>
          <w:szCs w:val="32"/>
        </w:rPr>
      </w:pPr>
      <w:r>
        <w:rPr>
          <w:rFonts w:ascii="黑体" w:hAnsi="黑体" w:eastAsia="黑体" w:cs="宋体"/>
          <w:b w:val="0"/>
          <w:bCs w:val="0"/>
          <w:color w:val="000000"/>
          <w:sz w:val="32"/>
          <w:szCs w:val="32"/>
        </w:rPr>
        <w:t>第一章　总 则</w:t>
      </w:r>
    </w:p>
    <w:p>
      <w:pPr>
        <w:pStyle w:val="19"/>
        <w:spacing w:line="560" w:lineRule="exact"/>
        <w:ind w:firstLine="643" w:firstLineChars="200"/>
        <w:rPr>
          <w:rFonts w:ascii="仿宋_GB2312" w:hAnsi="宋体" w:eastAsia="仿宋_GB2312" w:cs="宋体"/>
          <w:color w:val="000000"/>
          <w:sz w:val="32"/>
          <w:szCs w:val="32"/>
        </w:rPr>
      </w:pPr>
      <w:r>
        <w:rPr>
          <w:rFonts w:hint="eastAsia" w:ascii="仿宋_GB2312" w:hAnsi="宋体" w:eastAsia="仿宋_GB2312" w:cs="宋体"/>
          <w:b/>
          <w:bCs/>
          <w:color w:val="000000"/>
          <w:sz w:val="32"/>
          <w:szCs w:val="32"/>
        </w:rPr>
        <w:t>第一条</w:t>
      </w:r>
      <w:r>
        <w:rPr>
          <w:rFonts w:ascii="仿宋_GB2312" w:hAnsi="宋体" w:eastAsia="仿宋_GB2312" w:cs="宋体"/>
          <w:b/>
          <w:bCs/>
          <w:color w:val="000000"/>
          <w:sz w:val="32"/>
          <w:szCs w:val="32"/>
        </w:rPr>
        <w:t xml:space="preserve"> </w:t>
      </w:r>
      <w:r>
        <w:rPr>
          <w:rFonts w:hint="eastAsia" w:ascii="仿宋_GB2312" w:hAnsi="宋体" w:eastAsia="仿宋_GB2312" w:cs="宋体"/>
          <w:color w:val="000000"/>
          <w:sz w:val="32"/>
          <w:szCs w:val="32"/>
        </w:rPr>
        <w:t>为支持境外机构投资者规范、有序开展银行间债券市场债券回购业务，促进市场健康发展，全国银行间同业拆借中心（</w:t>
      </w:r>
      <w:r>
        <w:rPr>
          <w:rFonts w:ascii="仿宋_GB2312" w:eastAsia="仿宋_GB2312"/>
          <w:sz w:val="32"/>
          <w:szCs w:val="32"/>
        </w:rPr>
        <w:t>以下</w:t>
      </w:r>
      <w:r>
        <w:rPr>
          <w:rFonts w:ascii="仿宋_GB2312" w:eastAsia="仿宋_GB2312"/>
          <w:sz w:val="32"/>
          <w:szCs w:val="32"/>
          <w:highlight w:val="none"/>
        </w:rPr>
        <w:t>简称</w:t>
      </w:r>
      <w:r>
        <w:rPr>
          <w:rFonts w:hint="eastAsia" w:ascii="仿宋_GB2312" w:hAnsi="宋体" w:eastAsia="仿宋_GB2312" w:cs="宋体"/>
          <w:color w:val="000000"/>
          <w:sz w:val="32"/>
          <w:szCs w:val="32"/>
          <w:highlight w:val="none"/>
        </w:rPr>
        <w:t>同业拆借中心）根据《关于进一步支持境外机构投资者在中国债券市场开展债券回购业务的公告》（中国人民银行</w:t>
      </w:r>
      <w:r>
        <w:rPr>
          <w:rFonts w:hint="default" w:ascii="仿宋_GB2312" w:hAnsi="宋体" w:eastAsia="仿宋_GB2312" w:cs="宋体"/>
          <w:color w:val="000000"/>
          <w:sz w:val="32"/>
          <w:szCs w:val="32"/>
          <w:highlight w:val="none"/>
        </w:rPr>
        <w:t xml:space="preserve"> 中国证监会 国家外汇局</w:t>
      </w:r>
      <w:r>
        <w:rPr>
          <w:rFonts w:hint="eastAsia" w:ascii="仿宋_GB2312" w:hAnsi="宋体" w:eastAsia="仿宋_GB2312" w:cs="宋体"/>
          <w:color w:val="000000"/>
          <w:sz w:val="32"/>
          <w:szCs w:val="32"/>
          <w:highlight w:val="none"/>
        </w:rPr>
        <w:t>公告</w:t>
      </w:r>
      <w:bookmarkStart w:id="1" w:name="_Hlk182473462"/>
      <w:r>
        <w:rPr>
          <w:rFonts w:hint="eastAsia" w:ascii="仿宋_GB2312" w:hAnsi="宋体" w:eastAsia="仿宋_GB2312" w:cs="宋体"/>
          <w:color w:val="000000"/>
          <w:sz w:val="32"/>
          <w:szCs w:val="32"/>
          <w:highlight w:val="none"/>
        </w:rPr>
        <w:t>〔202</w:t>
      </w:r>
      <w:r>
        <w:rPr>
          <w:rFonts w:hint="eastAsia" w:ascii="仿宋_GB2312" w:hAnsi="宋体" w:eastAsia="仿宋_GB2312" w:cs="宋体"/>
          <w:color w:val="000000"/>
          <w:sz w:val="32"/>
          <w:szCs w:val="32"/>
          <w:highlight w:val="none"/>
          <w:lang w:val="en-US" w:eastAsia="zh-CN"/>
        </w:rPr>
        <w:t>5</w:t>
      </w:r>
      <w:r>
        <w:rPr>
          <w:rFonts w:hint="eastAsia" w:ascii="仿宋_GB2312" w:hAnsi="宋体" w:eastAsia="仿宋_GB2312" w:cs="宋体"/>
          <w:color w:val="000000"/>
          <w:sz w:val="32"/>
          <w:szCs w:val="32"/>
          <w:highlight w:val="none"/>
        </w:rPr>
        <w:t>〕</w:t>
      </w:r>
      <w:bookmarkEnd w:id="1"/>
      <w:r>
        <w:rPr>
          <w:rFonts w:hint="eastAsia" w:ascii="仿宋_GB2312" w:hAnsi="宋体" w:eastAsia="仿宋_GB2312" w:cs="宋体"/>
          <w:color w:val="000000"/>
          <w:sz w:val="32"/>
          <w:szCs w:val="32"/>
          <w:highlight w:val="none"/>
        </w:rPr>
        <w:t>第</w:t>
      </w:r>
      <w:r>
        <w:rPr>
          <w:rFonts w:hint="default" w:ascii="仿宋_GB2312" w:hAnsi="宋体" w:eastAsia="仿宋_GB2312" w:cs="宋体"/>
          <w:color w:val="000000"/>
          <w:sz w:val="32"/>
          <w:szCs w:val="32"/>
          <w:highlight w:val="none"/>
        </w:rPr>
        <w:t>21</w:t>
      </w:r>
      <w:r>
        <w:rPr>
          <w:rFonts w:hint="eastAsia" w:ascii="仿宋_GB2312" w:hAnsi="宋体" w:eastAsia="仿宋_GB2312" w:cs="宋体"/>
          <w:color w:val="000000"/>
          <w:sz w:val="32"/>
          <w:szCs w:val="32"/>
          <w:highlight w:val="none"/>
        </w:rPr>
        <w:t>号）、《关于联合支持境外机构投资者开展银行间债券市场债券回购业务的通知》（中汇交发〔202</w:t>
      </w:r>
      <w:r>
        <w:rPr>
          <w:rFonts w:hint="eastAsia" w:ascii="仿宋_GB2312" w:hAnsi="宋体" w:eastAsia="仿宋_GB2312" w:cs="宋体"/>
          <w:color w:val="000000"/>
          <w:sz w:val="32"/>
          <w:szCs w:val="32"/>
          <w:highlight w:val="none"/>
          <w:lang w:val="en-US" w:eastAsia="zh-CN"/>
        </w:rPr>
        <w:t>5</w:t>
      </w:r>
      <w:r>
        <w:rPr>
          <w:rFonts w:hint="eastAsia" w:ascii="仿宋_GB2312" w:hAnsi="宋体" w:eastAsia="仿宋_GB2312" w:cs="宋体"/>
          <w:color w:val="000000"/>
          <w:sz w:val="32"/>
          <w:szCs w:val="32"/>
          <w:highlight w:val="none"/>
        </w:rPr>
        <w:t>〕</w:t>
      </w:r>
      <w:r>
        <w:rPr>
          <w:rFonts w:hint="default" w:ascii="仿宋_GB2312" w:hAnsi="宋体" w:eastAsia="仿宋_GB2312" w:cs="宋体"/>
          <w:color w:val="000000"/>
          <w:sz w:val="32"/>
          <w:szCs w:val="32"/>
          <w:highlight w:val="none"/>
        </w:rPr>
        <w:t>372</w:t>
      </w:r>
      <w:r>
        <w:rPr>
          <w:rFonts w:hint="eastAsia" w:ascii="仿宋_GB2312" w:hAnsi="宋体" w:eastAsia="仿宋_GB2312" w:cs="宋体"/>
          <w:color w:val="000000"/>
          <w:sz w:val="32"/>
          <w:szCs w:val="32"/>
          <w:highlight w:val="none"/>
        </w:rPr>
        <w:t>号）及其他相关规定，制</w:t>
      </w:r>
      <w:r>
        <w:rPr>
          <w:rFonts w:hint="eastAsia" w:ascii="仿宋_GB2312" w:hAnsi="宋体" w:eastAsia="仿宋_GB2312" w:cs="宋体"/>
          <w:color w:val="000000"/>
          <w:sz w:val="32"/>
          <w:szCs w:val="32"/>
        </w:rPr>
        <w:t>定本细则。</w:t>
      </w:r>
    </w:p>
    <w:p>
      <w:pPr>
        <w:pStyle w:val="19"/>
        <w:spacing w:line="560" w:lineRule="exact"/>
        <w:ind w:firstLine="643" w:firstLineChars="200"/>
        <w:rPr>
          <w:rFonts w:hint="eastAsia"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二</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本</w:t>
      </w:r>
      <w:r>
        <w:rPr>
          <w:rFonts w:hint="eastAsia" w:ascii="仿宋_GB2312" w:hAnsi="宋体" w:eastAsia="仿宋_GB2312" w:cs="宋体"/>
          <w:color w:val="000000"/>
          <w:sz w:val="32"/>
          <w:szCs w:val="32"/>
        </w:rPr>
        <w:t>细则</w:t>
      </w:r>
      <w:r>
        <w:rPr>
          <w:rFonts w:hint="eastAsia" w:ascii="仿宋_GB2312" w:eastAsia="仿宋_GB2312"/>
          <w:sz w:val="32"/>
          <w:szCs w:val="32"/>
        </w:rPr>
        <w:t>所称境外机构投资者是指可在银行间债券市场开展现券交易的境外机构投资者。</w:t>
      </w:r>
    </w:p>
    <w:p>
      <w:pPr>
        <w:pStyle w:val="19"/>
        <w:spacing w:line="560" w:lineRule="exact"/>
        <w:ind w:firstLine="643" w:firstLineChars="200"/>
        <w:rPr>
          <w:rFonts w:hint="eastAsia"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三</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本</w:t>
      </w:r>
      <w:r>
        <w:rPr>
          <w:rFonts w:hint="eastAsia" w:ascii="仿宋_GB2312" w:hAnsi="宋体" w:eastAsia="仿宋_GB2312" w:cs="宋体"/>
          <w:color w:val="000000"/>
          <w:sz w:val="32"/>
          <w:szCs w:val="32"/>
        </w:rPr>
        <w:t>细则</w:t>
      </w:r>
      <w:r>
        <w:rPr>
          <w:rFonts w:hint="eastAsia" w:ascii="仿宋_GB2312" w:eastAsia="仿宋_GB2312"/>
          <w:sz w:val="32"/>
          <w:szCs w:val="32"/>
        </w:rPr>
        <w:t>所称债券回购业务</w:t>
      </w:r>
      <w:r>
        <w:rPr>
          <w:rFonts w:hint="eastAsia" w:ascii="仿宋_GB2312" w:eastAsia="仿宋_GB2312"/>
          <w:sz w:val="32"/>
          <w:szCs w:val="32"/>
          <w:lang w:eastAsia="zh-CN"/>
        </w:rPr>
        <w:t>，</w:t>
      </w:r>
      <w:r>
        <w:rPr>
          <w:rFonts w:hint="default" w:ascii="仿宋_GB2312" w:hAnsi="仿宋_GB2312" w:eastAsia="仿宋_GB2312" w:cs="仿宋_GB2312"/>
          <w:sz w:val="32"/>
          <w:szCs w:val="32"/>
        </w:rPr>
        <w:t>包含质押式回购和买断式回购两种形式</w:t>
      </w:r>
      <w:r>
        <w:rPr>
          <w:rFonts w:hint="eastAsia" w:ascii="仿宋_GB2312" w:eastAsia="仿宋_GB2312"/>
          <w:sz w:val="32"/>
          <w:szCs w:val="32"/>
        </w:rPr>
        <w:t>。</w:t>
      </w:r>
    </w:p>
    <w:p>
      <w:pPr>
        <w:pStyle w:val="19"/>
        <w:spacing w:line="560" w:lineRule="exact"/>
        <w:ind w:firstLine="643" w:firstLineChars="200"/>
        <w:rPr>
          <w:rFonts w:ascii="仿宋_GB2312" w:hAnsi="宋体" w:eastAsia="仿宋_GB2312" w:cs="宋体"/>
          <w:color w:val="000000"/>
          <w:sz w:val="32"/>
          <w:szCs w:val="32"/>
        </w:rPr>
      </w:pPr>
      <w:r>
        <w:rPr>
          <w:rFonts w:hint="eastAsia" w:ascii="仿宋_GB2312" w:eastAsia="仿宋_GB2312"/>
          <w:b/>
          <w:bCs/>
          <w:sz w:val="32"/>
          <w:szCs w:val="32"/>
        </w:rPr>
        <w:t>第</w:t>
      </w:r>
      <w:r>
        <w:rPr>
          <w:rFonts w:hint="eastAsia" w:ascii="仿宋_GB2312" w:eastAsia="仿宋_GB2312"/>
          <w:b/>
          <w:bCs/>
          <w:sz w:val="32"/>
          <w:szCs w:val="32"/>
          <w:lang w:val="en-US" w:eastAsia="zh-CN"/>
        </w:rPr>
        <w:t>四</w:t>
      </w:r>
      <w:r>
        <w:rPr>
          <w:rFonts w:hint="eastAsia" w:ascii="仿宋_GB2312" w:eastAsia="仿宋_GB2312"/>
          <w:b/>
          <w:bCs/>
          <w:sz w:val="32"/>
          <w:szCs w:val="32"/>
        </w:rPr>
        <w:t xml:space="preserve">条 </w:t>
      </w:r>
      <w:r>
        <w:rPr>
          <w:rFonts w:hint="eastAsia" w:ascii="仿宋_GB2312" w:hAnsi="宋体" w:eastAsia="仿宋_GB2312" w:cs="宋体"/>
          <w:color w:val="000000"/>
          <w:sz w:val="32"/>
          <w:szCs w:val="32"/>
        </w:rPr>
        <w:t>境外</w:t>
      </w:r>
      <w:r>
        <w:rPr>
          <w:rFonts w:hint="eastAsia" w:ascii="仿宋_GB2312" w:eastAsia="仿宋_GB2312"/>
          <w:sz w:val="32"/>
          <w:szCs w:val="32"/>
        </w:rPr>
        <w:t>机构</w:t>
      </w:r>
      <w:r>
        <w:rPr>
          <w:rFonts w:hint="eastAsia" w:ascii="仿宋_GB2312" w:hAnsi="宋体" w:eastAsia="仿宋_GB2312" w:cs="宋体"/>
          <w:color w:val="000000"/>
          <w:sz w:val="32"/>
          <w:szCs w:val="32"/>
        </w:rPr>
        <w:t>投资者可通过结算代理渠道或“债券通”北向通渠道开展银行间债券市场债券回购业务。</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五</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同业拆借中心为</w:t>
      </w:r>
      <w:r>
        <w:rPr>
          <w:rFonts w:hint="eastAsia" w:ascii="仿宋_GB2312" w:hAnsi="宋体" w:eastAsia="仿宋_GB2312" w:cs="宋体"/>
          <w:color w:val="000000"/>
          <w:sz w:val="32"/>
          <w:szCs w:val="32"/>
        </w:rPr>
        <w:t>境外机构投资者</w:t>
      </w:r>
      <w:r>
        <w:rPr>
          <w:rFonts w:hint="eastAsia" w:ascii="仿宋_GB2312" w:eastAsia="仿宋_GB2312"/>
          <w:sz w:val="32"/>
          <w:szCs w:val="32"/>
        </w:rPr>
        <w:t>开展债券回购业务提供</w:t>
      </w:r>
      <w:r>
        <w:rPr>
          <w:rFonts w:ascii="仿宋_GB2312" w:eastAsia="仿宋_GB2312"/>
          <w:sz w:val="32"/>
          <w:szCs w:val="32"/>
        </w:rPr>
        <w:t>交易服务。在境外具有丰富的</w:t>
      </w:r>
      <w:r>
        <w:rPr>
          <w:rFonts w:hint="eastAsia" w:ascii="仿宋_GB2312" w:eastAsia="仿宋_GB2312"/>
          <w:sz w:val="32"/>
          <w:szCs w:val="32"/>
        </w:rPr>
        <w:t>债券回购</w:t>
      </w:r>
      <w:r>
        <w:rPr>
          <w:rFonts w:ascii="仿宋_GB2312" w:eastAsia="仿宋_GB2312"/>
          <w:sz w:val="32"/>
          <w:szCs w:val="32"/>
        </w:rPr>
        <w:t>交易相关服务经验，并具备必要的资质或牌照、技术开发能力、风险管理能力的境外电子交易平台，经</w:t>
      </w:r>
      <w:r>
        <w:rPr>
          <w:rFonts w:hint="eastAsia" w:ascii="仿宋_GB2312" w:eastAsia="仿宋_GB2312"/>
          <w:sz w:val="32"/>
          <w:szCs w:val="32"/>
          <w:lang w:eastAsia="zh-CN"/>
        </w:rPr>
        <w:t>中国</w:t>
      </w:r>
      <w:r>
        <w:rPr>
          <w:rFonts w:ascii="仿宋_GB2312" w:eastAsia="仿宋_GB2312"/>
          <w:sz w:val="32"/>
          <w:szCs w:val="32"/>
        </w:rPr>
        <w:t>人民银行认可并与同业拆借中心签署协议后，可接入同业拆借中心系统（以下简称交易系统）并为境外</w:t>
      </w:r>
      <w:r>
        <w:rPr>
          <w:rFonts w:hint="eastAsia" w:ascii="仿宋_GB2312" w:eastAsia="仿宋_GB2312"/>
          <w:sz w:val="32"/>
          <w:szCs w:val="32"/>
        </w:rPr>
        <w:t>机构</w:t>
      </w:r>
      <w:r>
        <w:rPr>
          <w:rFonts w:ascii="仿宋_GB2312" w:eastAsia="仿宋_GB2312"/>
          <w:sz w:val="32"/>
          <w:szCs w:val="32"/>
        </w:rPr>
        <w:t>投资者提供</w:t>
      </w:r>
      <w:r>
        <w:rPr>
          <w:rFonts w:hint="eastAsia" w:ascii="仿宋_GB2312" w:hAnsi="宋体" w:eastAsia="仿宋_GB2312" w:cs="宋体"/>
          <w:color w:val="000000"/>
          <w:sz w:val="32"/>
          <w:szCs w:val="32"/>
        </w:rPr>
        <w:t>交易</w:t>
      </w:r>
      <w:r>
        <w:rPr>
          <w:rFonts w:ascii="仿宋_GB2312" w:eastAsia="仿宋_GB2312"/>
          <w:sz w:val="32"/>
          <w:szCs w:val="32"/>
        </w:rPr>
        <w:t>服务。</w:t>
      </w:r>
    </w:p>
    <w:p>
      <w:pPr>
        <w:pStyle w:val="19"/>
        <w:spacing w:line="560" w:lineRule="exact"/>
        <w:ind w:firstLine="643" w:firstLineChars="200"/>
        <w:rPr>
          <w:rFonts w:ascii="仿宋_GB2312" w:eastAsia="仿宋_GB2312"/>
          <w:b/>
          <w:bCs/>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六</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境外</w:t>
      </w:r>
      <w:r>
        <w:rPr>
          <w:rFonts w:hint="eastAsia" w:ascii="仿宋_GB2312" w:eastAsia="仿宋_GB2312"/>
          <w:sz w:val="32"/>
          <w:szCs w:val="32"/>
        </w:rPr>
        <w:t>机构</w:t>
      </w:r>
      <w:r>
        <w:rPr>
          <w:rFonts w:ascii="仿宋_GB2312" w:eastAsia="仿宋_GB2312"/>
          <w:sz w:val="32"/>
          <w:szCs w:val="32"/>
        </w:rPr>
        <w:t>投资者、境外电子交易平台</w:t>
      </w:r>
      <w:r>
        <w:rPr>
          <w:rFonts w:hint="eastAsia" w:ascii="仿宋_GB2312" w:eastAsia="仿宋_GB2312"/>
          <w:sz w:val="32"/>
          <w:szCs w:val="32"/>
        </w:rPr>
        <w:t>、承担境外机构投资者市场服务职能的机构（以下简称市场服务机构）开展债券回购业务</w:t>
      </w:r>
      <w:r>
        <w:rPr>
          <w:rFonts w:ascii="仿宋_GB2312" w:eastAsia="仿宋_GB2312"/>
          <w:sz w:val="32"/>
          <w:szCs w:val="32"/>
        </w:rPr>
        <w:t>应当遵守</w:t>
      </w:r>
      <w:r>
        <w:rPr>
          <w:rFonts w:hint="eastAsia" w:ascii="仿宋_GB2312" w:eastAsia="仿宋_GB2312"/>
          <w:sz w:val="32"/>
          <w:szCs w:val="32"/>
        </w:rPr>
        <w:t>内地相关</w:t>
      </w:r>
      <w:r>
        <w:rPr>
          <w:rFonts w:ascii="仿宋_GB2312" w:eastAsia="仿宋_GB2312"/>
          <w:sz w:val="32"/>
          <w:szCs w:val="32"/>
        </w:rPr>
        <w:t>法律法规、规范性文件</w:t>
      </w:r>
      <w:r>
        <w:rPr>
          <w:rFonts w:hint="eastAsia" w:ascii="仿宋_GB2312" w:eastAsia="仿宋_GB2312"/>
          <w:sz w:val="32"/>
          <w:szCs w:val="32"/>
        </w:rPr>
        <w:t>和</w:t>
      </w:r>
      <w:r>
        <w:rPr>
          <w:rFonts w:ascii="仿宋_GB2312" w:eastAsia="仿宋_GB2312"/>
          <w:sz w:val="32"/>
          <w:szCs w:val="32"/>
        </w:rPr>
        <w:t>业务规则。</w:t>
      </w:r>
      <w:r>
        <w:rPr>
          <w:rFonts w:hint="eastAsia" w:ascii="仿宋_GB2312" w:eastAsia="仿宋_GB2312"/>
          <w:sz w:val="32"/>
          <w:szCs w:val="32"/>
        </w:rPr>
        <w:t>市场服务机构应当为境外机构投资者了解内地相关法律法规、规范性文件和交易规则、业务流程、市场信息等提供必要的便利和指引。</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七</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hAnsi="宋体" w:eastAsia="仿宋_GB2312" w:cs="宋体"/>
          <w:color w:val="000000"/>
          <w:sz w:val="32"/>
          <w:szCs w:val="32"/>
        </w:rPr>
        <w:t>境外</w:t>
      </w:r>
      <w:r>
        <w:rPr>
          <w:rFonts w:hint="default" w:ascii="仿宋_GB2312" w:hAnsi="宋体" w:eastAsia="仿宋_GB2312" w:cs="宋体"/>
          <w:color w:val="000000"/>
          <w:sz w:val="32"/>
          <w:szCs w:val="32"/>
        </w:rPr>
        <w:t>机构</w:t>
      </w:r>
      <w:r>
        <w:rPr>
          <w:rFonts w:ascii="仿宋_GB2312" w:eastAsia="仿宋_GB2312"/>
          <w:sz w:val="32"/>
          <w:szCs w:val="32"/>
        </w:rPr>
        <w:t>投资者开展</w:t>
      </w:r>
      <w:r>
        <w:rPr>
          <w:rFonts w:hint="eastAsia" w:ascii="仿宋_GB2312" w:hAnsi="宋体" w:eastAsia="仿宋_GB2312" w:cs="宋体"/>
          <w:color w:val="000000"/>
          <w:sz w:val="32"/>
          <w:szCs w:val="32"/>
        </w:rPr>
        <w:t>债券回购</w:t>
      </w:r>
      <w:r>
        <w:rPr>
          <w:rFonts w:hint="eastAsia" w:ascii="仿宋_GB2312" w:eastAsia="仿宋_GB2312"/>
          <w:sz w:val="32"/>
          <w:szCs w:val="32"/>
        </w:rPr>
        <w:t>业务</w:t>
      </w:r>
      <w:r>
        <w:rPr>
          <w:rFonts w:ascii="仿宋_GB2312" w:eastAsia="仿宋_GB2312"/>
          <w:sz w:val="32"/>
          <w:szCs w:val="32"/>
        </w:rPr>
        <w:t>，应遵循公平、诚信</w:t>
      </w:r>
      <w:r>
        <w:rPr>
          <w:rFonts w:hint="eastAsia" w:ascii="仿宋_GB2312" w:eastAsia="仿宋_GB2312"/>
          <w:sz w:val="32"/>
          <w:szCs w:val="32"/>
        </w:rPr>
        <w:t>、自律</w:t>
      </w:r>
      <w:r>
        <w:rPr>
          <w:rFonts w:ascii="仿宋_GB2312" w:eastAsia="仿宋_GB2312"/>
          <w:sz w:val="32"/>
          <w:szCs w:val="32"/>
        </w:rPr>
        <w:t>的原则</w:t>
      </w:r>
      <w:r>
        <w:rPr>
          <w:rFonts w:hint="eastAsia" w:ascii="仿宋_GB2312" w:eastAsia="仿宋_GB2312"/>
          <w:sz w:val="32"/>
          <w:szCs w:val="32"/>
        </w:rPr>
        <w:t>，不得以任何形式操纵、引导价格，不得扰乱市场秩序</w:t>
      </w:r>
      <w:r>
        <w:rPr>
          <w:rFonts w:ascii="仿宋_GB2312" w:eastAsia="仿宋_GB2312"/>
          <w:sz w:val="32"/>
          <w:szCs w:val="32"/>
        </w:rPr>
        <w:t>。</w:t>
      </w:r>
    </w:p>
    <w:p>
      <w:pPr>
        <w:pStyle w:val="19"/>
        <w:spacing w:line="560" w:lineRule="exact"/>
        <w:ind w:firstLine="540" w:firstLineChars="200"/>
        <w:rPr>
          <w:rFonts w:hint="eastAsia" w:ascii="宋体" w:hAnsi="宋体" w:cs="宋体"/>
          <w:color w:val="000000"/>
          <w:sz w:val="27"/>
          <w:szCs w:val="27"/>
        </w:rPr>
      </w:pPr>
    </w:p>
    <w:p>
      <w:pPr>
        <w:pStyle w:val="18"/>
        <w:spacing w:line="560" w:lineRule="exact"/>
        <w:ind w:left="0" w:leftChars="0" w:right="0" w:rightChars="0"/>
        <w:jc w:val="center"/>
        <w:textAlignment w:val="baseline"/>
        <w:rPr>
          <w:rFonts w:ascii="黑体" w:hAnsi="黑体" w:eastAsia="黑体" w:cs="宋体"/>
          <w:b w:val="0"/>
          <w:bCs w:val="0"/>
          <w:color w:val="000000"/>
          <w:sz w:val="32"/>
          <w:szCs w:val="32"/>
        </w:rPr>
      </w:pPr>
      <w:r>
        <w:rPr>
          <w:rFonts w:ascii="黑体" w:hAnsi="黑体" w:eastAsia="黑体" w:cs="宋体"/>
          <w:b w:val="0"/>
          <w:bCs w:val="0"/>
          <w:color w:val="000000"/>
          <w:sz w:val="32"/>
          <w:szCs w:val="32"/>
        </w:rPr>
        <w:t>第</w:t>
      </w:r>
      <w:r>
        <w:rPr>
          <w:rFonts w:hint="eastAsia" w:ascii="黑体" w:hAnsi="黑体" w:eastAsia="黑体" w:cs="宋体"/>
          <w:b w:val="0"/>
          <w:bCs w:val="0"/>
          <w:color w:val="000000"/>
          <w:sz w:val="32"/>
          <w:szCs w:val="32"/>
        </w:rPr>
        <w:t>二</w:t>
      </w:r>
      <w:r>
        <w:rPr>
          <w:rFonts w:ascii="黑体" w:hAnsi="黑体" w:eastAsia="黑体" w:cs="宋体"/>
          <w:b w:val="0"/>
          <w:bCs w:val="0"/>
          <w:color w:val="000000"/>
          <w:sz w:val="32"/>
          <w:szCs w:val="32"/>
        </w:rPr>
        <w:t>章　</w:t>
      </w:r>
      <w:r>
        <w:rPr>
          <w:rFonts w:hint="eastAsia" w:ascii="黑体" w:hAnsi="黑体" w:eastAsia="黑体" w:cs="宋体"/>
          <w:b w:val="0"/>
          <w:bCs w:val="0"/>
          <w:color w:val="000000"/>
          <w:sz w:val="32"/>
          <w:szCs w:val="32"/>
        </w:rPr>
        <w:t>基本</w:t>
      </w:r>
      <w:r>
        <w:rPr>
          <w:rFonts w:ascii="黑体" w:hAnsi="黑体" w:eastAsia="黑体" w:cs="宋体"/>
          <w:b w:val="0"/>
          <w:bCs w:val="0"/>
          <w:color w:val="000000"/>
          <w:sz w:val="32"/>
          <w:szCs w:val="32"/>
        </w:rPr>
        <w:t>规则</w:t>
      </w:r>
    </w:p>
    <w:p>
      <w:pPr>
        <w:pStyle w:val="19"/>
        <w:spacing w:line="560" w:lineRule="exact"/>
        <w:ind w:firstLine="643" w:firstLineChars="200"/>
        <w:rPr>
          <w:rFonts w:hint="eastAsia" w:ascii="仿宋_GB2312" w:hAnsi="仿宋_GB2312" w:eastAsia="仿宋_GB2312" w:cs="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八</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hAnsi="仿宋_GB2312" w:eastAsia="仿宋_GB2312" w:cs="仿宋_GB2312"/>
          <w:sz w:val="32"/>
          <w:szCs w:val="32"/>
        </w:rPr>
        <w:t>境外机构投资者适用的买断式回购</w:t>
      </w:r>
      <w:r>
        <w:rPr>
          <w:rFonts w:hint="eastAsia" w:ascii="仿宋_GB2312" w:hAnsi="仿宋_GB2312" w:eastAsia="仿宋_GB2312" w:cs="仿宋_GB2312"/>
          <w:sz w:val="32"/>
          <w:szCs w:val="32"/>
          <w:lang w:eastAsia="zh-CN"/>
        </w:rPr>
        <w:t>业务包括买断式回购多券和买断式回购单券。买断式回购多券是指</w:t>
      </w:r>
      <w:r>
        <w:rPr>
          <w:rFonts w:hint="eastAsia" w:ascii="仿宋_GB2312" w:hAnsi="仿宋_GB2312" w:eastAsia="仿宋_GB2312" w:cs="仿宋_GB2312"/>
          <w:sz w:val="32"/>
          <w:szCs w:val="32"/>
        </w:rPr>
        <w:t>单笔交易可使用一只或多只回购债券且支持回购期间票息及时划转</w:t>
      </w:r>
      <w:r>
        <w:rPr>
          <w:rFonts w:hint="eastAsia" w:ascii="仿宋_GB2312" w:hAnsi="仿宋_GB2312" w:eastAsia="仿宋_GB2312" w:cs="仿宋_GB2312"/>
          <w:sz w:val="32"/>
          <w:szCs w:val="32"/>
          <w:lang w:val="en-US" w:eastAsia="zh-CN"/>
        </w:rPr>
        <w:t>的回购业务</w:t>
      </w:r>
      <w:r>
        <w:rPr>
          <w:rFonts w:hint="eastAsia" w:ascii="仿宋_GB2312" w:hAnsi="仿宋_GB2312" w:eastAsia="仿宋_GB2312" w:cs="仿宋_GB2312"/>
          <w:sz w:val="32"/>
          <w:szCs w:val="32"/>
        </w:rPr>
        <w:t>。</w:t>
      </w:r>
    </w:p>
    <w:p>
      <w:pPr>
        <w:pStyle w:val="19"/>
        <w:spacing w:line="560" w:lineRule="exact"/>
        <w:ind w:firstLine="640" w:firstLineChars="200"/>
        <w:rPr>
          <w:rFonts w:hint="eastAsia" w:ascii="仿宋_GB2312" w:hAnsi="仿宋_GB2312" w:eastAsia="仿宋_GB2312" w:cs="仿宋_GB2312"/>
          <w:sz w:val="32"/>
          <w:szCs w:val="32"/>
          <w:highlight w:val="none"/>
        </w:rPr>
      </w:pPr>
      <w:bookmarkStart w:id="2" w:name="OLE_LINK4"/>
      <w:r>
        <w:rPr>
          <w:rFonts w:hint="eastAsia" w:ascii="仿宋_GB2312" w:hAnsi="仿宋_GB2312" w:eastAsia="仿宋_GB2312" w:cs="仿宋_GB2312"/>
          <w:sz w:val="32"/>
          <w:szCs w:val="32"/>
          <w:highlight w:val="none"/>
        </w:rPr>
        <w:t>回购期间票息及时划转是指，回购期间如发生回购债券派息，逆回购方应不晚于实际派息日次一个营业日结束前，将回购债券派息支付给正回购方，逆回购方无需就在上述期限内持有回购债券派息向正回购方支付利息。</w:t>
      </w:r>
      <w:r>
        <w:rPr>
          <w:rFonts w:hint="eastAsia" w:ascii="仿宋_GB2312" w:hAnsi="仿宋_GB2312" w:eastAsia="仿宋_GB2312" w:cs="仿宋_GB2312"/>
          <w:sz w:val="32"/>
          <w:szCs w:val="32"/>
          <w:highlight w:val="none"/>
          <w:lang w:val="en-US" w:eastAsia="zh-CN"/>
        </w:rPr>
        <w:t>未按时支付的，</w:t>
      </w:r>
      <w:r>
        <w:rPr>
          <w:rFonts w:hint="eastAsia" w:ascii="仿宋_GB2312" w:hAnsi="仿宋_GB2312" w:eastAsia="仿宋_GB2312" w:cs="仿宋_GB2312"/>
          <w:sz w:val="32"/>
          <w:szCs w:val="32"/>
          <w:highlight w:val="none"/>
        </w:rPr>
        <w:t>自实际派息日后第二个营业日（含）起，</w:t>
      </w:r>
      <w:r>
        <w:rPr>
          <w:rFonts w:hint="eastAsia" w:ascii="仿宋_GB2312" w:hAnsi="仿宋_GB2312" w:eastAsia="仿宋_GB2312" w:cs="仿宋_GB2312"/>
          <w:sz w:val="32"/>
          <w:szCs w:val="32"/>
          <w:highlight w:val="none"/>
          <w:lang w:val="en-US" w:eastAsia="zh-CN"/>
        </w:rPr>
        <w:t>正回购方有权要求</w:t>
      </w:r>
      <w:r>
        <w:rPr>
          <w:rFonts w:hint="eastAsia" w:ascii="仿宋_GB2312" w:hAnsi="仿宋_GB2312" w:eastAsia="仿宋_GB2312" w:cs="仿宋_GB2312"/>
          <w:sz w:val="32"/>
          <w:szCs w:val="32"/>
          <w:highlight w:val="none"/>
        </w:rPr>
        <w:t>逆回购方支付罚息，双方另有约定的除外。</w:t>
      </w:r>
      <w:bookmarkEnd w:id="2"/>
    </w:p>
    <w:p>
      <w:pPr>
        <w:pStyle w:val="19"/>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境外机构投资者适用的</w:t>
      </w:r>
      <w:r>
        <w:rPr>
          <w:rFonts w:hint="eastAsia" w:ascii="仿宋_GB2312" w:hAnsi="仿宋_GB2312" w:eastAsia="仿宋_GB2312" w:cs="仿宋_GB2312"/>
          <w:sz w:val="32"/>
          <w:szCs w:val="32"/>
          <w:lang w:val="en-US" w:eastAsia="zh-CN"/>
        </w:rPr>
        <w:t>质押</w:t>
      </w:r>
      <w:r>
        <w:rPr>
          <w:rFonts w:hint="eastAsia" w:ascii="仿宋_GB2312" w:hAnsi="仿宋_GB2312" w:eastAsia="仿宋_GB2312" w:cs="仿宋_GB2312"/>
          <w:sz w:val="32"/>
          <w:szCs w:val="32"/>
        </w:rPr>
        <w:t>式回购</w:t>
      </w:r>
      <w:r>
        <w:rPr>
          <w:rFonts w:hint="eastAsia" w:ascii="仿宋_GB2312" w:hAnsi="仿宋_GB2312" w:eastAsia="仿宋_GB2312" w:cs="仿宋_GB2312"/>
          <w:sz w:val="32"/>
          <w:szCs w:val="32"/>
          <w:lang w:eastAsia="zh-CN"/>
        </w:rPr>
        <w:t>和买断式回购单券</w:t>
      </w:r>
      <w:r>
        <w:rPr>
          <w:rFonts w:hint="eastAsia" w:ascii="仿宋_GB2312" w:hAnsi="仿宋_GB2312" w:eastAsia="仿宋_GB2312" w:cs="仿宋_GB2312"/>
          <w:sz w:val="32"/>
          <w:szCs w:val="32"/>
          <w:lang w:val="en-US" w:eastAsia="zh-CN"/>
        </w:rPr>
        <w:t>定义参照</w:t>
      </w:r>
      <w:r>
        <w:rPr>
          <w:rFonts w:hint="eastAsia" w:ascii="仿宋_GB2312" w:eastAsia="仿宋_GB2312"/>
          <w:sz w:val="32"/>
          <w:szCs w:val="32"/>
        </w:rPr>
        <w:t>《全国银行间市场债券交易规则》</w:t>
      </w:r>
      <w:r>
        <w:rPr>
          <w:rFonts w:hint="eastAsia" w:ascii="仿宋_GB2312" w:eastAsia="仿宋_GB2312"/>
          <w:sz w:val="32"/>
          <w:szCs w:val="32"/>
          <w:lang w:val="en-US" w:eastAsia="zh-CN"/>
        </w:rPr>
        <w:t>中有关规定。</w:t>
      </w:r>
      <w:r>
        <w:rPr>
          <w:rFonts w:hint="eastAsia" w:ascii="仿宋_GB2312" w:hAnsi="仿宋_GB2312" w:eastAsia="仿宋_GB2312" w:cs="仿宋_GB2312"/>
          <w:sz w:val="32"/>
          <w:szCs w:val="32"/>
        </w:rPr>
        <w:t>如有调整，将另行向市场公告。</w:t>
      </w:r>
    </w:p>
    <w:p>
      <w:pPr>
        <w:pStyle w:val="19"/>
        <w:numPr>
          <w:ilvl w:val="0"/>
          <w:numId w:val="0"/>
        </w:numPr>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九</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回购债券为</w:t>
      </w:r>
      <w:r>
        <w:rPr>
          <w:rFonts w:ascii="仿宋_GB2312" w:eastAsia="仿宋_GB2312"/>
          <w:sz w:val="32"/>
          <w:szCs w:val="32"/>
        </w:rPr>
        <w:t>银行间债券</w:t>
      </w:r>
      <w:r>
        <w:rPr>
          <w:rFonts w:hint="eastAsia" w:ascii="仿宋_GB2312" w:eastAsia="仿宋_GB2312"/>
          <w:sz w:val="32"/>
          <w:szCs w:val="32"/>
          <w:lang w:val="en-US" w:eastAsia="zh-CN"/>
        </w:rPr>
        <w:t>回购</w:t>
      </w:r>
      <w:r>
        <w:rPr>
          <w:rFonts w:ascii="仿宋_GB2312" w:eastAsia="仿宋_GB2312"/>
          <w:sz w:val="32"/>
          <w:szCs w:val="32"/>
        </w:rPr>
        <w:t>市场</w:t>
      </w:r>
      <w:r>
        <w:rPr>
          <w:rFonts w:hint="eastAsia" w:ascii="仿宋_GB2312" w:eastAsia="仿宋_GB2312"/>
          <w:sz w:val="32"/>
          <w:szCs w:val="32"/>
        </w:rPr>
        <w:t>支持</w:t>
      </w:r>
      <w:r>
        <w:rPr>
          <w:rFonts w:hint="eastAsia" w:ascii="仿宋_GB2312" w:eastAsia="仿宋_GB2312"/>
          <w:sz w:val="32"/>
          <w:szCs w:val="32"/>
          <w:lang w:val="en-US" w:eastAsia="zh-CN"/>
        </w:rPr>
        <w:t>使用</w:t>
      </w:r>
      <w:r>
        <w:rPr>
          <w:rFonts w:ascii="仿宋_GB2312" w:eastAsia="仿宋_GB2312"/>
          <w:sz w:val="32"/>
          <w:szCs w:val="32"/>
        </w:rPr>
        <w:t>的债券，包括国债、</w:t>
      </w:r>
      <w:r>
        <w:rPr>
          <w:rFonts w:hint="eastAsia" w:ascii="仿宋_GB2312" w:eastAsia="仿宋_GB2312"/>
          <w:sz w:val="32"/>
          <w:szCs w:val="32"/>
        </w:rPr>
        <w:t>央行票据、</w:t>
      </w:r>
      <w:r>
        <w:rPr>
          <w:rFonts w:ascii="仿宋_GB2312" w:eastAsia="仿宋_GB2312"/>
          <w:sz w:val="32"/>
          <w:szCs w:val="32"/>
        </w:rPr>
        <w:t>地方政府债券、金融债券、公司信用类债券、同业存单</w:t>
      </w:r>
      <w:r>
        <w:rPr>
          <w:rFonts w:hint="eastAsia" w:ascii="仿宋_GB2312" w:eastAsia="仿宋_GB2312"/>
          <w:sz w:val="32"/>
          <w:szCs w:val="32"/>
        </w:rPr>
        <w:t>等</w:t>
      </w:r>
      <w:r>
        <w:rPr>
          <w:rFonts w:ascii="仿宋_GB2312" w:eastAsia="仿宋_GB2312"/>
          <w:sz w:val="32"/>
          <w:szCs w:val="32"/>
        </w:rPr>
        <w:t>。</w:t>
      </w:r>
    </w:p>
    <w:p>
      <w:pPr>
        <w:ind w:firstLine="643" w:firstLineChars="200"/>
        <w:rPr>
          <w:rFonts w:ascii="仿宋_GB2312" w:eastAsia="仿宋_GB2312"/>
          <w:sz w:val="32"/>
          <w:szCs w:val="32"/>
          <w:highlight w:val="none"/>
        </w:rPr>
      </w:pPr>
      <w:r>
        <w:rPr>
          <w:rFonts w:ascii="仿宋_GB2312" w:eastAsia="仿宋_GB2312"/>
          <w:b/>
          <w:bCs/>
          <w:sz w:val="32"/>
          <w:szCs w:val="32"/>
        </w:rPr>
        <w:t>第</w:t>
      </w:r>
      <w:r>
        <w:rPr>
          <w:rFonts w:hint="eastAsia" w:ascii="仿宋_GB2312" w:eastAsia="仿宋_GB2312"/>
          <w:b/>
          <w:bCs/>
          <w:sz w:val="32"/>
          <w:szCs w:val="32"/>
          <w:lang w:val="en-US" w:eastAsia="zh-CN"/>
        </w:rPr>
        <w:t>十</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hAnsi="宋体" w:eastAsia="仿宋_GB2312" w:cs="宋体"/>
          <w:color w:val="000000"/>
          <w:sz w:val="32"/>
          <w:szCs w:val="32"/>
        </w:rPr>
        <w:t>通过“债券通”北向通渠道</w:t>
      </w:r>
      <w:r>
        <w:rPr>
          <w:rFonts w:hint="eastAsia" w:ascii="仿宋_GB2312" w:hAnsi="宋体" w:eastAsia="仿宋_GB2312" w:cs="宋体"/>
          <w:color w:val="000000"/>
          <w:sz w:val="32"/>
          <w:szCs w:val="32"/>
          <w:lang w:eastAsia="zh-CN"/>
        </w:rPr>
        <w:t>入市的</w:t>
      </w:r>
      <w:r>
        <w:rPr>
          <w:rFonts w:hint="eastAsia" w:ascii="仿宋_GB2312" w:eastAsia="仿宋_GB2312"/>
          <w:sz w:val="32"/>
          <w:szCs w:val="32"/>
          <w:highlight w:val="none"/>
          <w:lang w:val="en-US" w:eastAsia="zh-CN"/>
        </w:rPr>
        <w:t>境外机构投资者应与经中国人民银行认可的做市商（以下简称为做市商，首批做市商名单见附件</w:t>
      </w:r>
      <w:r>
        <w:rPr>
          <w:rFonts w:hint="default" w:ascii="仿宋_GB2312" w:eastAsia="仿宋_GB2312"/>
          <w:sz w:val="32"/>
          <w:szCs w:val="32"/>
          <w:highlight w:val="none"/>
          <w:lang w:eastAsia="zh-CN"/>
        </w:rPr>
        <w:t>1</w:t>
      </w:r>
      <w:r>
        <w:rPr>
          <w:rFonts w:hint="eastAsia" w:ascii="仿宋_GB2312" w:eastAsia="仿宋_GB2312"/>
          <w:sz w:val="32"/>
          <w:szCs w:val="32"/>
          <w:highlight w:val="none"/>
          <w:lang w:val="en-US" w:eastAsia="zh-CN"/>
        </w:rPr>
        <w:t>）开展银行间债券市场债券回购交易</w:t>
      </w:r>
      <w:r>
        <w:rPr>
          <w:rFonts w:hint="eastAsia" w:ascii="仿宋_GB2312" w:eastAsia="仿宋_GB2312" w:cs="Times New Roman"/>
          <w:b w:val="0"/>
          <w:bCs w:val="0"/>
          <w:sz w:val="32"/>
          <w:szCs w:val="32"/>
          <w:highlight w:val="none"/>
          <w:lang w:val="en-US" w:eastAsia="zh-CN"/>
        </w:rPr>
        <w:t>。</w:t>
      </w:r>
    </w:p>
    <w:p>
      <w:pPr>
        <w:pStyle w:val="19"/>
        <w:spacing w:line="560" w:lineRule="exact"/>
        <w:ind w:firstLine="643" w:firstLineChars="200"/>
        <w:rPr>
          <w:rFonts w:hint="default" w:ascii="仿宋_GB2312" w:eastAsia="仿宋_GB2312"/>
          <w:sz w:val="32"/>
          <w:szCs w:val="32"/>
          <w:lang w:val="en-US" w:eastAsia="zh-CN"/>
        </w:rPr>
      </w:pPr>
      <w:r>
        <w:rPr>
          <w:rFonts w:ascii="仿宋_GB2312" w:eastAsia="仿宋_GB2312"/>
          <w:b/>
          <w:bCs/>
          <w:sz w:val="32"/>
          <w:szCs w:val="32"/>
          <w:highlight w:val="none"/>
        </w:rPr>
        <w:t>第</w:t>
      </w:r>
      <w:r>
        <w:rPr>
          <w:rFonts w:hint="eastAsia" w:ascii="仿宋_GB2312" w:eastAsia="仿宋_GB2312"/>
          <w:b/>
          <w:bCs/>
          <w:sz w:val="32"/>
          <w:szCs w:val="32"/>
          <w:highlight w:val="none"/>
        </w:rPr>
        <w:t>十</w:t>
      </w:r>
      <w:r>
        <w:rPr>
          <w:rFonts w:hint="eastAsia" w:ascii="仿宋_GB2312" w:eastAsia="仿宋_GB2312"/>
          <w:b/>
          <w:bCs/>
          <w:sz w:val="32"/>
          <w:szCs w:val="32"/>
          <w:highlight w:val="none"/>
          <w:lang w:val="en-US" w:eastAsia="zh-CN"/>
        </w:rPr>
        <w:t>一</w:t>
      </w:r>
      <w:r>
        <w:rPr>
          <w:rFonts w:ascii="仿宋_GB2312" w:eastAsia="仿宋_GB2312"/>
          <w:b/>
          <w:bCs/>
          <w:sz w:val="32"/>
          <w:szCs w:val="32"/>
          <w:highlight w:val="none"/>
        </w:rPr>
        <w:t>条</w:t>
      </w:r>
      <w:r>
        <w:rPr>
          <w:rFonts w:hint="eastAsia" w:ascii="仿宋_GB2312" w:eastAsia="仿宋_GB2312"/>
          <w:sz w:val="32"/>
          <w:szCs w:val="32"/>
          <w:highlight w:val="none"/>
        </w:rPr>
        <w:t xml:space="preserve"> </w:t>
      </w:r>
      <w:r>
        <w:rPr>
          <w:rFonts w:ascii="仿宋_GB2312" w:eastAsia="仿宋_GB2312"/>
          <w:sz w:val="32"/>
          <w:szCs w:val="32"/>
          <w:highlight w:val="none"/>
        </w:rPr>
        <w:t>交易日为银行间</w:t>
      </w:r>
      <w:r>
        <w:rPr>
          <w:rFonts w:hint="eastAsia" w:ascii="仿宋_GB2312" w:eastAsia="仿宋_GB2312"/>
          <w:sz w:val="32"/>
          <w:szCs w:val="32"/>
          <w:highlight w:val="none"/>
        </w:rPr>
        <w:t>债券市场的交易日，交</w:t>
      </w:r>
      <w:r>
        <w:rPr>
          <w:rFonts w:hint="eastAsia" w:ascii="仿宋_GB2312" w:eastAsia="仿宋_GB2312"/>
          <w:sz w:val="32"/>
          <w:szCs w:val="32"/>
        </w:rPr>
        <w:t>易时间为每个交易日北京时间9:00-12:00、13:30-17:00</w:t>
      </w:r>
      <w:r>
        <w:rPr>
          <w:rFonts w:hint="eastAsia" w:ascii="仿宋_GB2312" w:eastAsia="仿宋_GB2312"/>
          <w:sz w:val="32"/>
          <w:szCs w:val="32"/>
          <w:lang w:eastAsia="zh-CN"/>
        </w:rPr>
        <w:t>，</w:t>
      </w:r>
      <w:r>
        <w:rPr>
          <w:rFonts w:hint="eastAsia" w:ascii="仿宋_GB2312" w:eastAsia="仿宋_GB2312"/>
          <w:sz w:val="32"/>
          <w:szCs w:val="32"/>
          <w:lang w:val="en-US" w:eastAsia="zh-CN"/>
        </w:rPr>
        <w:t>如有调整，同业拆借中心将另行公布。</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第十</w:t>
      </w:r>
      <w:r>
        <w:rPr>
          <w:rFonts w:hint="eastAsia" w:ascii="仿宋_GB2312" w:eastAsia="仿宋_GB2312"/>
          <w:b/>
          <w:bCs/>
          <w:sz w:val="32"/>
          <w:szCs w:val="32"/>
          <w:lang w:val="en-US" w:eastAsia="zh-CN"/>
        </w:rPr>
        <w:t>二</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结算方式为券款对付（DVP），清算方式为全额清算。</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第十</w:t>
      </w:r>
      <w:r>
        <w:rPr>
          <w:rFonts w:hint="eastAsia" w:ascii="仿宋_GB2312" w:eastAsia="仿宋_GB2312"/>
          <w:b/>
          <w:bCs/>
          <w:sz w:val="32"/>
          <w:szCs w:val="32"/>
          <w:lang w:val="en-US" w:eastAsia="zh-CN"/>
        </w:rPr>
        <w:t>三</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清算速度支持T＋0、T＋1、T+2、T+3，其中清算速度为T+0 的交易截止时间为16:50。</w:t>
      </w:r>
    </w:p>
    <w:p>
      <w:pPr>
        <w:pStyle w:val="19"/>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第十</w:t>
      </w:r>
      <w:r>
        <w:rPr>
          <w:rFonts w:hint="eastAsia" w:ascii="仿宋_GB2312" w:eastAsia="仿宋_GB2312"/>
          <w:b/>
          <w:bCs/>
          <w:sz w:val="32"/>
          <w:szCs w:val="32"/>
          <w:lang w:val="en-US" w:eastAsia="zh-CN"/>
        </w:rPr>
        <w:t>四</w:t>
      </w:r>
      <w:r>
        <w:rPr>
          <w:rFonts w:hint="eastAsia" w:ascii="仿宋_GB2312" w:eastAsia="仿宋_GB2312"/>
          <w:b/>
          <w:bCs/>
          <w:sz w:val="32"/>
          <w:szCs w:val="32"/>
        </w:rPr>
        <w:t>条</w:t>
      </w:r>
      <w:r>
        <w:rPr>
          <w:rFonts w:hint="eastAsia" w:ascii="仿宋_GB2312" w:eastAsia="仿宋_GB2312"/>
          <w:sz w:val="32"/>
          <w:szCs w:val="32"/>
        </w:rPr>
        <w:t xml:space="preserve"> 回购利率、回购期限、首次结算金额、到期结算金额、回购利息等其他交易要素相关定义和要求遵照《全国银行间市场债券交易规则》《</w:t>
      </w:r>
      <w:r>
        <w:rPr>
          <w:rFonts w:hint="eastAsia" w:ascii="仿宋_GB2312" w:hAnsi="宋体" w:eastAsia="仿宋_GB2312" w:cs="宋体"/>
          <w:color w:val="000000"/>
          <w:sz w:val="32"/>
          <w:szCs w:val="32"/>
        </w:rPr>
        <w:t>全国银行间同业拆借中心买断式回购交易指引》</w:t>
      </w:r>
      <w:r>
        <w:rPr>
          <w:rFonts w:hint="eastAsia" w:ascii="仿宋_GB2312" w:hAnsi="宋体" w:eastAsia="仿宋_GB2312" w:cs="宋体"/>
          <w:color w:val="000000"/>
          <w:sz w:val="32"/>
          <w:szCs w:val="32"/>
          <w:lang w:eastAsia="zh-CN"/>
        </w:rPr>
        <w:t>《全国银行间同业拆借中心质押式回购请求报价业务指引》</w:t>
      </w:r>
      <w:r>
        <w:rPr>
          <w:rFonts w:hint="eastAsia" w:ascii="仿宋_GB2312" w:hAnsi="宋体" w:eastAsia="仿宋_GB2312" w:cs="宋体"/>
          <w:color w:val="000000"/>
          <w:sz w:val="32"/>
          <w:szCs w:val="32"/>
          <w:lang w:val="en-US" w:eastAsia="zh-CN"/>
        </w:rPr>
        <w:t>等</w:t>
      </w:r>
      <w:r>
        <w:rPr>
          <w:rFonts w:hint="eastAsia" w:ascii="仿宋_GB2312" w:eastAsia="仿宋_GB2312"/>
          <w:sz w:val="32"/>
          <w:szCs w:val="32"/>
        </w:rPr>
        <w:t>有关规定执行。</w:t>
      </w:r>
    </w:p>
    <w:p>
      <w:pPr>
        <w:pStyle w:val="19"/>
        <w:spacing w:line="560" w:lineRule="exact"/>
        <w:ind w:firstLine="643" w:firstLineChars="200"/>
        <w:rPr>
          <w:rFonts w:hint="eastAsia"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十</w:t>
      </w:r>
      <w:r>
        <w:rPr>
          <w:rFonts w:hint="eastAsia" w:ascii="仿宋_GB2312" w:eastAsia="仿宋_GB2312"/>
          <w:b/>
          <w:bCs/>
          <w:sz w:val="32"/>
          <w:szCs w:val="32"/>
          <w:lang w:val="en-US" w:eastAsia="zh-CN"/>
        </w:rPr>
        <w:t>五</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hAnsi="仿宋_GB2312" w:eastAsia="仿宋_GB2312" w:cs="仿宋_GB2312"/>
          <w:sz w:val="32"/>
          <w:szCs w:val="32"/>
        </w:rPr>
        <w:t>境外机构投资者开展银行间债券市场债券回购</w:t>
      </w:r>
      <w:r>
        <w:rPr>
          <w:rFonts w:hint="eastAsia" w:ascii="仿宋_GB2312" w:hAnsi="仿宋_GB2312" w:eastAsia="仿宋_GB2312" w:cs="仿宋_GB2312"/>
          <w:sz w:val="32"/>
          <w:szCs w:val="32"/>
          <w:lang w:val="en-US" w:eastAsia="zh-CN"/>
        </w:rPr>
        <w:t>业务</w:t>
      </w:r>
      <w:r>
        <w:rPr>
          <w:rFonts w:hint="eastAsia" w:ascii="仿宋_GB2312" w:hAnsi="仿宋_GB2312" w:eastAsia="仿宋_GB2312" w:cs="仿宋_GB2312"/>
          <w:sz w:val="32"/>
          <w:szCs w:val="32"/>
        </w:rPr>
        <w:t>应</w:t>
      </w:r>
      <w:r>
        <w:rPr>
          <w:rFonts w:hint="eastAsia" w:ascii="仿宋_GB2312" w:hAnsi="仿宋_GB2312" w:eastAsia="仿宋_GB2312" w:cs="仿宋_GB2312"/>
          <w:sz w:val="32"/>
          <w:szCs w:val="32"/>
          <w:lang w:val="en-US" w:eastAsia="zh-CN"/>
        </w:rPr>
        <w:t>当遵守中国法律法规以及金融管理等部门的各项规定</w:t>
      </w:r>
      <w:r>
        <w:rPr>
          <w:rFonts w:hint="eastAsia" w:ascii="仿宋_GB2312" w:eastAsia="仿宋_GB2312"/>
          <w:sz w:val="32"/>
          <w:szCs w:val="32"/>
        </w:rPr>
        <w:t>，相关资金收付应当符合其现券交易对应投资渠道的资金及账户管理规定。</w:t>
      </w:r>
    </w:p>
    <w:p>
      <w:pPr>
        <w:pStyle w:val="19"/>
        <w:spacing w:line="560" w:lineRule="exact"/>
        <w:ind w:firstLine="643" w:firstLineChars="200"/>
        <w:rPr>
          <w:rFonts w:ascii="仿宋_GB2312" w:eastAsia="仿宋_GB2312"/>
          <w:sz w:val="32"/>
          <w:szCs w:val="32"/>
          <w:highlight w:val="yellow"/>
        </w:rPr>
      </w:pPr>
      <w:r>
        <w:rPr>
          <w:rFonts w:hint="eastAsia" w:ascii="仿宋_GB2312" w:eastAsia="仿宋_GB2312"/>
          <w:b/>
          <w:bCs/>
          <w:sz w:val="32"/>
          <w:szCs w:val="32"/>
        </w:rPr>
        <w:t>第十</w:t>
      </w:r>
      <w:r>
        <w:rPr>
          <w:rFonts w:hint="eastAsia" w:ascii="仿宋_GB2312" w:eastAsia="仿宋_GB2312"/>
          <w:b/>
          <w:bCs/>
          <w:sz w:val="32"/>
          <w:szCs w:val="32"/>
          <w:lang w:val="en-US" w:eastAsia="zh-CN"/>
        </w:rPr>
        <w:t>六</w:t>
      </w:r>
      <w:r>
        <w:rPr>
          <w:rFonts w:hint="eastAsia" w:ascii="仿宋_GB2312" w:eastAsia="仿宋_GB2312"/>
          <w:b/>
          <w:bCs/>
          <w:sz w:val="32"/>
          <w:szCs w:val="32"/>
        </w:rPr>
        <w:t>条</w:t>
      </w:r>
      <w:r>
        <w:rPr>
          <w:rFonts w:hint="eastAsia" w:ascii="仿宋_GB2312" w:eastAsia="仿宋_GB2312"/>
          <w:sz w:val="32"/>
          <w:szCs w:val="32"/>
        </w:rPr>
        <w:t xml:space="preserve"> 境外机构投资者开展银行间债券市场债券回购相关交易服务为有偿服务，同业拆借中心</w:t>
      </w:r>
      <w:bookmarkStart w:id="3" w:name="_Hlk180498356"/>
      <w:r>
        <w:rPr>
          <w:rFonts w:hint="eastAsia" w:ascii="仿宋_GB2312" w:eastAsia="仿宋_GB2312"/>
          <w:sz w:val="32"/>
          <w:szCs w:val="32"/>
        </w:rPr>
        <w:t>按照</w:t>
      </w:r>
      <w:r>
        <w:rPr>
          <w:rFonts w:ascii="仿宋_GB2312" w:eastAsia="仿宋_GB2312"/>
          <w:sz w:val="32"/>
          <w:szCs w:val="32"/>
        </w:rPr>
        <w:t>银行间债券市场交易收费规则</w:t>
      </w:r>
      <w:bookmarkEnd w:id="3"/>
      <w:r>
        <w:rPr>
          <w:rFonts w:hint="eastAsia" w:ascii="仿宋_GB2312" w:eastAsia="仿宋_GB2312"/>
          <w:sz w:val="32"/>
          <w:szCs w:val="32"/>
        </w:rPr>
        <w:t>向境外机构投资者收取债券回购交易手续费，并有权根据运营情况发布、调整其他收费安排</w:t>
      </w:r>
      <w:r>
        <w:rPr>
          <w:rFonts w:ascii="仿宋_GB2312" w:eastAsia="仿宋_GB2312"/>
          <w:sz w:val="32"/>
          <w:szCs w:val="32"/>
        </w:rPr>
        <w:t>。</w:t>
      </w:r>
    </w:p>
    <w:p>
      <w:pPr>
        <w:pStyle w:val="19"/>
        <w:spacing w:line="560" w:lineRule="exact"/>
        <w:rPr>
          <w:rFonts w:hint="eastAsia" w:ascii="仿宋_GB2312" w:eastAsia="仿宋_GB2312"/>
          <w:sz w:val="32"/>
          <w:szCs w:val="32"/>
        </w:rPr>
      </w:pPr>
    </w:p>
    <w:p>
      <w:pPr>
        <w:pStyle w:val="18"/>
        <w:spacing w:line="560" w:lineRule="exact"/>
        <w:ind w:left="0" w:leftChars="0" w:right="0" w:rightChars="0"/>
        <w:jc w:val="center"/>
        <w:textAlignment w:val="baseline"/>
        <w:rPr>
          <w:rFonts w:ascii="黑体" w:hAnsi="黑体" w:eastAsia="黑体" w:cs="宋体"/>
          <w:b w:val="0"/>
          <w:bCs w:val="0"/>
          <w:color w:val="000000"/>
          <w:sz w:val="32"/>
          <w:szCs w:val="32"/>
        </w:rPr>
      </w:pPr>
      <w:r>
        <w:rPr>
          <w:rFonts w:ascii="黑体" w:hAnsi="黑体" w:eastAsia="黑体" w:cs="宋体"/>
          <w:b w:val="0"/>
          <w:bCs w:val="0"/>
          <w:color w:val="000000"/>
          <w:sz w:val="32"/>
          <w:szCs w:val="32"/>
        </w:rPr>
        <w:t>第</w:t>
      </w:r>
      <w:r>
        <w:rPr>
          <w:rFonts w:hint="eastAsia" w:ascii="黑体" w:hAnsi="黑体" w:eastAsia="黑体" w:cs="宋体"/>
          <w:b w:val="0"/>
          <w:bCs w:val="0"/>
          <w:color w:val="000000"/>
          <w:sz w:val="32"/>
          <w:szCs w:val="32"/>
        </w:rPr>
        <w:t>三</w:t>
      </w:r>
      <w:r>
        <w:rPr>
          <w:rFonts w:ascii="黑体" w:hAnsi="黑体" w:eastAsia="黑体" w:cs="宋体"/>
          <w:b w:val="0"/>
          <w:bCs w:val="0"/>
          <w:color w:val="000000"/>
          <w:sz w:val="32"/>
          <w:szCs w:val="32"/>
        </w:rPr>
        <w:t>章　报价交易</w:t>
      </w:r>
    </w:p>
    <w:p>
      <w:pPr>
        <w:pStyle w:val="19"/>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第十</w:t>
      </w:r>
      <w:r>
        <w:rPr>
          <w:rFonts w:hint="eastAsia" w:ascii="仿宋_GB2312" w:eastAsia="仿宋_GB2312"/>
          <w:b/>
          <w:bCs/>
          <w:sz w:val="32"/>
          <w:szCs w:val="32"/>
          <w:lang w:val="en-US" w:eastAsia="zh-CN"/>
        </w:rPr>
        <w:t>七</w:t>
      </w:r>
      <w:r>
        <w:rPr>
          <w:rFonts w:hint="eastAsia" w:ascii="仿宋_GB2312" w:eastAsia="仿宋_GB2312"/>
          <w:b/>
          <w:bCs/>
          <w:sz w:val="32"/>
          <w:szCs w:val="32"/>
        </w:rPr>
        <w:t>条</w:t>
      </w:r>
      <w:r>
        <w:rPr>
          <w:rFonts w:hint="eastAsia" w:ascii="仿宋_GB2312" w:eastAsia="仿宋_GB2312"/>
          <w:sz w:val="32"/>
          <w:szCs w:val="32"/>
        </w:rPr>
        <w:t xml:space="preserve"> 境外机构投资者开展债券回购业务前，应</w:t>
      </w:r>
      <w:r>
        <w:rPr>
          <w:rFonts w:hint="eastAsia" w:ascii="仿宋_GB2312" w:eastAsia="仿宋_GB2312"/>
          <w:sz w:val="32"/>
          <w:szCs w:val="32"/>
          <w:lang w:val="en-US" w:eastAsia="zh-CN"/>
        </w:rPr>
        <w:t>根据</w:t>
      </w:r>
      <w:r>
        <w:rPr>
          <w:rFonts w:hint="eastAsia" w:ascii="仿宋_GB2312" w:eastAsia="仿宋_GB2312"/>
          <w:sz w:val="32"/>
          <w:szCs w:val="32"/>
        </w:rPr>
        <w:t>同业拆借中心</w:t>
      </w:r>
      <w:r>
        <w:rPr>
          <w:rFonts w:hint="eastAsia" w:ascii="仿宋_GB2312" w:eastAsia="仿宋_GB2312"/>
          <w:sz w:val="32"/>
          <w:szCs w:val="32"/>
          <w:lang w:val="en-US" w:eastAsia="zh-CN"/>
        </w:rPr>
        <w:t>境外机构投资者债券回购业务申请指南办理</w:t>
      </w:r>
      <w:r>
        <w:rPr>
          <w:rFonts w:hint="eastAsia" w:ascii="仿宋_GB2312" w:eastAsia="仿宋_GB2312"/>
          <w:sz w:val="32"/>
          <w:szCs w:val="32"/>
        </w:rPr>
        <w:t>（中国货币网-本币市场服务-入市指南）</w:t>
      </w:r>
      <w:r>
        <w:rPr>
          <w:rFonts w:hint="default" w:ascii="仿宋_GB2312" w:eastAsia="仿宋_GB2312"/>
          <w:sz w:val="32"/>
          <w:szCs w:val="32"/>
        </w:rPr>
        <w:t>相关手续</w:t>
      </w:r>
      <w:r>
        <w:rPr>
          <w:rFonts w:hint="eastAsia" w:ascii="仿宋_GB2312" w:eastAsia="仿宋_GB2312"/>
          <w:sz w:val="32"/>
          <w:szCs w:val="32"/>
        </w:rPr>
        <w:t>。</w:t>
      </w:r>
      <w:r>
        <w:rPr>
          <w:rFonts w:ascii="仿宋_GB2312" w:eastAsia="仿宋_GB2312"/>
          <w:sz w:val="32"/>
          <w:szCs w:val="32"/>
        </w:rPr>
        <w:t>同业拆借中心为符合</w:t>
      </w:r>
      <w:r>
        <w:rPr>
          <w:rFonts w:hint="eastAsia" w:ascii="仿宋_GB2312" w:eastAsia="仿宋_GB2312"/>
          <w:sz w:val="32"/>
          <w:szCs w:val="32"/>
        </w:rPr>
        <w:t>要求</w:t>
      </w:r>
      <w:r>
        <w:rPr>
          <w:rFonts w:ascii="仿宋_GB2312" w:eastAsia="仿宋_GB2312"/>
          <w:sz w:val="32"/>
          <w:szCs w:val="32"/>
        </w:rPr>
        <w:t>的境外机构投资者开通</w:t>
      </w:r>
      <w:r>
        <w:rPr>
          <w:rFonts w:hint="eastAsia" w:ascii="仿宋_GB2312" w:eastAsia="仿宋_GB2312"/>
          <w:sz w:val="32"/>
          <w:szCs w:val="32"/>
        </w:rPr>
        <w:t>并适时调整</w:t>
      </w:r>
      <w:r>
        <w:rPr>
          <w:rFonts w:hint="eastAsia" w:ascii="仿宋_GB2312" w:hAnsi="宋体" w:eastAsia="仿宋_GB2312" w:cs="宋体"/>
          <w:color w:val="000000"/>
          <w:sz w:val="32"/>
          <w:szCs w:val="32"/>
        </w:rPr>
        <w:t>债券</w:t>
      </w:r>
      <w:r>
        <w:rPr>
          <w:rFonts w:hint="eastAsia" w:ascii="仿宋_GB2312" w:eastAsia="仿宋_GB2312"/>
          <w:sz w:val="32"/>
          <w:szCs w:val="32"/>
        </w:rPr>
        <w:t>回购业务</w:t>
      </w:r>
      <w:r>
        <w:rPr>
          <w:rFonts w:ascii="仿宋_GB2312" w:eastAsia="仿宋_GB2312"/>
          <w:sz w:val="32"/>
          <w:szCs w:val="32"/>
        </w:rPr>
        <w:t>权限。</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十</w:t>
      </w:r>
      <w:r>
        <w:rPr>
          <w:rFonts w:hint="eastAsia" w:ascii="仿宋_GB2312" w:eastAsia="仿宋_GB2312"/>
          <w:b/>
          <w:bCs/>
          <w:sz w:val="32"/>
          <w:szCs w:val="32"/>
          <w:lang w:val="en-US" w:eastAsia="zh-CN"/>
        </w:rPr>
        <w:t>八</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hAnsi="宋体" w:eastAsia="仿宋_GB2312" w:cs="宋体"/>
          <w:color w:val="000000"/>
          <w:sz w:val="32"/>
          <w:szCs w:val="32"/>
          <w:highlight w:val="none"/>
        </w:rPr>
        <w:t>“债券通”北向通渠道</w:t>
      </w:r>
      <w:r>
        <w:rPr>
          <w:rFonts w:hint="eastAsia" w:ascii="仿宋_GB2312" w:hAnsi="宋体" w:eastAsia="仿宋_GB2312" w:cs="宋体"/>
          <w:color w:val="000000"/>
          <w:sz w:val="32"/>
          <w:szCs w:val="32"/>
          <w:highlight w:val="none"/>
          <w:lang w:eastAsia="zh-CN"/>
        </w:rPr>
        <w:t>下，</w:t>
      </w:r>
      <w:r>
        <w:rPr>
          <w:rFonts w:hint="eastAsia" w:ascii="仿宋_GB2312" w:eastAsia="仿宋_GB2312"/>
          <w:sz w:val="32"/>
          <w:szCs w:val="32"/>
          <w:highlight w:val="none"/>
        </w:rPr>
        <w:t>境外机构投资者开展债券回购交易采取请求报价方式。</w:t>
      </w:r>
      <w:r>
        <w:rPr>
          <w:rFonts w:hint="eastAsia" w:ascii="仿宋_GB2312" w:eastAsia="仿宋_GB2312"/>
          <w:sz w:val="32"/>
          <w:szCs w:val="32"/>
        </w:rPr>
        <w:t>结算代理渠道下，境外</w:t>
      </w:r>
      <w:r>
        <w:rPr>
          <w:rFonts w:hint="eastAsia" w:ascii="仿宋_GB2312" w:eastAsia="仿宋_GB2312"/>
          <w:sz w:val="32"/>
          <w:szCs w:val="32"/>
          <w:lang w:eastAsia="zh-CN"/>
        </w:rPr>
        <w:t>机构</w:t>
      </w:r>
      <w:r>
        <w:rPr>
          <w:rFonts w:hint="eastAsia" w:ascii="仿宋_GB2312" w:eastAsia="仿宋_GB2312"/>
          <w:sz w:val="32"/>
          <w:szCs w:val="32"/>
        </w:rPr>
        <w:t>投资者委托结算代理行开展交易的，具体按照同业拆借中心现行交易规则执行。</w:t>
      </w:r>
      <w:r>
        <w:rPr>
          <w:rFonts w:hint="eastAsia" w:ascii="仿宋_GB2312" w:hAnsi="仿宋_GB2312" w:eastAsia="仿宋_GB2312" w:cs="仿宋_GB2312"/>
          <w:sz w:val="32"/>
          <w:szCs w:val="32"/>
          <w:highlight w:val="none"/>
        </w:rPr>
        <w:t>交易方式如有调整，将另行向市场公告</w:t>
      </w:r>
      <w:r>
        <w:rPr>
          <w:rFonts w:hint="eastAsia" w:ascii="仿宋_GB2312" w:eastAsia="仿宋_GB2312"/>
          <w:sz w:val="32"/>
          <w:szCs w:val="32"/>
        </w:rPr>
        <w:t>。</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十</w:t>
      </w:r>
      <w:r>
        <w:rPr>
          <w:rFonts w:hint="eastAsia" w:ascii="仿宋_GB2312" w:eastAsia="仿宋_GB2312"/>
          <w:b/>
          <w:bCs/>
          <w:sz w:val="32"/>
          <w:szCs w:val="32"/>
          <w:lang w:val="en-US" w:eastAsia="zh-CN"/>
        </w:rPr>
        <w:t>九</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境外机构投资者进行</w:t>
      </w:r>
      <w:r>
        <w:rPr>
          <w:rFonts w:ascii="仿宋_GB2312" w:eastAsia="仿宋_GB2312"/>
          <w:sz w:val="32"/>
          <w:szCs w:val="32"/>
        </w:rPr>
        <w:t>请求报价的基本流程为：境外</w:t>
      </w:r>
      <w:r>
        <w:rPr>
          <w:rFonts w:hint="eastAsia" w:ascii="仿宋_GB2312" w:eastAsia="仿宋_GB2312"/>
          <w:sz w:val="32"/>
          <w:szCs w:val="32"/>
        </w:rPr>
        <w:t>机构投资者（请求方）</w:t>
      </w:r>
      <w:r>
        <w:rPr>
          <w:rFonts w:ascii="仿宋_GB2312" w:eastAsia="仿宋_GB2312"/>
          <w:sz w:val="32"/>
          <w:szCs w:val="32"/>
        </w:rPr>
        <w:t>向</w:t>
      </w:r>
      <w:r>
        <w:rPr>
          <w:rFonts w:hint="eastAsia" w:ascii="仿宋_GB2312" w:eastAsia="仿宋_GB2312"/>
          <w:sz w:val="32"/>
          <w:szCs w:val="32"/>
          <w:lang w:eastAsia="zh-CN"/>
        </w:rPr>
        <w:t>做市商</w:t>
      </w:r>
      <w:r>
        <w:rPr>
          <w:rFonts w:ascii="仿宋_GB2312" w:eastAsia="仿宋_GB2312"/>
          <w:sz w:val="32"/>
          <w:szCs w:val="32"/>
        </w:rPr>
        <w:t>发送报价请求</w:t>
      </w:r>
      <w:r>
        <w:rPr>
          <w:rFonts w:hint="eastAsia" w:ascii="仿宋_GB2312" w:eastAsia="仿宋_GB2312"/>
          <w:sz w:val="32"/>
          <w:szCs w:val="32"/>
        </w:rPr>
        <w:t>；</w:t>
      </w:r>
      <w:r>
        <w:rPr>
          <w:rFonts w:hint="eastAsia" w:ascii="仿宋_GB2312" w:eastAsia="仿宋_GB2312"/>
          <w:sz w:val="32"/>
          <w:szCs w:val="32"/>
          <w:lang w:eastAsia="zh-CN"/>
        </w:rPr>
        <w:t>做市商</w:t>
      </w:r>
      <w:r>
        <w:rPr>
          <w:rFonts w:ascii="仿宋_GB2312" w:eastAsia="仿宋_GB2312"/>
          <w:sz w:val="32"/>
          <w:szCs w:val="32"/>
        </w:rPr>
        <w:t>通过交易系统向境外</w:t>
      </w:r>
      <w:r>
        <w:rPr>
          <w:rFonts w:hint="eastAsia" w:ascii="仿宋_GB2312" w:eastAsia="仿宋_GB2312"/>
          <w:sz w:val="32"/>
          <w:szCs w:val="32"/>
        </w:rPr>
        <w:t>机构投资者</w:t>
      </w:r>
      <w:r>
        <w:rPr>
          <w:rFonts w:ascii="仿宋_GB2312" w:eastAsia="仿宋_GB2312"/>
          <w:sz w:val="32"/>
          <w:szCs w:val="32"/>
        </w:rPr>
        <w:t>回复可成交</w:t>
      </w:r>
      <w:r>
        <w:rPr>
          <w:rFonts w:hint="eastAsia" w:ascii="仿宋_GB2312" w:eastAsia="仿宋_GB2312"/>
          <w:sz w:val="32"/>
          <w:szCs w:val="32"/>
        </w:rPr>
        <w:t>价格及其他交易要素</w:t>
      </w:r>
      <w:r>
        <w:rPr>
          <w:rFonts w:ascii="仿宋_GB2312" w:eastAsia="仿宋_GB2312"/>
          <w:sz w:val="32"/>
          <w:szCs w:val="32"/>
        </w:rPr>
        <w:t>；境外</w:t>
      </w:r>
      <w:r>
        <w:rPr>
          <w:rFonts w:hint="eastAsia" w:ascii="仿宋_GB2312" w:eastAsia="仿宋_GB2312"/>
          <w:sz w:val="32"/>
          <w:szCs w:val="32"/>
        </w:rPr>
        <w:t>机构投资者对收到的回复进行</w:t>
      </w:r>
      <w:r>
        <w:rPr>
          <w:rFonts w:ascii="仿宋_GB2312" w:eastAsia="仿宋_GB2312"/>
          <w:sz w:val="32"/>
          <w:szCs w:val="32"/>
        </w:rPr>
        <w:t>确认，在交易系统达成</w:t>
      </w:r>
      <w:r>
        <w:rPr>
          <w:rFonts w:hint="eastAsia" w:ascii="仿宋_GB2312" w:eastAsia="仿宋_GB2312"/>
          <w:sz w:val="32"/>
          <w:szCs w:val="32"/>
        </w:rPr>
        <w:t>成交。</w:t>
      </w:r>
    </w:p>
    <w:p>
      <w:pPr>
        <w:pStyle w:val="19"/>
        <w:spacing w:line="560" w:lineRule="exact"/>
        <w:ind w:firstLine="643" w:firstLineChars="200"/>
        <w:rPr>
          <w:rFonts w:hint="eastAsia"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二十</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lang w:eastAsia="zh-CN"/>
        </w:rPr>
        <w:t>做市商</w:t>
      </w:r>
      <w:r>
        <w:rPr>
          <w:rFonts w:ascii="仿宋_GB2312" w:eastAsia="仿宋_GB2312"/>
          <w:sz w:val="32"/>
          <w:szCs w:val="32"/>
        </w:rPr>
        <w:t>应</w:t>
      </w:r>
      <w:r>
        <w:rPr>
          <w:rFonts w:hint="eastAsia" w:ascii="仿宋_GB2312" w:eastAsia="仿宋_GB2312"/>
          <w:sz w:val="32"/>
          <w:szCs w:val="32"/>
        </w:rPr>
        <w:t>在交易前向</w:t>
      </w:r>
      <w:r>
        <w:rPr>
          <w:rFonts w:ascii="仿宋_GB2312" w:eastAsia="仿宋_GB2312"/>
          <w:sz w:val="32"/>
          <w:szCs w:val="32"/>
        </w:rPr>
        <w:t>同业拆借中心</w:t>
      </w:r>
      <w:r>
        <w:rPr>
          <w:rFonts w:hint="eastAsia" w:ascii="仿宋_GB2312" w:eastAsia="仿宋_GB2312"/>
          <w:sz w:val="32"/>
          <w:szCs w:val="32"/>
        </w:rPr>
        <w:t>申请开通请求回复权限</w:t>
      </w:r>
      <w:r>
        <w:rPr>
          <w:rFonts w:hint="eastAsia" w:ascii="仿宋_GB2312" w:eastAsia="仿宋_GB2312"/>
          <w:sz w:val="32"/>
          <w:szCs w:val="32"/>
          <w:lang w:eastAsia="zh-CN"/>
        </w:rPr>
        <w:t>，</w:t>
      </w:r>
      <w:r>
        <w:rPr>
          <w:rFonts w:hint="eastAsia" w:ascii="仿宋_GB2312" w:eastAsia="仿宋_GB2312"/>
          <w:sz w:val="32"/>
          <w:szCs w:val="32"/>
          <w:lang w:val="en-US" w:eastAsia="zh-CN"/>
        </w:rPr>
        <w:t>并</w:t>
      </w:r>
      <w:r>
        <w:rPr>
          <w:rFonts w:hint="eastAsia" w:ascii="仿宋_GB2312" w:eastAsia="仿宋_GB2312"/>
          <w:sz w:val="32"/>
          <w:szCs w:val="32"/>
        </w:rPr>
        <w:t>对境外机构投资者设置请求报价白名单，在白名单内的境外机构投资者可向</w:t>
      </w:r>
      <w:r>
        <w:rPr>
          <w:rFonts w:hint="eastAsia" w:ascii="仿宋_GB2312" w:eastAsia="仿宋_GB2312"/>
          <w:sz w:val="32"/>
          <w:szCs w:val="32"/>
          <w:lang w:eastAsia="zh-CN"/>
        </w:rPr>
        <w:t>做市商</w:t>
      </w:r>
      <w:r>
        <w:rPr>
          <w:rFonts w:hint="eastAsia" w:ascii="仿宋_GB2312" w:eastAsia="仿宋_GB2312"/>
          <w:sz w:val="32"/>
          <w:szCs w:val="32"/>
        </w:rPr>
        <w:t>发送请求报价。</w:t>
      </w:r>
      <w:r>
        <w:rPr>
          <w:rFonts w:hint="eastAsia" w:ascii="仿宋_GB2312" w:eastAsia="仿宋_GB2312"/>
          <w:sz w:val="32"/>
          <w:szCs w:val="32"/>
          <w:lang w:eastAsia="zh-CN"/>
        </w:rPr>
        <w:t>做市商</w:t>
      </w:r>
      <w:r>
        <w:rPr>
          <w:rFonts w:hint="eastAsia" w:ascii="仿宋_GB2312" w:eastAsia="仿宋_GB2312"/>
          <w:sz w:val="32"/>
          <w:szCs w:val="32"/>
        </w:rPr>
        <w:t>也可根据需要设置对手方授信额度。</w:t>
      </w:r>
    </w:p>
    <w:p>
      <w:pPr>
        <w:pStyle w:val="19"/>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第二十</w:t>
      </w:r>
      <w:r>
        <w:rPr>
          <w:rFonts w:hint="eastAsia" w:ascii="仿宋_GB2312" w:eastAsia="仿宋_GB2312"/>
          <w:b/>
          <w:bCs/>
          <w:sz w:val="32"/>
          <w:szCs w:val="32"/>
          <w:lang w:val="en-US" w:eastAsia="zh-CN"/>
        </w:rPr>
        <w:t>一</w:t>
      </w:r>
      <w:r>
        <w:rPr>
          <w:rFonts w:hint="eastAsia" w:ascii="仿宋_GB2312" w:eastAsia="仿宋_GB2312"/>
          <w:b/>
          <w:bCs/>
          <w:sz w:val="32"/>
          <w:szCs w:val="32"/>
        </w:rPr>
        <w:t xml:space="preserve">条 </w:t>
      </w:r>
      <w:r>
        <w:rPr>
          <w:rFonts w:hint="eastAsia" w:ascii="仿宋_GB2312" w:eastAsia="仿宋_GB2312"/>
          <w:sz w:val="32"/>
          <w:szCs w:val="32"/>
        </w:rPr>
        <w:t>请求报价支持交易分仓功能。请求方在发起请求时可以选择多个交易账户，请求方确认报价回复后，应当在分配有效时间内进行分仓，</w:t>
      </w:r>
      <w:r>
        <w:rPr>
          <w:rFonts w:hint="eastAsia" w:ascii="仿宋_GB2312" w:eastAsia="仿宋_GB2312"/>
          <w:sz w:val="32"/>
          <w:szCs w:val="32"/>
          <w:lang w:eastAsia="zh-CN"/>
        </w:rPr>
        <w:t>做市商</w:t>
      </w:r>
      <w:r>
        <w:rPr>
          <w:rFonts w:hint="eastAsia" w:ascii="仿宋_GB2312" w:eastAsia="仿宋_GB2312"/>
          <w:sz w:val="32"/>
          <w:szCs w:val="32"/>
        </w:rPr>
        <w:t>确认后按交易账户分别达成成交。</w:t>
      </w:r>
    </w:p>
    <w:p>
      <w:pPr>
        <w:pStyle w:val="19"/>
        <w:spacing w:line="560" w:lineRule="exact"/>
        <w:ind w:firstLine="643" w:firstLineChars="200"/>
        <w:rPr>
          <w:rFonts w:ascii="仿宋_GB2312" w:eastAsia="仿宋_GB2312"/>
          <w:sz w:val="32"/>
          <w:szCs w:val="32"/>
        </w:rPr>
      </w:pPr>
      <w:r>
        <w:rPr>
          <w:rFonts w:hint="eastAsia" w:ascii="仿宋_GB2312" w:eastAsia="仿宋_GB2312"/>
          <w:b/>
          <w:bCs/>
          <w:sz w:val="32"/>
          <w:szCs w:val="32"/>
        </w:rPr>
        <w:t>第二十</w:t>
      </w:r>
      <w:r>
        <w:rPr>
          <w:rFonts w:hint="eastAsia" w:ascii="仿宋_GB2312" w:eastAsia="仿宋_GB2312"/>
          <w:b/>
          <w:bCs/>
          <w:sz w:val="32"/>
          <w:szCs w:val="32"/>
          <w:lang w:val="en-US" w:eastAsia="zh-CN"/>
        </w:rPr>
        <w:t>二</w:t>
      </w:r>
      <w:r>
        <w:rPr>
          <w:rFonts w:hint="eastAsia" w:ascii="仿宋_GB2312" w:eastAsia="仿宋_GB2312"/>
          <w:b/>
          <w:bCs/>
          <w:sz w:val="32"/>
          <w:szCs w:val="32"/>
        </w:rPr>
        <w:t xml:space="preserve">条 </w:t>
      </w:r>
      <w:r>
        <w:rPr>
          <w:rFonts w:hint="eastAsia" w:ascii="仿宋_GB2312" w:eastAsia="仿宋_GB2312"/>
          <w:sz w:val="32"/>
          <w:szCs w:val="32"/>
        </w:rPr>
        <w:t>请求报价支持使用担保品篮子。同业拆借中心设置担保品篮子及篮子成分债券的标准折算率。请求方确认报价回复后，应当在分配有效时间内进行配券，</w:t>
      </w:r>
      <w:r>
        <w:rPr>
          <w:rFonts w:hint="eastAsia" w:ascii="仿宋_GB2312" w:eastAsia="仿宋_GB2312"/>
          <w:sz w:val="32"/>
          <w:szCs w:val="32"/>
          <w:lang w:eastAsia="zh-CN"/>
        </w:rPr>
        <w:t>做市商</w:t>
      </w:r>
      <w:r>
        <w:rPr>
          <w:rFonts w:hint="eastAsia" w:ascii="仿宋_GB2312" w:eastAsia="仿宋_GB2312"/>
          <w:sz w:val="32"/>
          <w:szCs w:val="32"/>
        </w:rPr>
        <w:t>确认后达成成交。</w:t>
      </w:r>
    </w:p>
    <w:p>
      <w:pPr>
        <w:pStyle w:val="19"/>
        <w:spacing w:line="560" w:lineRule="exact"/>
        <w:ind w:firstLine="643" w:firstLineChars="200"/>
        <w:rPr>
          <w:rFonts w:ascii="仿宋_GB2312" w:eastAsia="仿宋_GB2312"/>
          <w:sz w:val="32"/>
          <w:szCs w:val="32"/>
        </w:rPr>
      </w:pPr>
      <w:r>
        <w:rPr>
          <w:rFonts w:hint="eastAsia" w:ascii="仿宋_GB2312" w:eastAsia="仿宋_GB2312"/>
          <w:b/>
          <w:bCs/>
          <w:sz w:val="32"/>
          <w:szCs w:val="32"/>
        </w:rPr>
        <w:t>第二十</w:t>
      </w:r>
      <w:r>
        <w:rPr>
          <w:rFonts w:hint="eastAsia" w:ascii="仿宋_GB2312" w:eastAsia="仿宋_GB2312"/>
          <w:b/>
          <w:bCs/>
          <w:sz w:val="32"/>
          <w:szCs w:val="32"/>
          <w:lang w:val="en-US" w:eastAsia="zh-CN"/>
        </w:rPr>
        <w:t>三</w:t>
      </w:r>
      <w:r>
        <w:rPr>
          <w:rFonts w:hint="eastAsia" w:ascii="仿宋_GB2312" w:eastAsia="仿宋_GB2312"/>
          <w:b/>
          <w:bCs/>
          <w:sz w:val="32"/>
          <w:szCs w:val="32"/>
        </w:rPr>
        <w:t>条</w:t>
      </w:r>
      <w:r>
        <w:rPr>
          <w:rFonts w:ascii="仿宋_GB2312" w:eastAsia="仿宋_GB2312"/>
          <w:sz w:val="32"/>
          <w:szCs w:val="32"/>
        </w:rPr>
        <w:t xml:space="preserve"> </w:t>
      </w:r>
      <w:r>
        <w:rPr>
          <w:rFonts w:hint="eastAsia" w:ascii="仿宋_GB2312" w:eastAsia="仿宋_GB2312"/>
          <w:sz w:val="32"/>
          <w:szCs w:val="32"/>
        </w:rPr>
        <w:t>成交达成后，同业拆借中心交易系统生成成交单。交易双方</w:t>
      </w:r>
      <w:r>
        <w:rPr>
          <w:rFonts w:hint="eastAsia" w:ascii="仿宋_GB2312" w:eastAsia="仿宋_GB2312"/>
          <w:sz w:val="32"/>
          <w:szCs w:val="32"/>
          <w:lang w:val="en-US" w:eastAsia="zh-CN"/>
        </w:rPr>
        <w:t>应</w:t>
      </w:r>
      <w:r>
        <w:rPr>
          <w:rFonts w:hint="eastAsia" w:ascii="仿宋_GB2312" w:eastAsia="仿宋_GB2312"/>
          <w:sz w:val="32"/>
          <w:szCs w:val="32"/>
        </w:rPr>
        <w:t>根据成交信息办理结算。</w:t>
      </w:r>
    </w:p>
    <w:p>
      <w:pPr>
        <w:pStyle w:val="19"/>
        <w:spacing w:line="560" w:lineRule="exact"/>
        <w:ind w:firstLine="643" w:firstLineChars="200"/>
        <w:rPr>
          <w:rFonts w:ascii="仿宋_GB2312" w:eastAsia="仿宋_GB2312"/>
          <w:sz w:val="32"/>
          <w:szCs w:val="32"/>
        </w:rPr>
      </w:pPr>
      <w:r>
        <w:rPr>
          <w:rFonts w:hint="eastAsia" w:ascii="仿宋_GB2312" w:eastAsia="仿宋_GB2312"/>
          <w:b/>
          <w:bCs/>
          <w:sz w:val="32"/>
          <w:szCs w:val="32"/>
        </w:rPr>
        <w:t>第二十</w:t>
      </w:r>
      <w:r>
        <w:rPr>
          <w:rFonts w:hint="eastAsia" w:ascii="仿宋_GB2312" w:eastAsia="仿宋_GB2312"/>
          <w:b/>
          <w:bCs/>
          <w:sz w:val="32"/>
          <w:szCs w:val="32"/>
          <w:lang w:val="en-US" w:eastAsia="zh-CN"/>
        </w:rPr>
        <w:t>四</w:t>
      </w:r>
      <w:r>
        <w:rPr>
          <w:rFonts w:hint="eastAsia" w:ascii="仿宋_GB2312" w:eastAsia="仿宋_GB2312"/>
          <w:b/>
          <w:bCs/>
          <w:sz w:val="32"/>
          <w:szCs w:val="32"/>
        </w:rPr>
        <w:t>条</w:t>
      </w:r>
      <w:r>
        <w:rPr>
          <w:rFonts w:ascii="仿宋_GB2312" w:eastAsia="仿宋_GB2312"/>
          <w:sz w:val="32"/>
          <w:szCs w:val="32"/>
        </w:rPr>
        <w:t xml:space="preserve"> </w:t>
      </w:r>
      <w:r>
        <w:rPr>
          <w:rFonts w:hint="eastAsia" w:ascii="仿宋_GB2312" w:eastAsia="仿宋_GB2312"/>
          <w:sz w:val="32"/>
          <w:szCs w:val="32"/>
        </w:rPr>
        <w:t>债券回购</w:t>
      </w:r>
      <w:r>
        <w:rPr>
          <w:rFonts w:ascii="仿宋_GB2312" w:eastAsia="仿宋_GB2312"/>
          <w:sz w:val="32"/>
          <w:szCs w:val="32"/>
        </w:rPr>
        <w:t>交易达成后结算失败</w:t>
      </w:r>
      <w:r>
        <w:rPr>
          <w:rFonts w:hint="eastAsia" w:ascii="仿宋_GB2312" w:eastAsia="仿宋_GB2312"/>
          <w:sz w:val="32"/>
          <w:szCs w:val="32"/>
        </w:rPr>
        <w:t>的</w:t>
      </w:r>
      <w:r>
        <w:rPr>
          <w:rFonts w:ascii="仿宋_GB2312" w:eastAsia="仿宋_GB2312"/>
          <w:sz w:val="32"/>
          <w:szCs w:val="32"/>
        </w:rPr>
        <w:t>，</w:t>
      </w:r>
      <w:r>
        <w:rPr>
          <w:rFonts w:hint="eastAsia" w:ascii="仿宋_GB2312" w:eastAsia="仿宋_GB2312"/>
          <w:sz w:val="32"/>
          <w:szCs w:val="32"/>
        </w:rPr>
        <w:t>交易双方</w:t>
      </w:r>
      <w:r>
        <w:rPr>
          <w:rFonts w:ascii="仿宋_GB2312" w:eastAsia="仿宋_GB2312"/>
          <w:sz w:val="32"/>
          <w:szCs w:val="32"/>
        </w:rPr>
        <w:t>应及时</w:t>
      </w:r>
      <w:r>
        <w:rPr>
          <w:rFonts w:hint="eastAsia" w:ascii="仿宋_GB2312" w:eastAsia="仿宋_GB2312"/>
          <w:sz w:val="32"/>
          <w:szCs w:val="32"/>
        </w:rPr>
        <w:t>通过线上结算失败报备服务或线下方式</w:t>
      </w:r>
      <w:r>
        <w:rPr>
          <w:rFonts w:ascii="仿宋_GB2312" w:eastAsia="仿宋_GB2312"/>
          <w:sz w:val="32"/>
          <w:szCs w:val="32"/>
        </w:rPr>
        <w:t>向</w:t>
      </w:r>
      <w:r>
        <w:rPr>
          <w:rFonts w:hint="eastAsia" w:ascii="仿宋_GB2312" w:eastAsia="仿宋_GB2312"/>
          <w:sz w:val="32"/>
          <w:szCs w:val="32"/>
        </w:rPr>
        <w:t>同业拆借</w:t>
      </w:r>
      <w:r>
        <w:rPr>
          <w:rFonts w:ascii="仿宋_GB2312" w:eastAsia="仿宋_GB2312"/>
          <w:sz w:val="32"/>
          <w:szCs w:val="32"/>
        </w:rPr>
        <w:t>中心提交结算失败说明。</w:t>
      </w:r>
    </w:p>
    <w:p>
      <w:pPr>
        <w:pStyle w:val="19"/>
        <w:spacing w:line="560" w:lineRule="exact"/>
        <w:ind w:firstLine="640" w:firstLineChars="200"/>
        <w:rPr>
          <w:rFonts w:ascii="仿宋_GB2312" w:eastAsia="仿宋_GB2312"/>
          <w:sz w:val="32"/>
          <w:szCs w:val="32"/>
        </w:rPr>
      </w:pPr>
    </w:p>
    <w:p>
      <w:pPr>
        <w:pStyle w:val="18"/>
        <w:spacing w:line="560" w:lineRule="exact"/>
        <w:ind w:left="0" w:leftChars="0" w:right="0" w:rightChars="0"/>
        <w:jc w:val="center"/>
        <w:textAlignment w:val="baseline"/>
        <w:rPr>
          <w:rFonts w:hint="eastAsia" w:ascii="黑体" w:hAnsi="黑体" w:eastAsia="黑体" w:cs="宋体"/>
          <w:b w:val="0"/>
          <w:bCs w:val="0"/>
          <w:color w:val="000000"/>
          <w:sz w:val="32"/>
          <w:szCs w:val="32"/>
        </w:rPr>
      </w:pPr>
      <w:r>
        <w:rPr>
          <w:rFonts w:hint="eastAsia" w:ascii="黑体" w:hAnsi="黑体" w:eastAsia="黑体" w:cs="宋体"/>
          <w:b w:val="0"/>
          <w:bCs w:val="0"/>
          <w:i w:val="0"/>
          <w:iCs w:val="0"/>
          <w:caps w:val="0"/>
          <w:color w:val="000000"/>
          <w:spacing w:val="0"/>
          <w:kern w:val="2"/>
          <w:sz w:val="32"/>
          <w:szCs w:val="32"/>
          <w:shd w:val="clear" w:color="auto" w:fill="auto"/>
          <w:lang w:val="en-US" w:eastAsia="zh-CN"/>
        </w:rPr>
        <w:t>第四章　风险管理</w:t>
      </w:r>
    </w:p>
    <w:p>
      <w:pPr>
        <w:pStyle w:val="19"/>
        <w:adjustRightInd w:val="0"/>
        <w:snapToGrid w:val="0"/>
        <w:spacing w:line="560" w:lineRule="exact"/>
        <w:ind w:firstLine="641"/>
        <w:rPr>
          <w:rFonts w:hint="eastAsia" w:ascii="仿宋_GB2312" w:hAnsi="Calibri" w:eastAsia="仿宋_GB2312" w:cs="Times New Roman"/>
          <w:sz w:val="32"/>
          <w:szCs w:val="32"/>
          <w:highlight w:val="none"/>
          <w:lang w:val="en-US" w:eastAsia="zh-CN"/>
        </w:rPr>
      </w:pPr>
      <w:r>
        <w:rPr>
          <w:rFonts w:hint="eastAsia" w:ascii="仿宋_GB2312" w:eastAsia="仿宋_GB2312" w:cs="Times New Roman"/>
          <w:b/>
          <w:bCs/>
          <w:sz w:val="32"/>
          <w:szCs w:val="32"/>
          <w:highlight w:val="none"/>
          <w:lang w:eastAsia="zh-CN"/>
        </w:rPr>
        <w:t>第二十</w:t>
      </w:r>
      <w:r>
        <w:rPr>
          <w:rFonts w:hint="eastAsia" w:ascii="仿宋_GB2312" w:eastAsia="仿宋_GB2312" w:cs="Times New Roman"/>
          <w:b/>
          <w:bCs/>
          <w:sz w:val="32"/>
          <w:szCs w:val="32"/>
          <w:highlight w:val="none"/>
          <w:lang w:val="en-US" w:eastAsia="zh-CN"/>
        </w:rPr>
        <w:t>五</w:t>
      </w:r>
      <w:r>
        <w:rPr>
          <w:rFonts w:hint="eastAsia" w:ascii="仿宋_GB2312" w:eastAsia="仿宋_GB2312" w:cs="Times New Roman"/>
          <w:b/>
          <w:bCs/>
          <w:sz w:val="32"/>
          <w:szCs w:val="32"/>
          <w:highlight w:val="none"/>
          <w:lang w:eastAsia="zh-CN"/>
        </w:rPr>
        <w:t>条</w:t>
      </w:r>
      <w:r>
        <w:rPr>
          <w:rFonts w:hint="eastAsia" w:ascii="仿宋_GB2312" w:eastAsia="仿宋_GB2312" w:cs="Times New Roman"/>
          <w:sz w:val="32"/>
          <w:szCs w:val="32"/>
          <w:highlight w:val="none"/>
          <w:lang w:val="en-US" w:eastAsia="zh-CN"/>
        </w:rPr>
        <w:t xml:space="preserve"> </w:t>
      </w:r>
      <w:r>
        <w:rPr>
          <w:rFonts w:hint="eastAsia" w:ascii="仿宋_GB2312" w:hAnsi="Calibri" w:eastAsia="仿宋_GB2312" w:cs="Times New Roman"/>
          <w:sz w:val="32"/>
          <w:szCs w:val="32"/>
          <w:highlight w:val="none"/>
          <w:lang w:val="en-US" w:eastAsia="zh-CN"/>
        </w:rPr>
        <w:t>境外机构投资者开展</w:t>
      </w:r>
      <w:r>
        <w:rPr>
          <w:rFonts w:hint="eastAsia" w:ascii="仿宋_GB2312" w:hAnsi="Calibri" w:eastAsia="仿宋_GB2312" w:cs="Times New Roman"/>
          <w:sz w:val="32"/>
          <w:szCs w:val="32"/>
          <w:highlight w:val="none"/>
        </w:rPr>
        <w:t>银行间债券市场</w:t>
      </w:r>
      <w:r>
        <w:rPr>
          <w:rFonts w:hint="eastAsia" w:ascii="仿宋_GB2312" w:eastAsia="仿宋_GB2312" w:cs="Times New Roman"/>
          <w:sz w:val="32"/>
          <w:szCs w:val="32"/>
          <w:highlight w:val="none"/>
          <w:lang w:val="en-US" w:eastAsia="zh-CN"/>
        </w:rPr>
        <w:t>债券回购业务</w:t>
      </w:r>
      <w:r>
        <w:rPr>
          <w:rFonts w:hint="eastAsia" w:ascii="仿宋_GB2312" w:hAnsi="Calibri" w:eastAsia="仿宋_GB2312" w:cs="Times New Roman"/>
          <w:sz w:val="32"/>
          <w:szCs w:val="32"/>
          <w:highlight w:val="none"/>
          <w:lang w:val="en-US" w:eastAsia="zh-CN"/>
        </w:rPr>
        <w:t>应做好杠杆</w:t>
      </w:r>
      <w:r>
        <w:rPr>
          <w:rFonts w:hint="eastAsia" w:ascii="仿宋_GB2312" w:eastAsia="仿宋_GB2312" w:cs="Times New Roman"/>
          <w:sz w:val="32"/>
          <w:szCs w:val="32"/>
          <w:highlight w:val="none"/>
          <w:lang w:val="en-US" w:eastAsia="zh-CN"/>
        </w:rPr>
        <w:t>率</w:t>
      </w:r>
      <w:r>
        <w:rPr>
          <w:rFonts w:hint="eastAsia" w:ascii="仿宋_GB2312" w:hAnsi="Calibri" w:eastAsia="仿宋_GB2312" w:cs="Times New Roman"/>
          <w:sz w:val="32"/>
          <w:szCs w:val="32"/>
          <w:highlight w:val="none"/>
          <w:lang w:val="en-US" w:eastAsia="zh-CN"/>
        </w:rPr>
        <w:t>管理。主权类机构、人民币清算行和参加行正回购融资余额不高于其持债余额的100%，其他类型的境外机构，初始阶段正回购融资余额不高于其持债余额的80%，未来视情况调整。</w:t>
      </w:r>
    </w:p>
    <w:p>
      <w:pPr>
        <w:pStyle w:val="19"/>
        <w:adjustRightInd w:val="0"/>
        <w:snapToGrid w:val="0"/>
        <w:spacing w:line="560" w:lineRule="exact"/>
        <w:ind w:firstLine="641"/>
        <w:rPr>
          <w:rFonts w:hint="default" w:ascii="仿宋_GB2312" w:hAnsi="Calibri" w:eastAsia="仿宋_GB2312" w:cs="Times New Roman"/>
          <w:sz w:val="32"/>
          <w:szCs w:val="32"/>
          <w:highlight w:val="none"/>
        </w:rPr>
      </w:pPr>
      <w:r>
        <w:rPr>
          <w:rFonts w:hint="eastAsia" w:ascii="仿宋_GB2312" w:eastAsia="仿宋_GB2312" w:cs="Times New Roman"/>
          <w:b/>
          <w:bCs/>
          <w:sz w:val="32"/>
          <w:szCs w:val="32"/>
          <w:highlight w:val="none"/>
          <w:lang w:val="en-US" w:eastAsia="zh-CN"/>
        </w:rPr>
        <w:t>第二十六条</w:t>
      </w:r>
      <w:r>
        <w:rPr>
          <w:rFonts w:hint="eastAsia" w:ascii="仿宋_GB2312" w:eastAsia="仿宋_GB2312" w:cs="Times New Roman"/>
          <w:sz w:val="32"/>
          <w:szCs w:val="32"/>
          <w:highlight w:val="none"/>
          <w:lang w:val="en-US" w:eastAsia="zh-CN"/>
        </w:rPr>
        <w:t xml:space="preserve"> 做市商应按照中国人民银行债券回购业务宏观审慎管理要求开展回购交易。做市商</w:t>
      </w:r>
      <w:r>
        <w:rPr>
          <w:rFonts w:hint="eastAsia" w:ascii="仿宋_GB2312" w:hAnsi="Calibri" w:eastAsia="仿宋_GB2312" w:cs="Times New Roman"/>
          <w:sz w:val="32"/>
          <w:szCs w:val="32"/>
          <w:highlight w:val="none"/>
          <w:lang w:val="en-US" w:eastAsia="zh-CN"/>
        </w:rPr>
        <w:t>跨境同业融资净融出余额不得超过本机构一级资本净额</w:t>
      </w:r>
      <w:r>
        <w:rPr>
          <w:rFonts w:hint="eastAsia" w:ascii="仿宋_GB2312" w:eastAsia="仿宋_GB2312" w:cs="Times New Roman"/>
          <w:sz w:val="32"/>
          <w:szCs w:val="32"/>
          <w:highlight w:val="none"/>
          <w:lang w:val="en-US" w:eastAsia="zh-CN"/>
        </w:rPr>
        <w:t>或核心净资本</w:t>
      </w:r>
      <w:r>
        <w:rPr>
          <w:rFonts w:hint="eastAsia" w:ascii="仿宋_GB2312" w:hAnsi="Calibri" w:eastAsia="仿宋_GB2312" w:cs="Times New Roman"/>
          <w:sz w:val="32"/>
          <w:szCs w:val="32"/>
          <w:highlight w:val="none"/>
          <w:lang w:val="en-US" w:eastAsia="zh-CN"/>
        </w:rPr>
        <w:t>的6%，后续将参照</w:t>
      </w:r>
      <w:r>
        <w:rPr>
          <w:rFonts w:hint="eastAsia" w:ascii="仿宋_GB2312" w:eastAsia="仿宋_GB2312" w:cs="Times New Roman"/>
          <w:sz w:val="32"/>
          <w:szCs w:val="32"/>
          <w:highlight w:val="none"/>
          <w:lang w:val="en-US" w:eastAsia="zh-CN"/>
        </w:rPr>
        <w:t>中国</w:t>
      </w:r>
      <w:r>
        <w:rPr>
          <w:rFonts w:hint="eastAsia" w:ascii="仿宋_GB2312" w:hAnsi="Calibri" w:eastAsia="仿宋_GB2312" w:cs="Times New Roman"/>
          <w:sz w:val="32"/>
          <w:szCs w:val="32"/>
          <w:highlight w:val="none"/>
          <w:lang w:val="en-US" w:eastAsia="zh-CN"/>
        </w:rPr>
        <w:t>人民银行关于跨境同业融资业务有关规定进行调整。</w:t>
      </w:r>
    </w:p>
    <w:p>
      <w:pPr>
        <w:pStyle w:val="18"/>
        <w:spacing w:line="560" w:lineRule="exact"/>
        <w:ind w:left="0" w:right="374" w:firstLine="640" w:firstLineChars="200"/>
        <w:jc w:val="both"/>
        <w:textAlignment w:val="baseline"/>
        <w:rPr>
          <w:rFonts w:hint="default" w:ascii="仿宋_GB2312" w:hAnsi="Calibri" w:eastAsia="仿宋_GB2312" w:cs="Times New Roman"/>
          <w:b w:val="0"/>
          <w:bCs w:val="0"/>
          <w:color w:val="000000"/>
          <w:sz w:val="32"/>
          <w:szCs w:val="32"/>
        </w:rPr>
      </w:pPr>
    </w:p>
    <w:p>
      <w:pPr>
        <w:pStyle w:val="18"/>
        <w:spacing w:line="560" w:lineRule="exact"/>
        <w:ind w:left="0" w:leftChars="0" w:right="0" w:rightChars="0"/>
        <w:jc w:val="center"/>
        <w:textAlignment w:val="baseline"/>
        <w:rPr>
          <w:rFonts w:ascii="黑体" w:hAnsi="黑体" w:eastAsia="黑体" w:cs="宋体"/>
          <w:b w:val="0"/>
          <w:bCs w:val="0"/>
          <w:color w:val="000000"/>
          <w:sz w:val="32"/>
          <w:szCs w:val="32"/>
        </w:rPr>
      </w:pPr>
      <w:r>
        <w:rPr>
          <w:rFonts w:hint="eastAsia" w:ascii="黑体" w:hAnsi="黑体" w:eastAsia="黑体" w:cs="宋体"/>
          <w:b w:val="0"/>
          <w:bCs w:val="0"/>
          <w:color w:val="000000"/>
          <w:sz w:val="32"/>
          <w:szCs w:val="32"/>
        </w:rPr>
        <w:t>第</w:t>
      </w:r>
      <w:r>
        <w:rPr>
          <w:rFonts w:hint="eastAsia" w:ascii="黑体" w:hAnsi="黑体" w:eastAsia="黑体" w:cs="宋体"/>
          <w:b w:val="0"/>
          <w:bCs w:val="0"/>
          <w:color w:val="000000"/>
          <w:sz w:val="32"/>
          <w:szCs w:val="32"/>
          <w:lang w:eastAsia="zh-CN"/>
        </w:rPr>
        <w:t>五</w:t>
      </w:r>
      <w:r>
        <w:rPr>
          <w:rFonts w:hint="eastAsia" w:ascii="黑体" w:hAnsi="黑体" w:eastAsia="黑体" w:cs="宋体"/>
          <w:b w:val="0"/>
          <w:bCs w:val="0"/>
          <w:color w:val="000000"/>
          <w:sz w:val="32"/>
          <w:szCs w:val="32"/>
        </w:rPr>
        <w:t>章 市场监测及处置</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二十</w:t>
      </w:r>
      <w:r>
        <w:rPr>
          <w:rFonts w:hint="eastAsia" w:ascii="仿宋_GB2312" w:eastAsia="仿宋_GB2312"/>
          <w:b/>
          <w:bCs/>
          <w:sz w:val="32"/>
          <w:szCs w:val="32"/>
          <w:lang w:val="en-US" w:eastAsia="zh-CN"/>
        </w:rPr>
        <w:t>七</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同业拆借中心根据</w:t>
      </w:r>
      <w:r>
        <w:rPr>
          <w:rFonts w:hint="eastAsia" w:ascii="仿宋_GB2312" w:eastAsia="仿宋_GB2312"/>
          <w:sz w:val="32"/>
          <w:szCs w:val="32"/>
          <w:lang w:eastAsia="zh-CN"/>
        </w:rPr>
        <w:t>中国</w:t>
      </w:r>
      <w:r>
        <w:rPr>
          <w:rFonts w:hint="eastAsia" w:ascii="仿宋_GB2312" w:eastAsia="仿宋_GB2312"/>
          <w:sz w:val="32"/>
          <w:szCs w:val="32"/>
        </w:rPr>
        <w:t>人民银行</w:t>
      </w:r>
      <w:r>
        <w:rPr>
          <w:rFonts w:ascii="仿宋_GB2312" w:eastAsia="仿宋_GB2312"/>
          <w:sz w:val="32"/>
          <w:szCs w:val="32"/>
        </w:rPr>
        <w:t>相关监管规定和本</w:t>
      </w:r>
      <w:r>
        <w:rPr>
          <w:rFonts w:hint="eastAsia" w:ascii="仿宋_GB2312" w:hAnsi="宋体" w:eastAsia="仿宋_GB2312" w:cs="宋体"/>
          <w:color w:val="000000"/>
          <w:sz w:val="32"/>
          <w:szCs w:val="32"/>
        </w:rPr>
        <w:t>细则</w:t>
      </w:r>
      <w:r>
        <w:rPr>
          <w:rFonts w:ascii="仿宋_GB2312" w:eastAsia="仿宋_GB2312"/>
          <w:sz w:val="32"/>
          <w:szCs w:val="32"/>
        </w:rPr>
        <w:t>对</w:t>
      </w:r>
      <w:r>
        <w:rPr>
          <w:rFonts w:hint="eastAsia" w:ascii="仿宋_GB2312" w:eastAsia="仿宋_GB2312"/>
          <w:sz w:val="32"/>
          <w:szCs w:val="32"/>
        </w:rPr>
        <w:t>境外机构投资者债券回购</w:t>
      </w:r>
      <w:r>
        <w:rPr>
          <w:rFonts w:ascii="仿宋_GB2312" w:eastAsia="仿宋_GB2312"/>
          <w:sz w:val="32"/>
          <w:szCs w:val="32"/>
        </w:rPr>
        <w:t>报价交易行为进行监测。</w:t>
      </w:r>
    </w:p>
    <w:p>
      <w:pPr>
        <w:pStyle w:val="19"/>
        <w:spacing w:line="560" w:lineRule="exact"/>
        <w:ind w:firstLine="640" w:firstLineChars="200"/>
        <w:rPr>
          <w:rFonts w:hint="eastAsia" w:ascii="仿宋_GB2312" w:eastAsia="仿宋_GB2312"/>
          <w:sz w:val="32"/>
          <w:szCs w:val="32"/>
        </w:rPr>
      </w:pPr>
      <w:r>
        <w:rPr>
          <w:rFonts w:ascii="仿宋_GB2312" w:eastAsia="仿宋_GB2312"/>
          <w:sz w:val="32"/>
          <w:szCs w:val="32"/>
        </w:rPr>
        <w:t>同业拆借中心发现异常情况</w:t>
      </w:r>
      <w:r>
        <w:rPr>
          <w:rFonts w:hint="eastAsia" w:ascii="仿宋_GB2312" w:eastAsia="仿宋_GB2312"/>
          <w:sz w:val="32"/>
          <w:szCs w:val="32"/>
        </w:rPr>
        <w:t>的</w:t>
      </w:r>
      <w:r>
        <w:rPr>
          <w:rFonts w:ascii="仿宋_GB2312" w:eastAsia="仿宋_GB2312"/>
          <w:sz w:val="32"/>
          <w:szCs w:val="32"/>
        </w:rPr>
        <w:t>，可向交易双方及其他相关方了解情况，交易双方及其他相关方应配合同业拆借中心调查</w:t>
      </w:r>
      <w:r>
        <w:rPr>
          <w:rFonts w:hint="eastAsia" w:ascii="仿宋_GB2312" w:eastAsia="仿宋_GB2312"/>
          <w:sz w:val="32"/>
          <w:szCs w:val="32"/>
        </w:rPr>
        <w:t>。</w:t>
      </w:r>
    </w:p>
    <w:p>
      <w:pPr>
        <w:pStyle w:val="19"/>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rPr>
        <w:t>第</w:t>
      </w:r>
      <w:r>
        <w:rPr>
          <w:rFonts w:hint="eastAsia" w:ascii="仿宋_GB2312" w:eastAsia="仿宋_GB2312"/>
          <w:b/>
          <w:bCs/>
          <w:sz w:val="32"/>
          <w:szCs w:val="32"/>
          <w:lang w:val="en-US" w:eastAsia="zh-CN"/>
        </w:rPr>
        <w:t>二十八</w:t>
      </w:r>
      <w:r>
        <w:rPr>
          <w:rFonts w:hint="eastAsia" w:ascii="仿宋_GB2312" w:eastAsia="仿宋_GB2312"/>
          <w:b/>
          <w:bCs/>
          <w:sz w:val="32"/>
          <w:szCs w:val="32"/>
        </w:rPr>
        <w:t>条</w:t>
      </w:r>
      <w:r>
        <w:rPr>
          <w:rFonts w:hint="eastAsia" w:ascii="仿宋_GB2312" w:eastAsia="仿宋_GB2312"/>
          <w:sz w:val="32"/>
          <w:szCs w:val="32"/>
        </w:rPr>
        <w:t xml:space="preserve"> 为维护正常交易秩序和市场公平，出现下列情形之一时，同业拆借中心可视情况暂停交易：</w:t>
      </w:r>
    </w:p>
    <w:p>
      <w:pPr>
        <w:pStyle w:val="19"/>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（一）市场价格出现非理性大幅波动等可能影响或破坏市场正常运行秩序的；</w:t>
      </w:r>
    </w:p>
    <w:p>
      <w:pPr>
        <w:pStyle w:val="19"/>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（二）不可抗力、意外事件、技术故障等突发性事件导致或可能导致交易全部或者部分不能正常进行；</w:t>
      </w:r>
    </w:p>
    <w:p>
      <w:pPr>
        <w:pStyle w:val="19"/>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（三）监管部门要求暂停交易或其他影响市场正常交易秩序和公平的情形。</w:t>
      </w:r>
    </w:p>
    <w:p>
      <w:pPr>
        <w:pStyle w:val="19"/>
        <w:spacing w:line="560" w:lineRule="exact"/>
        <w:ind w:firstLine="643" w:firstLineChars="200"/>
        <w:rPr>
          <w:rFonts w:ascii="仿宋_GB2312" w:eastAsia="仿宋_GB2312"/>
          <w:sz w:val="32"/>
          <w:szCs w:val="32"/>
        </w:rPr>
      </w:pPr>
      <w:r>
        <w:rPr>
          <w:rFonts w:hint="eastAsia" w:ascii="仿宋_GB2312" w:eastAsia="仿宋_GB2312"/>
          <w:b/>
          <w:bCs/>
          <w:sz w:val="32"/>
          <w:szCs w:val="32"/>
        </w:rPr>
        <w:t>第</w:t>
      </w:r>
      <w:r>
        <w:rPr>
          <w:rFonts w:hint="eastAsia" w:ascii="仿宋_GB2312" w:eastAsia="仿宋_GB2312"/>
          <w:b/>
          <w:bCs/>
          <w:sz w:val="32"/>
          <w:szCs w:val="32"/>
          <w:lang w:val="en-US" w:eastAsia="zh-CN"/>
        </w:rPr>
        <w:t>二十九</w:t>
      </w:r>
      <w:r>
        <w:rPr>
          <w:rFonts w:hint="eastAsia" w:ascii="仿宋_GB2312" w:eastAsia="仿宋_GB2312"/>
          <w:b/>
          <w:bCs/>
          <w:sz w:val="32"/>
          <w:szCs w:val="32"/>
        </w:rPr>
        <w:t>条</w:t>
      </w:r>
      <w:r>
        <w:rPr>
          <w:rFonts w:hint="eastAsia" w:ascii="仿宋_GB2312" w:eastAsia="仿宋_GB2312"/>
          <w:sz w:val="32"/>
          <w:szCs w:val="32"/>
        </w:rPr>
        <w:t xml:space="preserve"> 同业拆借中心对因采取前述规定的措施给任何方造成的损失不承担责任，但同业拆借中心存在重大过错情形的除外。</w:t>
      </w:r>
    </w:p>
    <w:p>
      <w:pPr>
        <w:pStyle w:val="19"/>
        <w:spacing w:line="560" w:lineRule="exact"/>
        <w:ind w:firstLine="640" w:firstLineChars="200"/>
        <w:rPr>
          <w:rFonts w:hint="eastAsia" w:ascii="仿宋_GB2312" w:eastAsia="仿宋_GB2312"/>
          <w:sz w:val="32"/>
          <w:szCs w:val="32"/>
        </w:rPr>
      </w:pPr>
    </w:p>
    <w:p>
      <w:pPr>
        <w:pStyle w:val="18"/>
        <w:spacing w:line="560" w:lineRule="exact"/>
        <w:ind w:left="0" w:leftChars="0" w:right="0" w:rightChars="0"/>
        <w:jc w:val="center"/>
        <w:textAlignment w:val="baseline"/>
        <w:rPr>
          <w:rFonts w:ascii="黑体" w:hAnsi="黑体" w:eastAsia="黑体" w:cs="宋体"/>
          <w:b w:val="0"/>
          <w:bCs w:val="0"/>
          <w:color w:val="000000"/>
          <w:sz w:val="32"/>
          <w:szCs w:val="32"/>
        </w:rPr>
      </w:pPr>
      <w:r>
        <w:rPr>
          <w:rFonts w:ascii="黑体" w:hAnsi="黑体" w:eastAsia="黑体" w:cs="宋体"/>
          <w:b w:val="0"/>
          <w:bCs w:val="0"/>
          <w:color w:val="000000"/>
          <w:sz w:val="32"/>
          <w:szCs w:val="32"/>
        </w:rPr>
        <w:t>第</w:t>
      </w:r>
      <w:r>
        <w:rPr>
          <w:rFonts w:hint="eastAsia" w:ascii="黑体" w:hAnsi="黑体" w:eastAsia="黑体" w:cs="宋体"/>
          <w:b w:val="0"/>
          <w:bCs w:val="0"/>
          <w:color w:val="000000"/>
          <w:sz w:val="32"/>
          <w:szCs w:val="32"/>
          <w:lang w:eastAsia="zh-CN"/>
        </w:rPr>
        <w:t>六</w:t>
      </w:r>
      <w:r>
        <w:rPr>
          <w:rFonts w:ascii="黑体" w:hAnsi="黑体" w:eastAsia="黑体" w:cs="宋体"/>
          <w:b w:val="0"/>
          <w:bCs w:val="0"/>
          <w:color w:val="000000"/>
          <w:sz w:val="32"/>
          <w:szCs w:val="32"/>
        </w:rPr>
        <w:t>章　附 则</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val="en-US" w:eastAsia="zh-CN"/>
        </w:rPr>
        <w:t>三十</w:t>
      </w:r>
      <w:r>
        <w:rPr>
          <w:rFonts w:ascii="仿宋_GB2312" w:eastAsia="仿宋_GB2312"/>
          <w:b/>
          <w:bCs/>
          <w:sz w:val="32"/>
          <w:szCs w:val="32"/>
        </w:rPr>
        <w:t>条</w:t>
      </w:r>
      <w:r>
        <w:rPr>
          <w:rFonts w:hint="eastAsia" w:ascii="仿宋_GB2312" w:eastAsia="仿宋_GB2312"/>
          <w:b/>
          <w:bCs/>
          <w:sz w:val="32"/>
          <w:szCs w:val="32"/>
        </w:rPr>
        <w:t xml:space="preserve"> </w:t>
      </w:r>
      <w:r>
        <w:rPr>
          <w:rFonts w:hint="eastAsia" w:ascii="仿宋_GB2312" w:eastAsia="仿宋_GB2312"/>
          <w:sz w:val="32"/>
          <w:szCs w:val="32"/>
        </w:rPr>
        <w:t>境外机构投资者银行间债券回购</w:t>
      </w:r>
      <w:r>
        <w:rPr>
          <w:rFonts w:ascii="仿宋_GB2312" w:eastAsia="仿宋_GB2312"/>
          <w:sz w:val="32"/>
          <w:szCs w:val="32"/>
        </w:rPr>
        <w:t>交易要素、成交单内容等交易相关信息以中文为准。</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lang w:eastAsia="zh-CN"/>
        </w:rPr>
        <w:t>三十</w:t>
      </w:r>
      <w:r>
        <w:rPr>
          <w:rFonts w:hint="eastAsia" w:ascii="仿宋_GB2312" w:eastAsia="仿宋_GB2312"/>
          <w:b/>
          <w:bCs/>
          <w:sz w:val="32"/>
          <w:szCs w:val="32"/>
          <w:lang w:val="en-US" w:eastAsia="zh-CN"/>
        </w:rPr>
        <w:t>一</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同业拆借中心对</w:t>
      </w:r>
      <w:r>
        <w:rPr>
          <w:rFonts w:hint="eastAsia" w:ascii="仿宋_GB2312" w:eastAsia="仿宋_GB2312"/>
          <w:sz w:val="32"/>
          <w:szCs w:val="32"/>
        </w:rPr>
        <w:t>境内外投资者债券回购</w:t>
      </w:r>
      <w:r>
        <w:rPr>
          <w:rFonts w:ascii="仿宋_GB2312" w:eastAsia="仿宋_GB2312"/>
          <w:sz w:val="32"/>
          <w:szCs w:val="32"/>
        </w:rPr>
        <w:t>交易活动中产生的交易数据（包括但不限于报价信息、成交数据、</w:t>
      </w:r>
      <w:r>
        <w:rPr>
          <w:rFonts w:hint="eastAsia" w:ascii="仿宋_GB2312" w:eastAsia="仿宋_GB2312"/>
          <w:sz w:val="32"/>
          <w:szCs w:val="32"/>
        </w:rPr>
        <w:t>回购债券信息</w:t>
      </w:r>
      <w:r>
        <w:rPr>
          <w:rFonts w:ascii="仿宋_GB2312" w:eastAsia="仿宋_GB2312"/>
          <w:sz w:val="32"/>
          <w:szCs w:val="32"/>
        </w:rPr>
        <w:t>、</w:t>
      </w:r>
      <w:r>
        <w:rPr>
          <w:rFonts w:hint="eastAsia" w:ascii="仿宋_GB2312" w:eastAsia="仿宋_GB2312"/>
          <w:sz w:val="32"/>
          <w:szCs w:val="32"/>
        </w:rPr>
        <w:t>担保品篮子信息、行情信息</w:t>
      </w:r>
      <w:r>
        <w:rPr>
          <w:rFonts w:ascii="仿宋_GB2312" w:eastAsia="仿宋_GB2312"/>
          <w:sz w:val="32"/>
          <w:szCs w:val="32"/>
        </w:rPr>
        <w:t>等数据，以下简称同业拆借中心数据）享有完全的数据权益，包括但不限于数据资源持有权、数据加工使用权、数据产品经营权、知识产权、专有权等财产权利和/或其他权利，即使该等数据可能是通过市场参与者（含授权人士）的行为而生成。任何单位和个人如需使用同业拆借中心数据，包括但不限于直接或间接展示、下载、存储、传输、加工、编制、修改、出售或以其他方式使用，应事先获得同业拆借中心许可。</w:t>
      </w:r>
    </w:p>
    <w:p>
      <w:pPr>
        <w:pStyle w:val="19"/>
        <w:spacing w:line="560" w:lineRule="exact"/>
        <w:ind w:firstLine="643" w:firstLineChars="200"/>
        <w:rPr>
          <w:rFonts w:hint="eastAsia" w:ascii="仿宋_GB2312" w:eastAsia="仿宋_GB2312"/>
          <w:sz w:val="32"/>
          <w:szCs w:val="32"/>
        </w:rPr>
      </w:pPr>
      <w:bookmarkStart w:id="4" w:name="tiao_35"/>
      <w:bookmarkEnd w:id="4"/>
      <w:r>
        <w:rPr>
          <w:rFonts w:ascii="仿宋_GB2312" w:eastAsia="仿宋_GB2312"/>
          <w:b/>
          <w:bCs/>
          <w:sz w:val="32"/>
          <w:szCs w:val="32"/>
        </w:rPr>
        <w:t>第</w:t>
      </w:r>
      <w:r>
        <w:rPr>
          <w:rFonts w:hint="eastAsia" w:ascii="仿宋_GB2312" w:eastAsia="仿宋_GB2312"/>
          <w:b/>
          <w:bCs/>
          <w:sz w:val="32"/>
          <w:szCs w:val="32"/>
        </w:rPr>
        <w:t>三十</w:t>
      </w:r>
      <w:r>
        <w:rPr>
          <w:rFonts w:hint="eastAsia" w:ascii="仿宋_GB2312" w:eastAsia="仿宋_GB2312"/>
          <w:b/>
          <w:bCs/>
          <w:sz w:val="32"/>
          <w:szCs w:val="32"/>
          <w:lang w:val="en-US" w:eastAsia="zh-CN"/>
        </w:rPr>
        <w:t>二</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同业拆借中心有权根据</w:t>
      </w:r>
      <w:r>
        <w:rPr>
          <w:rFonts w:hint="eastAsia" w:ascii="仿宋_GB2312" w:eastAsia="仿宋_GB2312"/>
          <w:sz w:val="32"/>
          <w:szCs w:val="32"/>
        </w:rPr>
        <w:t>市场</w:t>
      </w:r>
      <w:r>
        <w:rPr>
          <w:rFonts w:ascii="仿宋_GB2312" w:eastAsia="仿宋_GB2312"/>
          <w:sz w:val="32"/>
          <w:szCs w:val="32"/>
        </w:rPr>
        <w:t>情况调整</w:t>
      </w:r>
      <w:r>
        <w:rPr>
          <w:rFonts w:hint="eastAsia" w:ascii="仿宋_GB2312" w:eastAsia="仿宋_GB2312"/>
          <w:sz w:val="32"/>
          <w:szCs w:val="32"/>
        </w:rPr>
        <w:t>基本规则及报价交易中的回购债券、交易</w:t>
      </w:r>
      <w:r>
        <w:rPr>
          <w:rFonts w:ascii="仿宋_GB2312" w:eastAsia="仿宋_GB2312"/>
          <w:sz w:val="32"/>
          <w:szCs w:val="32"/>
        </w:rPr>
        <w:t>日、交易时间、交易参数等，并向市场另行公告。</w:t>
      </w:r>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三十</w:t>
      </w:r>
      <w:r>
        <w:rPr>
          <w:rFonts w:hint="eastAsia" w:ascii="仿宋_GB2312" w:eastAsia="仿宋_GB2312"/>
          <w:b/>
          <w:bCs/>
          <w:sz w:val="32"/>
          <w:szCs w:val="32"/>
          <w:lang w:val="en-US" w:eastAsia="zh-CN"/>
        </w:rPr>
        <w:t>三</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本</w:t>
      </w:r>
      <w:r>
        <w:rPr>
          <w:rFonts w:hint="eastAsia" w:ascii="仿宋_GB2312" w:hAnsi="宋体" w:eastAsia="仿宋_GB2312" w:cs="宋体"/>
          <w:color w:val="000000"/>
          <w:sz w:val="32"/>
          <w:szCs w:val="32"/>
        </w:rPr>
        <w:t>细则</w:t>
      </w:r>
      <w:r>
        <w:rPr>
          <w:rFonts w:ascii="仿宋_GB2312" w:eastAsia="仿宋_GB2312"/>
          <w:sz w:val="32"/>
          <w:szCs w:val="32"/>
        </w:rPr>
        <w:t>未尽事宜，</w:t>
      </w:r>
      <w:r>
        <w:rPr>
          <w:rFonts w:hint="eastAsia" w:ascii="仿宋_GB2312" w:eastAsia="仿宋_GB2312"/>
          <w:sz w:val="32"/>
          <w:szCs w:val="32"/>
        </w:rPr>
        <w:t>按照《全国银行间市场债券交易规则》（中汇交发[2010]283号）、</w:t>
      </w:r>
      <w:r>
        <w:rPr>
          <w:rFonts w:hint="eastAsia" w:ascii="仿宋_GB2312" w:hAnsi="宋体" w:eastAsia="仿宋_GB2312" w:cs="宋体"/>
          <w:color w:val="000000"/>
          <w:sz w:val="32"/>
          <w:szCs w:val="32"/>
        </w:rPr>
        <w:t>《全国银行间同业拆借中心买断式回购</w:t>
      </w:r>
      <w:r>
        <w:rPr>
          <w:rFonts w:hint="eastAsia" w:ascii="仿宋_GB2312" w:hAnsi="宋体" w:eastAsia="仿宋_GB2312" w:cs="宋体"/>
          <w:color w:val="000000"/>
          <w:sz w:val="32"/>
          <w:szCs w:val="32"/>
          <w:highlight w:val="none"/>
        </w:rPr>
        <w:t>交易指引》（中汇交发〔2024〕</w:t>
      </w:r>
      <w:r>
        <w:rPr>
          <w:rFonts w:hint="eastAsia" w:ascii="仿宋_GB2312" w:hAnsi="宋体" w:eastAsia="仿宋_GB2312" w:cs="宋体"/>
          <w:color w:val="000000"/>
          <w:sz w:val="32"/>
          <w:szCs w:val="32"/>
          <w:highlight w:val="none"/>
          <w:lang w:val="en-US" w:eastAsia="zh-CN"/>
        </w:rPr>
        <w:t>350</w:t>
      </w:r>
      <w:r>
        <w:rPr>
          <w:rFonts w:hint="eastAsia" w:ascii="仿宋_GB2312" w:hAnsi="宋体" w:eastAsia="仿宋_GB2312" w:cs="宋体"/>
          <w:color w:val="000000"/>
          <w:sz w:val="32"/>
          <w:szCs w:val="32"/>
          <w:highlight w:val="none"/>
        </w:rPr>
        <w:t>号）</w:t>
      </w:r>
      <w:r>
        <w:rPr>
          <w:rFonts w:hint="eastAsia" w:ascii="仿宋_GB2312" w:hAnsi="宋体" w:eastAsia="仿宋_GB2312" w:cs="宋体"/>
          <w:color w:val="000000"/>
          <w:sz w:val="32"/>
          <w:szCs w:val="32"/>
          <w:highlight w:val="none"/>
          <w:lang w:eastAsia="zh-CN"/>
        </w:rPr>
        <w:t>、《全国银行间同业拆借中心质押式回购请求报价业务指引》（中汇交发〔2020〕114号）</w:t>
      </w:r>
      <w:r>
        <w:rPr>
          <w:rFonts w:ascii="仿宋_GB2312" w:eastAsia="仿宋_GB2312"/>
          <w:sz w:val="32"/>
          <w:szCs w:val="32"/>
          <w:highlight w:val="none"/>
        </w:rPr>
        <w:t>及其他银行间市场规则执行。</w:t>
      </w:r>
      <w:bookmarkStart w:id="5" w:name="tiao_37"/>
      <w:bookmarkEnd w:id="5"/>
    </w:p>
    <w:p>
      <w:pPr>
        <w:pStyle w:val="19"/>
        <w:spacing w:line="560" w:lineRule="exact"/>
        <w:ind w:firstLine="643" w:firstLineChars="200"/>
        <w:rPr>
          <w:rFonts w:ascii="仿宋_GB2312" w:eastAsia="仿宋_GB2312"/>
          <w:sz w:val="32"/>
          <w:szCs w:val="32"/>
        </w:rPr>
      </w:pPr>
      <w:r>
        <w:rPr>
          <w:rFonts w:ascii="仿宋_GB2312" w:eastAsia="仿宋_GB2312"/>
          <w:b/>
          <w:bCs/>
          <w:sz w:val="32"/>
          <w:szCs w:val="32"/>
        </w:rPr>
        <w:t>第</w:t>
      </w:r>
      <w:r>
        <w:rPr>
          <w:rFonts w:hint="eastAsia" w:ascii="仿宋_GB2312" w:eastAsia="仿宋_GB2312"/>
          <w:b/>
          <w:bCs/>
          <w:sz w:val="32"/>
          <w:szCs w:val="32"/>
        </w:rPr>
        <w:t>三十</w:t>
      </w:r>
      <w:r>
        <w:rPr>
          <w:rFonts w:hint="eastAsia" w:ascii="仿宋_GB2312" w:eastAsia="仿宋_GB2312"/>
          <w:b/>
          <w:bCs/>
          <w:sz w:val="32"/>
          <w:szCs w:val="32"/>
          <w:lang w:val="en-US" w:eastAsia="zh-CN"/>
        </w:rPr>
        <w:t>四</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本</w:t>
      </w:r>
      <w:r>
        <w:rPr>
          <w:rFonts w:hint="eastAsia" w:ascii="仿宋_GB2312" w:hAnsi="宋体" w:eastAsia="仿宋_GB2312" w:cs="宋体"/>
          <w:color w:val="000000"/>
          <w:sz w:val="32"/>
          <w:szCs w:val="32"/>
        </w:rPr>
        <w:t>细则</w:t>
      </w:r>
      <w:r>
        <w:rPr>
          <w:rFonts w:ascii="仿宋_GB2312" w:eastAsia="仿宋_GB2312"/>
          <w:sz w:val="32"/>
          <w:szCs w:val="32"/>
        </w:rPr>
        <w:t>由同业拆借中心负责解释和修订。</w:t>
      </w:r>
      <w:bookmarkStart w:id="6" w:name="tiao_38"/>
      <w:bookmarkEnd w:id="6"/>
    </w:p>
    <w:p>
      <w:pPr>
        <w:pStyle w:val="19"/>
        <w:spacing w:line="560" w:lineRule="exact"/>
        <w:ind w:firstLine="643" w:firstLineChars="200"/>
      </w:pPr>
      <w:r>
        <w:rPr>
          <w:rFonts w:ascii="仿宋_GB2312" w:eastAsia="仿宋_GB2312"/>
          <w:b/>
          <w:bCs/>
          <w:sz w:val="32"/>
          <w:szCs w:val="32"/>
        </w:rPr>
        <w:t>第</w:t>
      </w:r>
      <w:r>
        <w:rPr>
          <w:rFonts w:hint="eastAsia" w:ascii="仿宋_GB2312" w:eastAsia="仿宋_GB2312"/>
          <w:b/>
          <w:bCs/>
          <w:sz w:val="32"/>
          <w:szCs w:val="32"/>
        </w:rPr>
        <w:t>三十</w:t>
      </w:r>
      <w:r>
        <w:rPr>
          <w:rFonts w:hint="eastAsia" w:ascii="仿宋_GB2312" w:eastAsia="仿宋_GB2312"/>
          <w:b/>
          <w:bCs/>
          <w:sz w:val="32"/>
          <w:szCs w:val="32"/>
          <w:lang w:val="en-US" w:eastAsia="zh-CN"/>
        </w:rPr>
        <w:t>五</w:t>
      </w:r>
      <w:r>
        <w:rPr>
          <w:rFonts w:ascii="仿宋_GB2312" w:eastAsia="仿宋_GB2312"/>
          <w:b/>
          <w:bCs/>
          <w:sz w:val="32"/>
          <w:szCs w:val="32"/>
        </w:rPr>
        <w:t>条</w:t>
      </w:r>
      <w:r>
        <w:rPr>
          <w:rFonts w:hint="eastAsia" w:ascii="仿宋_GB2312" w:eastAsia="仿宋_GB2312"/>
          <w:b/>
          <w:bCs/>
          <w:sz w:val="32"/>
          <w:szCs w:val="32"/>
        </w:rPr>
        <w:t xml:space="preserve"> </w:t>
      </w:r>
      <w:r>
        <w:rPr>
          <w:rFonts w:ascii="仿宋_GB2312" w:eastAsia="仿宋_GB2312"/>
          <w:sz w:val="32"/>
          <w:szCs w:val="32"/>
        </w:rPr>
        <w:t>本</w:t>
      </w:r>
      <w:r>
        <w:rPr>
          <w:rFonts w:hint="eastAsia" w:ascii="仿宋_GB2312" w:hAnsi="宋体" w:eastAsia="仿宋_GB2312" w:cs="宋体"/>
          <w:color w:val="000000"/>
          <w:sz w:val="32"/>
          <w:szCs w:val="32"/>
        </w:rPr>
        <w:t>细则</w:t>
      </w:r>
      <w:r>
        <w:rPr>
          <w:rFonts w:ascii="仿宋_GB2312" w:eastAsia="仿宋_GB2312"/>
          <w:sz w:val="32"/>
          <w:szCs w:val="32"/>
        </w:rPr>
        <w:t>自</w:t>
      </w:r>
      <w:r>
        <w:rPr>
          <w:rFonts w:hint="eastAsia" w:ascii="仿宋_GB2312" w:eastAsia="仿宋_GB2312"/>
          <w:sz w:val="32"/>
          <w:szCs w:val="32"/>
        </w:rPr>
        <w:t>发布之</w:t>
      </w:r>
      <w:r>
        <w:rPr>
          <w:rFonts w:ascii="仿宋_GB2312" w:eastAsia="仿宋_GB2312"/>
          <w:sz w:val="32"/>
          <w:szCs w:val="32"/>
        </w:rPr>
        <w:t>日起施行。</w:t>
      </w:r>
    </w:p>
    <w:bookmarkEnd w:id="0"/>
    <w:p>
      <w:pPr>
        <w:snapToGrid w:val="0"/>
        <w:spacing w:line="560" w:lineRule="exact"/>
        <w:ind w:firstLine="660"/>
        <w:rPr>
          <w:rFonts w:ascii="仿宋_GB2312"/>
        </w:rPr>
      </w:pPr>
    </w:p>
    <w:p>
      <w:pPr>
        <w:snapToGrid w:val="0"/>
        <w:spacing w:line="560" w:lineRule="exact"/>
        <w:ind w:right="-150" w:rightChars="-47"/>
        <w:rPr>
          <w:rFonts w:ascii="仿宋_GB2312"/>
        </w:rPr>
      </w:pPr>
    </w:p>
    <w:p>
      <w:pPr>
        <w:rPr>
          <w:rFonts w:hint="eastAsia"/>
        </w:rPr>
      </w:pPr>
    </w:p>
    <w:sectPr>
      <w:footerReference r:id="rId3" w:type="default"/>
      <w:footerReference r:id="rId4" w:type="even"/>
      <w:pgSz w:w="11906" w:h="16838"/>
      <w:pgMar w:top="2126" w:right="1559" w:bottom="2041" w:left="1644" w:header="851" w:footer="1525" w:gutter="0"/>
      <w:pgNumType w:fmt="numberInDash"/>
      <w:cols w:space="720" w:num="1"/>
      <w:docGrid w:type="lines" w:linePitch="57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0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7A"/>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tabs>
        <w:tab w:val="clear" w:pos="4153"/>
        <w:tab w:val="clear" w:pos="8306"/>
      </w:tabs>
      <w:rPr>
        <w:rStyle w:val="13"/>
        <w:rFonts w:ascii="宋体" w:hAnsi="宋体"/>
        <w:sz w:val="28"/>
      </w:rPr>
    </w:pPr>
    <w:r>
      <w:rPr>
        <w:rFonts w:ascii="宋体" w:hAnsi="宋体"/>
        <w:sz w:val="28"/>
      </w:rPr>
      <w:fldChar w:fldCharType="begin"/>
    </w:r>
    <w:r>
      <w:rPr>
        <w:rStyle w:val="13"/>
        <w:rFonts w:ascii="宋体" w:hAnsi="宋体"/>
        <w:sz w:val="28"/>
      </w:rPr>
      <w:instrText xml:space="preserve">PAGE  </w:instrText>
    </w:r>
    <w:r>
      <w:rPr>
        <w:rFonts w:ascii="宋体" w:hAnsi="宋体"/>
        <w:sz w:val="28"/>
      </w:rPr>
      <w:fldChar w:fldCharType="separate"/>
    </w:r>
    <w:r>
      <w:rPr>
        <w:rStyle w:val="13"/>
        <w:rFonts w:ascii="宋体" w:hAnsi="宋体"/>
        <w:sz w:val="28"/>
      </w:rPr>
      <w:t>- 2 -</w:t>
    </w:r>
    <w:r>
      <w:rPr>
        <w:rFonts w:ascii="宋体" w:hAnsi="宋体"/>
        <w:sz w:val="28"/>
      </w:rPr>
      <w:fldChar w:fldCharType="end"/>
    </w:r>
  </w:p>
  <w:p>
    <w:pPr>
      <w:pStyle w:val="7"/>
      <w:tabs>
        <w:tab w:val="clear" w:pos="4153"/>
        <w:tab w:val="clear"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tabs>
        <w:tab w:val="clear" w:pos="4153"/>
        <w:tab w:val="clear" w:pos="8306"/>
      </w:tabs>
      <w:rPr>
        <w:rStyle w:val="13"/>
      </w:rPr>
    </w:pPr>
    <w:r>
      <w:fldChar w:fldCharType="begin"/>
    </w:r>
    <w:r>
      <w:rPr>
        <w:rStyle w:val="13"/>
      </w:rPr>
      <w:instrText xml:space="preserve">PAGE  </w:instrText>
    </w:r>
    <w:r>
      <w:fldChar w:fldCharType="separate"/>
    </w:r>
    <w:r>
      <w:fldChar w:fldCharType="end"/>
    </w:r>
  </w:p>
  <w:p>
    <w:pPr>
      <w:pStyle w:val="7"/>
      <w:tabs>
        <w:tab w:val="clear" w:pos="4153"/>
        <w:tab w:val="clear" w:pos="8306"/>
      </w:tabs>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nforcement="0"/>
  <w:defaultTabStop w:val="420"/>
  <w:drawingGridVerticalSpacing w:val="28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mmondata" w:val="eyJoZGlkIjoiMzVjODY0N2QxNDQ5ZTQ2ZjA4OWY4Njc0NjUzM2EzZWUifQ=="/>
  </w:docVars>
  <w:rsids>
    <w:rsidRoot w:val="00000000"/>
    <w:rsid w:val="4AB92280"/>
    <w:rsid w:val="DFFB02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rPr>
  </w:style>
  <w:style w:type="character" w:default="1" w:styleId="12">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ody Text Indent"/>
    <w:basedOn w:val="1"/>
    <w:next w:val="5"/>
    <w:qFormat/>
    <w:uiPriority w:val="0"/>
    <w:pPr>
      <w:ind w:firstLine="640" w:firstLineChars="200"/>
    </w:pPr>
    <w:rPr>
      <w:rFonts w:ascii="Calibri" w:hAnsi="Calibri" w:eastAsia="仿宋_GB2312" w:cs="Times New Roman"/>
      <w:sz w:val="32"/>
      <w:szCs w:val="24"/>
    </w:rPr>
  </w:style>
  <w:style w:type="paragraph" w:styleId="5">
    <w:name w:val="Body Text First Indent 2"/>
    <w:basedOn w:val="4"/>
    <w:qFormat/>
    <w:uiPriority w:val="0"/>
    <w:pPr>
      <w:ind w:firstLine="420"/>
    </w:pPr>
  </w:style>
  <w:style w:type="paragraph" w:styleId="6">
    <w:name w:val="Balloon Text"/>
    <w:basedOn w:val="1"/>
    <w:link w:val="25"/>
    <w:qFormat/>
    <w:uiPriority w:val="0"/>
    <w:rPr>
      <w:rFonts w:ascii="Calibri" w:hAnsi="Calibri" w:eastAsia="宋体" w:cs="Times New Roman"/>
      <w:sz w:val="18"/>
      <w:szCs w:val="18"/>
    </w:rPr>
  </w:style>
  <w:style w:type="paragraph" w:styleId="7">
    <w:name w:val="footer"/>
    <w:basedOn w:val="1"/>
    <w:link w:val="16"/>
    <w:qFormat/>
    <w:uiPriority w:val="0"/>
    <w:pPr>
      <w:tabs>
        <w:tab w:val="center" w:pos="4153"/>
        <w:tab w:val="right" w:pos="8306"/>
      </w:tabs>
      <w:snapToGrid w:val="0"/>
      <w:jc w:val="left"/>
    </w:pPr>
    <w:rPr>
      <w:sz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3"/>
    <w:next w:val="3"/>
    <w:link w:val="24"/>
    <w:qFormat/>
    <w:uiPriority w:val="0"/>
    <w:pPr>
      <w:spacing w:line="240" w:lineRule="auto"/>
      <w:jc w:val="left"/>
    </w:pPr>
    <w:rPr>
      <w:rFonts w:ascii="Calibri" w:hAnsi="Calibri" w:eastAsia="宋体" w:cs="Times New Roman"/>
      <w:b/>
      <w:bCs/>
      <w:sz w:val="21"/>
      <w:szCs w:val="24"/>
    </w:rPr>
  </w:style>
  <w:style w:type="character" w:styleId="13">
    <w:name w:val="page number"/>
    <w:basedOn w:val="12"/>
    <w:qFormat/>
    <w:uiPriority w:val="0"/>
  </w:style>
  <w:style w:type="character" w:styleId="14">
    <w:name w:val="Hyperlink"/>
    <w:qFormat/>
    <w:uiPriority w:val="0"/>
    <w:rPr>
      <w:rFonts w:ascii="Times New Roman" w:hAnsi="Times New Roman" w:eastAsia="宋体" w:cs="Times New Roman"/>
      <w:color w:val="0000FF"/>
      <w:u w:val="single"/>
    </w:rPr>
  </w:style>
  <w:style w:type="character" w:styleId="15">
    <w:name w:val="annotation reference"/>
    <w:qFormat/>
    <w:uiPriority w:val="0"/>
    <w:rPr>
      <w:rFonts w:ascii="Times New Roman" w:hAnsi="Times New Roman" w:eastAsia="宋体" w:cs="Times New Roman"/>
      <w:sz w:val="16"/>
      <w:szCs w:val="16"/>
    </w:rPr>
  </w:style>
  <w:style w:type="character" w:customStyle="1" w:styleId="16">
    <w:name w:val="页脚 字符"/>
    <w:link w:val="7"/>
    <w:qFormat/>
    <w:uiPriority w:val="0"/>
    <w:rPr>
      <w:rFonts w:ascii="Times New Roman" w:hAnsi="Times New Roman" w:eastAsia="宋体" w:cs="Times New Roman"/>
      <w:sz w:val="18"/>
    </w:rPr>
  </w:style>
  <w:style w:type="paragraph" w:customStyle="1" w:styleId="17">
    <w:name w:val="fulltext-wrap_title"/>
    <w:basedOn w:val="1"/>
    <w:qFormat/>
    <w:uiPriority w:val="0"/>
    <w:pPr>
      <w:jc w:val="center"/>
    </w:pPr>
    <w:rPr>
      <w:rFonts w:ascii="Calibri" w:hAnsi="Calibri" w:eastAsia="宋体" w:cs="Times New Roman"/>
      <w:sz w:val="30"/>
      <w:szCs w:val="30"/>
    </w:rPr>
  </w:style>
  <w:style w:type="paragraph" w:customStyle="1" w:styleId="18">
    <w:name w:val="fulltext-wrap_navzhang"/>
    <w:basedOn w:val="1"/>
    <w:qFormat/>
    <w:uiPriority w:val="0"/>
    <w:pPr>
      <w:spacing w:line="576" w:lineRule="auto"/>
    </w:pPr>
    <w:rPr>
      <w:rFonts w:ascii="Calibri" w:hAnsi="Calibri" w:eastAsia="宋体" w:cs="Times New Roman"/>
      <w:b/>
      <w:bCs/>
      <w:sz w:val="21"/>
      <w:szCs w:val="24"/>
    </w:rPr>
  </w:style>
  <w:style w:type="paragraph" w:customStyle="1" w:styleId="19">
    <w:name w:val="p"/>
    <w:basedOn w:val="1"/>
    <w:qFormat/>
    <w:uiPriority w:val="0"/>
    <w:pPr>
      <w:pBdr>
        <w:top w:val="none" w:color="auto" w:sz="0" w:space="0"/>
        <w:left w:val="none" w:color="auto" w:sz="0" w:space="0"/>
        <w:bottom w:val="none" w:color="auto" w:sz="0" w:space="0"/>
        <w:right w:val="none" w:color="auto" w:sz="0" w:space="0"/>
      </w:pBdr>
      <w:textAlignment w:val="baseline"/>
    </w:pPr>
    <w:rPr>
      <w:rFonts w:ascii="Calibri" w:hAnsi="Calibri" w:eastAsia="宋体" w:cs="Times New Roman"/>
      <w:sz w:val="24"/>
      <w:szCs w:val="24"/>
      <w:vertAlign w:val="baseline"/>
    </w:rPr>
  </w:style>
  <w:style w:type="character" w:customStyle="1" w:styleId="20">
    <w:name w:val="fulltext-wrap_fulltext_a"/>
    <w:qFormat/>
    <w:uiPriority w:val="0"/>
    <w:rPr>
      <w:rFonts w:ascii="Times New Roman" w:hAnsi="Times New Roman" w:eastAsia="宋体" w:cs="Times New Roman"/>
      <w:color w:val="218FC4"/>
    </w:rPr>
  </w:style>
  <w:style w:type="character" w:customStyle="1" w:styleId="21">
    <w:name w:val="fulltext-wrap_navtiao"/>
    <w:qFormat/>
    <w:uiPriority w:val="0"/>
    <w:rPr>
      <w:rFonts w:ascii="Times New Roman" w:hAnsi="Times New Roman" w:eastAsia="宋体" w:cs="Times New Roman"/>
      <w:b/>
      <w:bCs/>
    </w:rPr>
  </w:style>
  <w:style w:type="character" w:customStyle="1" w:styleId="22">
    <w:name w:val="页眉 字符"/>
    <w:link w:val="8"/>
    <w:qFormat/>
    <w:uiPriority w:val="0"/>
    <w:rPr>
      <w:rFonts w:ascii="Times New Roman" w:hAnsi="Times New Roman" w:eastAsia="宋体" w:cs="Times New Roman"/>
      <w:sz w:val="18"/>
    </w:rPr>
  </w:style>
  <w:style w:type="character" w:customStyle="1" w:styleId="23">
    <w:name w:val="批注文字 字符"/>
    <w:link w:val="3"/>
    <w:qFormat/>
    <w:uiPriority w:val="0"/>
    <w:rPr>
      <w:rFonts w:ascii="Times New Roman" w:hAnsi="Times New Roman" w:eastAsia="宋体" w:cs="Times New Roman"/>
    </w:rPr>
  </w:style>
  <w:style w:type="character" w:customStyle="1" w:styleId="24">
    <w:name w:val="批注主题 字符"/>
    <w:link w:val="10"/>
    <w:qFormat/>
    <w:uiPriority w:val="0"/>
    <w:rPr>
      <w:rFonts w:ascii="Times New Roman" w:hAnsi="Times New Roman" w:eastAsia="宋体" w:cs="Times New Roman"/>
      <w:b/>
      <w:bCs/>
      <w:sz w:val="21"/>
      <w:szCs w:val="24"/>
    </w:rPr>
  </w:style>
  <w:style w:type="character" w:customStyle="1" w:styleId="25">
    <w:name w:val="批注框文本 字符"/>
    <w:link w:val="6"/>
    <w:qFormat/>
    <w:uiPriority w:val="0"/>
    <w:rPr>
      <w:rFonts w:ascii="Times New Roman" w:hAnsi="Times New Roman" w:eastAsia="宋体" w:cs="Times New Roman"/>
      <w:sz w:val="18"/>
      <w:szCs w:val="18"/>
    </w:rPr>
  </w:style>
  <w:style w:type="paragraph" w:customStyle="1" w:styleId="26">
    <w:name w:val="_Style 25"/>
    <w:qFormat/>
    <w:uiPriority w:val="0"/>
    <w:rPr>
      <w:rFonts w:ascii="Calibri" w:hAnsi="Calibri" w:eastAsia="宋体" w:cs="Times New Roman"/>
      <w:kern w:val="2"/>
      <w:sz w:val="21"/>
      <w:szCs w:val="24"/>
      <w:lang w:val="en-US" w:eastAsia="zh-CN" w:bidi="ar-SA"/>
    </w:rPr>
  </w:style>
  <w:style w:type="paragraph" w:customStyle="1" w:styleId="27">
    <w:name w:val="fulltext-wrap_fulltext_TiaoYinV2"/>
    <w:basedOn w:val="1"/>
    <w:qFormat/>
    <w:uiPriority w:val="0"/>
    <w:pPr>
      <w:spacing w:line="384" w:lineRule="auto"/>
    </w:pPr>
    <w:rPr>
      <w:rFonts w:ascii="Calibri" w:hAnsi="Calibri" w:eastAsia="宋体" w:cs="Times New Roman"/>
      <w:b/>
      <w:bCs/>
      <w:color w:val="218FC4"/>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3319</Words>
  <Characters>3383</Characters>
  <Paragraphs>66</Paragraphs>
  <TotalTime>0</TotalTime>
  <ScaleCrop>false</ScaleCrop>
  <LinksUpToDate>false</LinksUpToDate>
  <CharactersWithSpaces>3431</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2024-11-21T15:25:00Z</dcterms:created>
  <dc:creator>cfets</dc:creator>
  <cp:lastModifiedBy>lianjing</cp:lastModifiedBy>
  <cp:lastPrinted>2025-10-01T06:27:00Z</cp:lastPrinted>
  <dcterms:modified xsi:type="dcterms:W3CDTF">2025-09-28T14:27:52Z</dcterms:modified>
  <dc:title>图1中心发文（上行文）首页版式1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7548B25E889F626A68D5D8688BC0D3DA</vt:lpwstr>
  </property>
  <property fmtid="{D5CDD505-2E9C-101B-9397-08002B2CF9AE}" pid="4" name="KSOTemplateDocerSaveRecord">
    <vt:lpwstr>eyJoZGlkIjoiM2Q3ZDBlZTU2YmM0MDAxNTBhMmUyOTk0MzhiMjNmYTYiLCJ1c2VySWQiOiI1NTUyNjQ3MTAifQ==</vt:lpwstr>
  </property>
</Properties>
</file>