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3CA89">
      <w:pPr>
        <w:pStyle w:val="7"/>
        <w:widowControl/>
        <w:spacing w:beforeAutospacing="0" w:afterAutospacing="0" w:line="560" w:lineRule="exact"/>
        <w:jc w:val="left"/>
        <w:rPr>
          <w:rFonts w:hint="eastAsia" w:ascii="黑体" w:hAnsi="黑体" w:eastAsia="黑体" w:cs="黑体"/>
          <w:color w:val="414141"/>
          <w:sz w:val="32"/>
          <w:szCs w:val="32"/>
          <w:lang w:eastAsia="zh-CN"/>
        </w:rPr>
      </w:pPr>
      <w:r>
        <w:rPr>
          <w:rFonts w:hint="eastAsia" w:ascii="黑体" w:hAnsi="黑体" w:eastAsia="黑体" w:cs="黑体"/>
          <w:color w:val="414141"/>
          <w:sz w:val="32"/>
          <w:szCs w:val="32"/>
          <w:lang w:eastAsia="zh-CN"/>
        </w:rPr>
        <w:t>附件</w:t>
      </w:r>
    </w:p>
    <w:p w14:paraId="20051284">
      <w:pPr>
        <w:pStyle w:val="7"/>
        <w:widowControl/>
        <w:spacing w:beforeAutospacing="0" w:afterAutospacing="0" w:line="560" w:lineRule="exact"/>
        <w:jc w:val="left"/>
        <w:rPr>
          <w:rFonts w:hint="eastAsia" w:ascii="黑体" w:hAnsi="黑体" w:eastAsia="黑体" w:cs="黑体"/>
          <w:color w:val="414141"/>
          <w:sz w:val="32"/>
          <w:szCs w:val="32"/>
          <w:lang w:eastAsia="zh-CN"/>
        </w:rPr>
      </w:pPr>
    </w:p>
    <w:p w14:paraId="29C8B569">
      <w:pPr>
        <w:pStyle w:val="7"/>
        <w:widowControl/>
        <w:spacing w:beforeAutospacing="0" w:afterAutospacing="0" w:line="700" w:lineRule="exact"/>
        <w:jc w:val="center"/>
        <w:rPr>
          <w:rFonts w:hint="eastAsia" w:ascii="方正小标宋简体" w:hAnsi="方正小标宋简体" w:eastAsia="方正小标宋简体" w:cs="方正小标宋简体"/>
          <w:color w:val="414141"/>
          <w:sz w:val="44"/>
          <w:szCs w:val="44"/>
        </w:rPr>
      </w:pPr>
      <w:r>
        <w:rPr>
          <w:rFonts w:hint="eastAsia" w:ascii="方正小标宋简体" w:hAnsi="方正小标宋简体" w:eastAsia="方正小标宋简体" w:cs="方正小标宋简体"/>
          <w:color w:val="414141"/>
          <w:sz w:val="44"/>
          <w:szCs w:val="44"/>
        </w:rPr>
        <w:t>中央国债登记结算有限责任公司</w:t>
      </w:r>
    </w:p>
    <w:p w14:paraId="6C297793">
      <w:pPr>
        <w:pStyle w:val="7"/>
        <w:widowControl/>
        <w:spacing w:beforeAutospacing="0" w:afterAutospacing="0" w:line="700" w:lineRule="exact"/>
        <w:jc w:val="center"/>
        <w:rPr>
          <w:rFonts w:hint="eastAsia" w:ascii="方正小标宋简体" w:hAnsi="方正小标宋简体" w:eastAsia="方正小标宋简体" w:cs="方正小标宋简体"/>
          <w:color w:val="414141"/>
          <w:sz w:val="44"/>
          <w:szCs w:val="44"/>
        </w:rPr>
      </w:pPr>
      <w:r>
        <w:rPr>
          <w:rFonts w:hint="eastAsia" w:ascii="方正小标宋简体" w:hAnsi="方正小标宋简体" w:eastAsia="方正小标宋简体" w:cs="方正小标宋简体"/>
          <w:color w:val="414141"/>
          <w:sz w:val="44"/>
          <w:szCs w:val="44"/>
        </w:rPr>
        <w:t>境外机构投资者银行间债券市场债券回购</w:t>
      </w:r>
    </w:p>
    <w:p w14:paraId="4E30F402">
      <w:pPr>
        <w:pStyle w:val="7"/>
        <w:widowControl/>
        <w:spacing w:beforeAutospacing="0" w:afterAutospacing="0" w:line="700" w:lineRule="exact"/>
        <w:jc w:val="center"/>
        <w:rPr>
          <w:rFonts w:hint="eastAsia" w:ascii="方正小标宋简体" w:hAnsi="方正小标宋简体" w:eastAsia="方正小标宋简体" w:cs="方正小标宋简体"/>
          <w:color w:val="414141"/>
          <w:sz w:val="44"/>
          <w:szCs w:val="44"/>
        </w:rPr>
      </w:pPr>
      <w:r>
        <w:rPr>
          <w:rFonts w:hint="eastAsia" w:ascii="方正小标宋简体" w:hAnsi="方正小标宋简体" w:eastAsia="方正小标宋简体" w:cs="方正小标宋简体"/>
          <w:color w:val="414141"/>
          <w:sz w:val="44"/>
          <w:szCs w:val="44"/>
        </w:rPr>
        <w:t>结算业务操作细则</w:t>
      </w:r>
    </w:p>
    <w:p w14:paraId="49CBE4F7">
      <w:pPr>
        <w:pStyle w:val="7"/>
        <w:widowControl/>
        <w:spacing w:beforeAutospacing="0" w:afterAutospacing="0" w:line="560" w:lineRule="exact"/>
        <w:jc w:val="both"/>
        <w:rPr>
          <w:rFonts w:hint="eastAsia" w:ascii="仿宋_GB2312" w:hAnsi="仿宋_GB2312" w:eastAsia="仿宋_GB2312" w:cs="仿宋_GB2312"/>
          <w:color w:val="000000"/>
          <w:sz w:val="30"/>
          <w:szCs w:val="30"/>
        </w:rPr>
      </w:pPr>
    </w:p>
    <w:p w14:paraId="60937C71">
      <w:pPr>
        <w:numPr>
          <w:ilvl w:val="0"/>
          <w:numId w:val="1"/>
        </w:num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为规范境外机构投资者在银行间债券市场开展债券回购结算业务操作行为，</w:t>
      </w:r>
      <w:r>
        <w:rPr>
          <w:rFonts w:hint="eastAsia" w:ascii="仿宋_GB2312" w:hAnsi="仿宋_GB2312" w:eastAsia="仿宋_GB2312" w:cs="仿宋_GB2312"/>
          <w:sz w:val="32"/>
          <w:szCs w:val="32"/>
        </w:rPr>
        <w:t>中央国债登记结算有限责任公司（以下简称中央结算公司）</w:t>
      </w:r>
      <w:r>
        <w:rPr>
          <w:rFonts w:hint="eastAsia" w:ascii="仿宋_GB2312" w:hAnsi="仿宋_GB2312" w:eastAsia="仿宋_GB2312" w:cs="仿宋_GB2312"/>
          <w:color w:val="000000"/>
          <w:sz w:val="32"/>
          <w:szCs w:val="32"/>
        </w:rPr>
        <w:t>根据《关于进一步支持境外机构投资者</w:t>
      </w:r>
      <w:r>
        <w:rPr>
          <w:rFonts w:hint="eastAsia" w:ascii="仿宋_GB2312" w:hAnsi="仿宋_GB2312" w:eastAsia="仿宋_GB2312" w:cs="仿宋_GB2312"/>
          <w:color w:val="000000"/>
          <w:sz w:val="32"/>
          <w:szCs w:val="32"/>
          <w:lang w:eastAsia="zh-CN"/>
        </w:rPr>
        <w:t>在中国债券市场</w:t>
      </w:r>
      <w:bookmarkStart w:id="0" w:name="_GoBack"/>
      <w:bookmarkEnd w:id="0"/>
      <w:r>
        <w:rPr>
          <w:rFonts w:hint="eastAsia" w:ascii="仿宋_GB2312" w:hAnsi="仿宋_GB2312" w:eastAsia="仿宋_GB2312" w:cs="仿宋_GB2312"/>
          <w:color w:val="000000"/>
          <w:sz w:val="32"/>
          <w:szCs w:val="32"/>
        </w:rPr>
        <w:t>开展债券回购业务的公告》</w:t>
      </w:r>
      <w:r>
        <w:rPr>
          <w:rFonts w:hint="eastAsia" w:ascii="仿宋_GB2312" w:hAnsi="仿宋_GB2312" w:eastAsia="仿宋_GB2312" w:cs="仿宋_GB2312"/>
          <w:sz w:val="32"/>
          <w:szCs w:val="32"/>
        </w:rPr>
        <w:t>（中国人民银行 中国证监会 国家外汇局公告〔2025〕第21号）及其他相关</w:t>
      </w:r>
      <w:r>
        <w:rPr>
          <w:rFonts w:hint="eastAsia" w:ascii="仿宋_GB2312" w:hAnsi="仿宋_GB2312" w:eastAsia="仿宋_GB2312" w:cs="仿宋_GB2312"/>
          <w:color w:val="000000"/>
          <w:sz w:val="32"/>
          <w:szCs w:val="32"/>
        </w:rPr>
        <w:t>规定制定本细则。</w:t>
      </w:r>
    </w:p>
    <w:p w14:paraId="68E50911">
      <w:pPr>
        <w:numPr>
          <w:ilvl w:val="0"/>
          <w:numId w:val="1"/>
        </w:num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本细则所称境外机构投资者，是指可在银行间债券市场开展现券交易的境外机构投资者</w:t>
      </w:r>
      <w:r>
        <w:rPr>
          <w:rFonts w:hint="eastAsia" w:ascii="仿宋_GB2312" w:hAnsi="仿宋_GB2312" w:eastAsia="仿宋_GB2312" w:cs="仿宋_GB2312"/>
          <w:color w:val="000000"/>
          <w:sz w:val="32"/>
          <w:szCs w:val="32"/>
          <w:lang w:eastAsia="zh-CN"/>
        </w:rPr>
        <w:t>。</w:t>
      </w:r>
    </w:p>
    <w:p w14:paraId="12A36522">
      <w:pPr>
        <w:numPr>
          <w:ilvl w:val="0"/>
          <w:numId w:val="1"/>
        </w:num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lang w:val="en-US" w:eastAsia="zh-CN"/>
        </w:rPr>
        <w:t>债券回购业务包括质押式回购和买断式回购两种形式</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本细则适用的</w:t>
      </w:r>
      <w:r>
        <w:rPr>
          <w:rFonts w:hint="eastAsia" w:ascii="仿宋_GB2312" w:hAnsi="仿宋_GB2312" w:eastAsia="仿宋_GB2312" w:cs="仿宋_GB2312"/>
          <w:color w:val="000000"/>
          <w:sz w:val="32"/>
          <w:szCs w:val="32"/>
          <w:lang w:val="en-US" w:eastAsia="zh-CN"/>
        </w:rPr>
        <w:t>债券</w:t>
      </w:r>
      <w:r>
        <w:rPr>
          <w:rFonts w:hint="eastAsia" w:ascii="仿宋_GB2312" w:hAnsi="仿宋_GB2312" w:eastAsia="仿宋_GB2312" w:cs="仿宋_GB2312"/>
          <w:color w:val="000000"/>
          <w:sz w:val="32"/>
          <w:szCs w:val="32"/>
        </w:rPr>
        <w:t>回购为单笔交易可使用一只或多只回购债券且附加回购期间债券付息兑付资金返还机制的买断式回购。债券回购形式如有调整，将另行向市场公告。</w:t>
      </w:r>
    </w:p>
    <w:p w14:paraId="3959ABD1">
      <w:pPr>
        <w:numPr>
          <w:ilvl w:val="0"/>
          <w:numId w:val="1"/>
        </w:num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境外机构投资者开展债券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业务，应遵守</w:t>
      </w:r>
      <w:r>
        <w:rPr>
          <w:rFonts w:hint="eastAsia" w:ascii="仿宋_GB2312" w:hAnsi="仿宋_GB2312" w:eastAsia="仿宋_GB2312" w:cs="仿宋_GB2312"/>
          <w:sz w:val="32"/>
          <w:szCs w:val="32"/>
          <w:lang w:val="en-US" w:eastAsia="zh-CN"/>
        </w:rPr>
        <w:t>中国法律法规以及金融管理等部门的各项规定，遵守</w:t>
      </w:r>
      <w:r>
        <w:rPr>
          <w:rFonts w:hint="eastAsia" w:ascii="仿宋_GB2312" w:hAnsi="仿宋_GB2312" w:eastAsia="仿宋_GB2312" w:cs="仿宋_GB2312"/>
          <w:sz w:val="32"/>
          <w:szCs w:val="32"/>
        </w:rPr>
        <w:t>中央结算</w:t>
      </w:r>
      <w:r>
        <w:rPr>
          <w:rFonts w:hint="eastAsia" w:ascii="仿宋_GB2312" w:hAnsi="仿宋_GB2312" w:eastAsia="仿宋_GB2312" w:cs="仿宋_GB2312"/>
          <w:spacing w:val="-6"/>
          <w:sz w:val="32"/>
          <w:szCs w:val="32"/>
        </w:rPr>
        <w:t>公司有关业务规则，并</w:t>
      </w:r>
      <w:r>
        <w:rPr>
          <w:rFonts w:hint="eastAsia" w:ascii="仿宋_GB2312" w:hAnsi="仿宋_GB2312" w:eastAsia="仿宋_GB2312" w:cs="仿宋_GB2312"/>
          <w:spacing w:val="-6"/>
          <w:sz w:val="32"/>
          <w:szCs w:val="32"/>
          <w:lang w:val="en-US" w:eastAsia="zh-CN"/>
        </w:rPr>
        <w:t>按照相关规定要求签署债券回购主协议</w:t>
      </w:r>
      <w:r>
        <w:rPr>
          <w:rFonts w:hint="eastAsia" w:ascii="仿宋_GB2312" w:hAnsi="仿宋_GB2312" w:eastAsia="仿宋_GB2312" w:cs="仿宋_GB2312"/>
          <w:spacing w:val="-6"/>
          <w:sz w:val="32"/>
          <w:szCs w:val="32"/>
        </w:rPr>
        <w:t>。</w:t>
      </w:r>
    </w:p>
    <w:p w14:paraId="47C7EBCB">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境外机构投资者应通过其结算代理人代为办理业务操作。其中，通过“债券通”入市的境外机构投资者应通过香港债务工具中央结算系统（以下简称CMU）代为办理业务操作。中国人民银行另有规定的除外。</w:t>
      </w:r>
    </w:p>
    <w:p w14:paraId="00DAC08C">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债券回购业务的回购期限最长为365天，</w:t>
      </w:r>
      <w:r>
        <w:rPr>
          <w:rFonts w:hint="eastAsia" w:ascii="仿宋_GB2312" w:hAnsi="仿宋_GB2312" w:eastAsia="仿宋_GB2312" w:cs="仿宋_GB2312"/>
          <w:kern w:val="0"/>
          <w:sz w:val="32"/>
          <w:szCs w:val="32"/>
        </w:rPr>
        <w:t>采用券款对付结算方式。</w:t>
      </w:r>
    </w:p>
    <w:p w14:paraId="0BFF5B15">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中央结算公司的中债综合业务平台接收交易系统发送的债券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成交数据，生成待确认的结算指令。结算双方通过中债综合业务平台对结算指令进行确认后，生成首</w:t>
      </w:r>
      <w:r>
        <w:rPr>
          <w:rFonts w:hint="eastAsia" w:ascii="仿宋_GB2312" w:hAnsi="仿宋_GB2312" w:eastAsia="仿宋_GB2312" w:cs="仿宋_GB2312"/>
          <w:spacing w:val="-6"/>
          <w:sz w:val="32"/>
          <w:szCs w:val="32"/>
        </w:rPr>
        <w:t>期结算合同和到期结算合同，中债综合业务平台据此办理结算。</w:t>
      </w:r>
    </w:p>
    <w:p w14:paraId="3BC3D6D8">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若</w:t>
      </w:r>
      <w:r>
        <w:rPr>
          <w:rFonts w:hint="eastAsia" w:ascii="仿宋_GB2312" w:hAnsi="仿宋_GB2312" w:eastAsia="仿宋_GB2312" w:cs="仿宋_GB2312"/>
          <w:color w:val="000000"/>
          <w:sz w:val="32"/>
          <w:szCs w:val="32"/>
        </w:rPr>
        <w:t>到期结算合同涉及</w:t>
      </w:r>
      <w:r>
        <w:rPr>
          <w:rFonts w:hint="eastAsia" w:ascii="仿宋_GB2312" w:hAnsi="仿宋_GB2312" w:eastAsia="仿宋_GB2312" w:cs="仿宋_GB2312"/>
          <w:sz w:val="32"/>
          <w:szCs w:val="32"/>
        </w:rPr>
        <w:t>通过“债券通”入市的境外机构投资者，CMU在到期结算日完成到期结算确认操作后，中央结算公司进行后续结算处理。</w:t>
      </w:r>
    </w:p>
    <w:p w14:paraId="0B46F676">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债券回购</w:t>
      </w:r>
      <w:r>
        <w:rPr>
          <w:rFonts w:hint="eastAsia" w:ascii="仿宋_GB2312" w:hAnsi="仿宋_GB2312" w:eastAsia="仿宋_GB2312" w:cs="仿宋_GB2312"/>
          <w:kern w:val="0"/>
          <w:sz w:val="32"/>
          <w:szCs w:val="32"/>
        </w:rPr>
        <w:t>首期结算日，中央结算公司根据首期结算合同办理结算，将正回购方的债券过户给逆回购方，并将逆回购方的</w:t>
      </w:r>
      <w:r>
        <w:rPr>
          <w:rFonts w:hint="eastAsia" w:ascii="仿宋_GB2312" w:hAnsi="仿宋_GB2312" w:eastAsia="仿宋_GB2312" w:cs="仿宋_GB2312"/>
          <w:sz w:val="32"/>
          <w:szCs w:val="32"/>
        </w:rPr>
        <w:t>首期资金结算额划付给</w:t>
      </w:r>
      <w:r>
        <w:rPr>
          <w:rFonts w:hint="eastAsia" w:ascii="仿宋_GB2312" w:hAnsi="仿宋_GB2312" w:eastAsia="仿宋_GB2312" w:cs="仿宋_GB2312"/>
          <w:kern w:val="0"/>
          <w:sz w:val="32"/>
          <w:szCs w:val="32"/>
        </w:rPr>
        <w:t>正回购方。</w:t>
      </w:r>
    </w:p>
    <w:p w14:paraId="2245B451">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到期结算日，中央结算公司根据到期结算合同办理结算，将相等数量的同种债券由逆回购方过户给正回购方，并将正回购方的到</w:t>
      </w:r>
      <w:r>
        <w:rPr>
          <w:rFonts w:hint="eastAsia" w:ascii="仿宋_GB2312" w:hAnsi="仿宋_GB2312" w:eastAsia="仿宋_GB2312" w:cs="仿宋_GB2312"/>
          <w:sz w:val="32"/>
          <w:szCs w:val="32"/>
        </w:rPr>
        <w:t>期资金结算额划付给</w:t>
      </w:r>
      <w:r>
        <w:rPr>
          <w:rFonts w:hint="eastAsia" w:ascii="仿宋_GB2312" w:hAnsi="仿宋_GB2312" w:eastAsia="仿宋_GB2312" w:cs="仿宋_GB2312"/>
          <w:kern w:val="0"/>
          <w:sz w:val="32"/>
          <w:szCs w:val="32"/>
        </w:rPr>
        <w:t>逆回购方。首期结算合同失败</w:t>
      </w:r>
      <w:r>
        <w:rPr>
          <w:rFonts w:ascii="仿宋_GB2312" w:hAnsi="仿宋_GB2312" w:eastAsia="仿宋_GB2312" w:cs="仿宋_GB2312"/>
          <w:kern w:val="0"/>
          <w:sz w:val="32"/>
          <w:szCs w:val="32"/>
        </w:rPr>
        <w:t>或者提前终止</w:t>
      </w:r>
      <w:r>
        <w:rPr>
          <w:rFonts w:hint="eastAsia" w:ascii="仿宋_GB2312" w:hAnsi="仿宋_GB2312" w:eastAsia="仿宋_GB2312" w:cs="仿宋_GB2312"/>
          <w:kern w:val="0"/>
          <w:sz w:val="32"/>
          <w:szCs w:val="32"/>
        </w:rPr>
        <w:t>，则对应的到期结算合同不再执行。</w:t>
      </w:r>
    </w:p>
    <w:p w14:paraId="4A892C30">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债券回购</w:t>
      </w:r>
      <w:r>
        <w:rPr>
          <w:rFonts w:hint="eastAsia" w:ascii="仿宋_GB2312" w:hAnsi="仿宋_GB2312" w:eastAsia="仿宋_GB2312" w:cs="仿宋_GB2312"/>
          <w:sz w:val="32"/>
          <w:szCs w:val="32"/>
        </w:rPr>
        <w:t>期间内发生回购债券付息兑付时，中央结算公司收到发行人拨付的付息兑付资金后，在付息兑付资金支付日划付至债权登记日日终登记的债券持有人指定的资金账户。债券回购的逆回购方应不晚于次一个营业日结束前支付给正回购方，逆回购方无需就在上述期限内持有回购债券付息兑付资金向正回购方支付利息。</w:t>
      </w:r>
    </w:p>
    <w:p w14:paraId="4D8CEBA7">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债券回购的</w:t>
      </w:r>
      <w:r>
        <w:rPr>
          <w:rFonts w:hint="eastAsia" w:ascii="仿宋_GB2312" w:hAnsi="仿宋_GB2312" w:eastAsia="仿宋_GB2312" w:cs="仿宋_GB2312"/>
          <w:sz w:val="32"/>
          <w:szCs w:val="32"/>
        </w:rPr>
        <w:t>逆回购方可通过中债综合业务平台办理利息转账业务，将回购债券付息兑付资金返还给正回购方。中债综合业务平台将</w:t>
      </w:r>
      <w:r>
        <w:rPr>
          <w:rFonts w:hint="eastAsia" w:ascii="仿宋_GB2312" w:hAnsi="仿宋_GB2312" w:eastAsia="仿宋_GB2312" w:cs="仿宋_GB2312"/>
          <w:color w:val="000000"/>
          <w:sz w:val="32"/>
          <w:szCs w:val="32"/>
        </w:rPr>
        <w:t>在回购债券付息兑付资金支付日，自动向逆回购方推送待确认的利息转账结算指令。逆回购方</w:t>
      </w:r>
      <w:r>
        <w:rPr>
          <w:rFonts w:hint="eastAsia" w:ascii="仿宋_GB2312" w:hAnsi="仿宋_GB2312" w:eastAsia="仿宋_GB2312" w:cs="仿宋_GB2312"/>
          <w:sz w:val="32"/>
          <w:szCs w:val="32"/>
        </w:rPr>
        <w:t>进行确认后，中债综合业务平台办理结算。</w:t>
      </w:r>
    </w:p>
    <w:p w14:paraId="1DD023A2">
      <w:pPr>
        <w:numPr>
          <w:ilvl w:val="0"/>
          <w:numId w:val="1"/>
        </w:numPr>
        <w:spacing w:line="56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经结算双方协商一致，对于债券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到期结算合同可以采用现金了结交割办理到期结算。逆回购方可在到期结算日业务截止时点前通过中债综合业务平台发送现金了结交割结算指令，结算方式可选择券款对付或纯券过户。正回购方确认后生成现金了结交割结算合同。现金了结交割结算合同在原债券回购到期结算日执行，回购期限不变。现金了结交割后，逆回购方无需再向正回购方归还相关债券。</w:t>
      </w:r>
    </w:p>
    <w:p w14:paraId="2A429DEF">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对于尚未完成结算的首期合同，以及首期合同结算成功但尚未到结算日的到期合同，经结算双方协商一致，可向中央结算公司申请办理提前终止。首期结算合同提前终止后，对应的到期结算合同不再执行。</w:t>
      </w:r>
    </w:p>
    <w:p w14:paraId="16692723">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结算双方可通过其自身在支付系统（包括但不限于中国人民银行大额支付系统、人民币跨境支付系统）的清算账户、在中央结算公司特许清算账户下开立的债券结算资金专户或其他符合要求的资金账户办理</w:t>
      </w:r>
      <w:r>
        <w:rPr>
          <w:rFonts w:hint="eastAsia" w:ascii="仿宋_GB2312" w:hAnsi="仿宋_GB2312" w:eastAsia="仿宋_GB2312" w:cs="仿宋_GB2312"/>
          <w:color w:val="000000"/>
          <w:sz w:val="32"/>
          <w:szCs w:val="32"/>
        </w:rPr>
        <w:t>债券回购</w:t>
      </w:r>
      <w:r>
        <w:rPr>
          <w:rFonts w:hint="eastAsia" w:ascii="仿宋_GB2312" w:hAnsi="仿宋_GB2312" w:eastAsia="仿宋_GB2312" w:cs="仿宋_GB2312"/>
          <w:kern w:val="0"/>
          <w:sz w:val="32"/>
          <w:szCs w:val="32"/>
        </w:rPr>
        <w:t>、利息转账、现金了结交割、提前终止</w:t>
      </w:r>
      <w:r>
        <w:rPr>
          <w:rFonts w:hint="eastAsia" w:ascii="仿宋_GB2312" w:hAnsi="仿宋_GB2312" w:eastAsia="仿宋_GB2312" w:cs="仿宋_GB2312"/>
          <w:kern w:val="0"/>
          <w:sz w:val="32"/>
          <w:szCs w:val="32"/>
          <w:lang w:val="en-US" w:eastAsia="zh-CN"/>
        </w:rPr>
        <w:t>等</w:t>
      </w:r>
      <w:r>
        <w:rPr>
          <w:rFonts w:hint="eastAsia" w:ascii="仿宋_GB2312" w:hAnsi="仿宋_GB2312" w:eastAsia="仿宋_GB2312" w:cs="仿宋_GB2312"/>
          <w:kern w:val="0"/>
          <w:sz w:val="32"/>
          <w:szCs w:val="32"/>
        </w:rPr>
        <w:t>业务项下的资金结算。</w:t>
      </w:r>
    </w:p>
    <w:p w14:paraId="72D35375">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为防范</w:t>
      </w:r>
      <w:r>
        <w:rPr>
          <w:rFonts w:hint="eastAsia" w:ascii="仿宋_GB2312" w:hAnsi="仿宋_GB2312" w:eastAsia="仿宋_GB2312" w:cs="仿宋_GB2312"/>
          <w:color w:val="000000"/>
          <w:sz w:val="32"/>
          <w:szCs w:val="32"/>
        </w:rPr>
        <w:t>债券回购</w:t>
      </w:r>
      <w:r>
        <w:rPr>
          <w:rFonts w:hint="eastAsia" w:ascii="仿宋_GB2312" w:hAnsi="仿宋_GB2312" w:eastAsia="仿宋_GB2312" w:cs="仿宋_GB2312"/>
          <w:sz w:val="32"/>
          <w:szCs w:val="32"/>
        </w:rPr>
        <w:t>交易结算违约风险，中央结算公司为境外机构投资者提供设立集中保管保证金和保证券的服务，由结算双方自行协商选择使用。</w:t>
      </w:r>
    </w:p>
    <w:p w14:paraId="56236140">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境外机构投资者选择保证券或由中央结算公司为其集中保管保证金的，应事先与中央结算公司签订相关协议。保证券和保证金及其孳息归提交方所有。</w:t>
      </w:r>
    </w:p>
    <w:p w14:paraId="2824E7A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中央结算公司通过在支付系统的特许清算账户为境外机构投资者提供保证金集中保管服务。境外机构投资者选择保证金服务的，应事先在中央结算公司开立保证金专户。</w:t>
      </w:r>
    </w:p>
    <w:p w14:paraId="01DE0683">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经结算双方协商选择使用保证金或者保证券的，应在债券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首期结算日业务截止时点前提交相应的保证金或者保证券。</w:t>
      </w:r>
    </w:p>
    <w:p w14:paraId="1CCE720A">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经结算双方协商，债券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业务项下的保证券（如有）在回购期内可以进行调整。</w:t>
      </w:r>
    </w:p>
    <w:p w14:paraId="3FB1AAE9">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债券回购</w:t>
      </w:r>
      <w:r>
        <w:rPr>
          <w:rFonts w:hint="eastAsia" w:ascii="仿宋_GB2312" w:hAnsi="仿宋_GB2312" w:eastAsia="仿宋_GB2312" w:cs="仿宋_GB2312"/>
          <w:sz w:val="32"/>
          <w:szCs w:val="32"/>
        </w:rPr>
        <w:t>到期合同结算失败后，经结算双方协商，需对回购债券和保证券（如有）进行清偿过户处理的，结算双方可向中央结算公司申请办理。</w:t>
      </w:r>
    </w:p>
    <w:p w14:paraId="769E2C77">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结算双方可以通过中债综合业务平台查询债券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结算指令、结算合同、结算业务台账、结算交割单据、保证金（券）状态等。</w:t>
      </w:r>
    </w:p>
    <w:p w14:paraId="4BA6CDCC">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结算双方与中债综合业务平台联网的终端出现技术故障无法及时修复，不能通过中债综合业务平台发送业务指令或者出现其他特殊情形的，可以通过纸质应急凭单线下办理相关业务。中央结算公司代为进行相关操作，但不承担因非自身原因导致的迟延或因应急凭单提交方失误等原因产生的相关责任。</w:t>
      </w:r>
    </w:p>
    <w:p w14:paraId="53738904">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为防范交易风险，在交易存续期内，境外机构投资者与做市商可委托中央结算公司为回购债券提供盯市、调整、违约处置等担保品管理服务。</w:t>
      </w:r>
    </w:p>
    <w:p w14:paraId="66E450AD">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中央结算公司根据中国人民银行有关规定对债券</w:t>
      </w:r>
      <w:r>
        <w:rPr>
          <w:rFonts w:hint="eastAsia" w:ascii="仿宋_GB2312" w:hAnsi="仿宋_GB2312" w:eastAsia="仿宋_GB2312" w:cs="仿宋_GB2312"/>
          <w:color w:val="000000"/>
          <w:sz w:val="32"/>
          <w:szCs w:val="32"/>
        </w:rPr>
        <w:t>回购</w:t>
      </w:r>
      <w:r>
        <w:rPr>
          <w:rFonts w:hint="eastAsia" w:ascii="仿宋_GB2312" w:hAnsi="仿宋_GB2312" w:eastAsia="仿宋_GB2312" w:cs="仿宋_GB2312"/>
          <w:sz w:val="32"/>
          <w:szCs w:val="32"/>
        </w:rPr>
        <w:t>业务进行市场监测，并将有关情况报告中国人民银行。</w:t>
      </w:r>
    </w:p>
    <w:p w14:paraId="2A67FE37">
      <w:pPr>
        <w:numPr>
          <w:ilvl w:val="0"/>
          <w:numId w:val="1"/>
        </w:numPr>
        <w:spacing w:line="560" w:lineRule="exact"/>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6"/>
          <w:sz w:val="32"/>
          <w:szCs w:val="32"/>
        </w:rPr>
        <w:t>债券回购</w:t>
      </w:r>
      <w:r>
        <w:rPr>
          <w:rFonts w:hint="eastAsia" w:ascii="仿宋_GB2312" w:hAnsi="仿宋_GB2312" w:eastAsia="仿宋_GB2312" w:cs="仿宋_GB2312"/>
          <w:spacing w:val="-6"/>
          <w:sz w:val="32"/>
          <w:szCs w:val="32"/>
        </w:rPr>
        <w:t>业务沿用买断式回购业务收费标准。</w:t>
      </w:r>
    </w:p>
    <w:p w14:paraId="2B84BFA4">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本细则未尽事宜根据中国人民银行相关规定或中央结算公司其他规定执行。</w:t>
      </w:r>
    </w:p>
    <w:p w14:paraId="1E8F023D">
      <w:pPr>
        <w:numPr>
          <w:ilvl w:val="0"/>
          <w:numId w:val="1"/>
        </w:numPr>
        <w:spacing w:line="560" w:lineRule="exact"/>
        <w:ind w:firstLine="64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t>本细则由中央结算公司负责解释，自</w:t>
      </w:r>
      <w:r>
        <w:rPr>
          <w:rFonts w:hint="eastAsia" w:ascii="仿宋_GB2312" w:hAnsi="仿宋_GB2312" w:eastAsia="仿宋_GB2312" w:cs="仿宋_GB2312"/>
          <w:sz w:val="36"/>
          <w:szCs w:val="36"/>
        </w:rPr>
        <w:t>发布之日起施行。</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阿里巴巴普惠体 R"/>
    <w:panose1 w:val="00000000000000000000"/>
    <w:charset w:val="00"/>
    <w:family w:val="auto"/>
    <w:pitch w:val="default"/>
    <w:sig w:usb0="00000000" w:usb1="00000000" w:usb2="00000000" w:usb3="00000000" w:csb0="00000000" w:csb1="00000000"/>
  </w:font>
  <w:font w:name="阿里巴巴普惠体 R">
    <w:panose1 w:val="00020600040101010101"/>
    <w:charset w:val="86"/>
    <w:family w:val="auto"/>
    <w:pitch w:val="default"/>
    <w:sig w:usb0="A00002FF" w:usb1="7ACF7CFB" w:usb2="0000001E" w:usb3="00000000" w:csb0="0004009F"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FAF46">
    <w:pPr>
      <w:pStyle w:val="5"/>
      <w:ind w:right="360"/>
      <w:jc w:val="right"/>
      <w:rPr>
        <w:rFonts w:hint="eastAsia"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8"/>
                              <w:szCs w:val="28"/>
                            </w:rPr>
                            <w:id w:val="-1"/>
                          </w:sdtPr>
                          <w:sdtEndPr>
                            <w:rPr>
                              <w:rFonts w:ascii="仿宋" w:hAnsi="仿宋" w:eastAsia="仿宋"/>
                              <w:sz w:val="28"/>
                              <w:szCs w:val="28"/>
                            </w:rPr>
                          </w:sdtEndPr>
                          <w:sdtContent>
                            <w:p w14:paraId="17E5CB51">
                              <w:pPr>
                                <w:pStyle w:val="5"/>
                                <w:ind w:right="360"/>
                                <w:jc w:val="right"/>
                                <w:rPr>
                                  <w:rFonts w:hint="eastAsia" w:ascii="仿宋" w:hAnsi="仿宋" w:eastAsia="仿宋"/>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sdtContent>
                        </w:sdt>
                        <w:p w14:paraId="2072C5D4">
                          <w:pPr>
                            <w:rPr>
                              <w:rFonts w:hint="eastAsia" w:ascii="仿宋" w:hAnsi="仿宋" w:eastAsia="仿宋"/>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rPr>
                        <w:sz w:val="28"/>
                        <w:szCs w:val="28"/>
                      </w:rPr>
                      <w:id w:val="-1"/>
                    </w:sdtPr>
                    <w:sdtEndPr>
                      <w:rPr>
                        <w:rFonts w:ascii="仿宋" w:hAnsi="仿宋" w:eastAsia="仿宋"/>
                        <w:sz w:val="28"/>
                        <w:szCs w:val="28"/>
                      </w:rPr>
                    </w:sdtEndPr>
                    <w:sdtContent>
                      <w:p w14:paraId="17E5CB51">
                        <w:pPr>
                          <w:pStyle w:val="5"/>
                          <w:ind w:right="360"/>
                          <w:jc w:val="right"/>
                          <w:rPr>
                            <w:rFonts w:hint="eastAsia" w:ascii="仿宋" w:hAnsi="仿宋" w:eastAsia="仿宋"/>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sdtContent>
                  </w:sdt>
                  <w:p w14:paraId="2072C5D4">
                    <w:pPr>
                      <w:rPr>
                        <w:rFonts w:hint="eastAsia" w:ascii="仿宋" w:hAnsi="仿宋" w:eastAsia="仿宋"/>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9ECCD">
    <w:pPr>
      <w:pStyle w:val="5"/>
      <w:ind w:firstLine="280" w:firstLineChars="100"/>
      <w:rPr>
        <w:rFonts w:hint="eastAsia" w:ascii="仿宋" w:hAnsi="仿宋" w:eastAsia="仿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仿宋" w:hAnsi="仿宋" w:eastAsia="仿宋"/>
                              <w:sz w:val="28"/>
                              <w:szCs w:val="28"/>
                            </w:rPr>
                            <w:id w:val="147461317"/>
                          </w:sdtPr>
                          <w:sdtEndPr>
                            <w:rPr>
                              <w:rFonts w:ascii="仿宋" w:hAnsi="仿宋" w:eastAsia="仿宋"/>
                              <w:sz w:val="28"/>
                              <w:szCs w:val="28"/>
                            </w:rPr>
                          </w:sdtEndPr>
                          <w:sdtContent>
                            <w:p w14:paraId="137C4FA0">
                              <w:pPr>
                                <w:pStyle w:val="5"/>
                                <w:ind w:firstLine="280" w:firstLineChars="100"/>
                                <w:rPr>
                                  <w:rFonts w:hint="eastAsia" w:ascii="仿宋" w:hAnsi="仿宋" w:eastAsia="仿宋"/>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14:paraId="2370B410">
                          <w:pPr>
                            <w:rPr>
                              <w:rFonts w:hint="eastAsia" w:ascii="仿宋" w:hAnsi="仿宋" w:eastAsia="仿宋"/>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rPr>
                        <w:rFonts w:ascii="仿宋" w:hAnsi="仿宋" w:eastAsia="仿宋"/>
                        <w:sz w:val="28"/>
                        <w:szCs w:val="28"/>
                      </w:rPr>
                      <w:id w:val="147461317"/>
                    </w:sdtPr>
                    <w:sdtEndPr>
                      <w:rPr>
                        <w:rFonts w:ascii="仿宋" w:hAnsi="仿宋" w:eastAsia="仿宋"/>
                        <w:sz w:val="28"/>
                        <w:szCs w:val="28"/>
                      </w:rPr>
                    </w:sdtEndPr>
                    <w:sdtContent>
                      <w:p w14:paraId="137C4FA0">
                        <w:pPr>
                          <w:pStyle w:val="5"/>
                          <w:ind w:firstLine="280" w:firstLineChars="100"/>
                          <w:rPr>
                            <w:rFonts w:hint="eastAsia" w:ascii="仿宋" w:hAnsi="仿宋" w:eastAsia="仿宋"/>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14:paraId="2370B410">
                    <w:pPr>
                      <w:rPr>
                        <w:rFonts w:hint="eastAsia" w:ascii="仿宋" w:hAnsi="仿宋" w:eastAsia="仿宋"/>
                        <w:sz w:val="28"/>
                        <w:szCs w:val="2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D0B68"/>
    <w:multiLevelType w:val="singleLevel"/>
    <w:tmpl w:val="43FD0B68"/>
    <w:lvl w:ilvl="0" w:tentative="0">
      <w:start w:val="1"/>
      <w:numFmt w:val="chineseCounting"/>
      <w:suff w:val="space"/>
      <w:lvlText w:val="第%1条"/>
      <w:lvlJc w:val="left"/>
      <w:rPr>
        <w:rFonts w:hint="eastAsia" w:ascii="仿宋_GB2312" w:hAnsi="仿宋_GB2312" w:eastAsia="仿宋_GB2312" w:cs="仿宋_GB2312"/>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trackedChange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1OGExNTViZDYyOTQ2N2NkZTA2ZGRjNjFiMmFiNjEifQ=="/>
  </w:docVars>
  <w:rsids>
    <w:rsidRoot w:val="00B87A2C"/>
    <w:rsid w:val="00014C8B"/>
    <w:rsid w:val="000565A5"/>
    <w:rsid w:val="00065C40"/>
    <w:rsid w:val="000728B0"/>
    <w:rsid w:val="000821EE"/>
    <w:rsid w:val="00085C17"/>
    <w:rsid w:val="000A6BE0"/>
    <w:rsid w:val="000C2FF7"/>
    <w:rsid w:val="000D26A4"/>
    <w:rsid w:val="001022CA"/>
    <w:rsid w:val="001226E3"/>
    <w:rsid w:val="00130D64"/>
    <w:rsid w:val="00133CFB"/>
    <w:rsid w:val="0013522E"/>
    <w:rsid w:val="00141841"/>
    <w:rsid w:val="0014214A"/>
    <w:rsid w:val="00147CB5"/>
    <w:rsid w:val="0015262A"/>
    <w:rsid w:val="00161042"/>
    <w:rsid w:val="00173E48"/>
    <w:rsid w:val="0019206B"/>
    <w:rsid w:val="001932DA"/>
    <w:rsid w:val="001B7FB6"/>
    <w:rsid w:val="001E4AAA"/>
    <w:rsid w:val="001F0DDF"/>
    <w:rsid w:val="00204076"/>
    <w:rsid w:val="00214E16"/>
    <w:rsid w:val="002174D1"/>
    <w:rsid w:val="002367F4"/>
    <w:rsid w:val="002555D5"/>
    <w:rsid w:val="00276B0F"/>
    <w:rsid w:val="002A5D70"/>
    <w:rsid w:val="002E6793"/>
    <w:rsid w:val="002F0094"/>
    <w:rsid w:val="00301D73"/>
    <w:rsid w:val="00350BFC"/>
    <w:rsid w:val="00351F0A"/>
    <w:rsid w:val="003818C8"/>
    <w:rsid w:val="003D0853"/>
    <w:rsid w:val="003D4B4A"/>
    <w:rsid w:val="003D6A1B"/>
    <w:rsid w:val="003E2CA1"/>
    <w:rsid w:val="003F06A9"/>
    <w:rsid w:val="00415366"/>
    <w:rsid w:val="00431152"/>
    <w:rsid w:val="00434196"/>
    <w:rsid w:val="0044174D"/>
    <w:rsid w:val="00455F7B"/>
    <w:rsid w:val="004C5079"/>
    <w:rsid w:val="00514C1C"/>
    <w:rsid w:val="0053647B"/>
    <w:rsid w:val="00586FDA"/>
    <w:rsid w:val="005922AE"/>
    <w:rsid w:val="005D400E"/>
    <w:rsid w:val="005F2373"/>
    <w:rsid w:val="00621B5E"/>
    <w:rsid w:val="00651CC0"/>
    <w:rsid w:val="006676D6"/>
    <w:rsid w:val="00682F2B"/>
    <w:rsid w:val="00695484"/>
    <w:rsid w:val="0069587B"/>
    <w:rsid w:val="00696818"/>
    <w:rsid w:val="006B1413"/>
    <w:rsid w:val="0071675B"/>
    <w:rsid w:val="00720922"/>
    <w:rsid w:val="0072201B"/>
    <w:rsid w:val="00747041"/>
    <w:rsid w:val="00761861"/>
    <w:rsid w:val="00767673"/>
    <w:rsid w:val="007C6488"/>
    <w:rsid w:val="007F0393"/>
    <w:rsid w:val="00875BCF"/>
    <w:rsid w:val="0089200E"/>
    <w:rsid w:val="008A4C7A"/>
    <w:rsid w:val="00932135"/>
    <w:rsid w:val="00943C04"/>
    <w:rsid w:val="009F4C3F"/>
    <w:rsid w:val="00A2431B"/>
    <w:rsid w:val="00A26F7E"/>
    <w:rsid w:val="00A56628"/>
    <w:rsid w:val="00A82D84"/>
    <w:rsid w:val="00A839BD"/>
    <w:rsid w:val="00A93AC2"/>
    <w:rsid w:val="00A94CE4"/>
    <w:rsid w:val="00AC1106"/>
    <w:rsid w:val="00AC4A21"/>
    <w:rsid w:val="00AD470A"/>
    <w:rsid w:val="00AE5487"/>
    <w:rsid w:val="00B21BCB"/>
    <w:rsid w:val="00B73EC9"/>
    <w:rsid w:val="00B87A2C"/>
    <w:rsid w:val="00BB7255"/>
    <w:rsid w:val="00BD0F89"/>
    <w:rsid w:val="00BF405A"/>
    <w:rsid w:val="00C36ED6"/>
    <w:rsid w:val="00C52EE3"/>
    <w:rsid w:val="00C55CE0"/>
    <w:rsid w:val="00C638E7"/>
    <w:rsid w:val="00C6445A"/>
    <w:rsid w:val="00CE465C"/>
    <w:rsid w:val="00CF077E"/>
    <w:rsid w:val="00D1611B"/>
    <w:rsid w:val="00D20A34"/>
    <w:rsid w:val="00D56772"/>
    <w:rsid w:val="00DB0048"/>
    <w:rsid w:val="00DB4C97"/>
    <w:rsid w:val="00DB7EFD"/>
    <w:rsid w:val="00DD1ADE"/>
    <w:rsid w:val="00DE1AF6"/>
    <w:rsid w:val="00DE3182"/>
    <w:rsid w:val="00E40B50"/>
    <w:rsid w:val="00E6266B"/>
    <w:rsid w:val="00E76DFF"/>
    <w:rsid w:val="00E87C50"/>
    <w:rsid w:val="00EB6490"/>
    <w:rsid w:val="00EE5C67"/>
    <w:rsid w:val="00EF5D68"/>
    <w:rsid w:val="00F17690"/>
    <w:rsid w:val="00F20523"/>
    <w:rsid w:val="00F27C21"/>
    <w:rsid w:val="00F40155"/>
    <w:rsid w:val="00F715A9"/>
    <w:rsid w:val="00F94149"/>
    <w:rsid w:val="00FA134D"/>
    <w:rsid w:val="00FA43AD"/>
    <w:rsid w:val="00FB013A"/>
    <w:rsid w:val="00FE04CF"/>
    <w:rsid w:val="0192742D"/>
    <w:rsid w:val="04711651"/>
    <w:rsid w:val="08591B2D"/>
    <w:rsid w:val="08EF179C"/>
    <w:rsid w:val="0C361A2E"/>
    <w:rsid w:val="0CAF5A63"/>
    <w:rsid w:val="0D3B4C61"/>
    <w:rsid w:val="0D5D2EEB"/>
    <w:rsid w:val="0D6469F2"/>
    <w:rsid w:val="0DE27785"/>
    <w:rsid w:val="0E791417"/>
    <w:rsid w:val="0EA533DD"/>
    <w:rsid w:val="110D64BF"/>
    <w:rsid w:val="11E95456"/>
    <w:rsid w:val="13A52EF6"/>
    <w:rsid w:val="14512313"/>
    <w:rsid w:val="14E50CC3"/>
    <w:rsid w:val="151B44FE"/>
    <w:rsid w:val="15323E1D"/>
    <w:rsid w:val="16556F65"/>
    <w:rsid w:val="17B04787"/>
    <w:rsid w:val="183D3235"/>
    <w:rsid w:val="19460B08"/>
    <w:rsid w:val="199647A3"/>
    <w:rsid w:val="1B1B55D8"/>
    <w:rsid w:val="1C565D5D"/>
    <w:rsid w:val="1D1B732C"/>
    <w:rsid w:val="1D9659E6"/>
    <w:rsid w:val="1DF43774"/>
    <w:rsid w:val="1DF945FE"/>
    <w:rsid w:val="20DC13EF"/>
    <w:rsid w:val="232D3FDA"/>
    <w:rsid w:val="23F96A91"/>
    <w:rsid w:val="24D15476"/>
    <w:rsid w:val="25B30BFB"/>
    <w:rsid w:val="25D127BA"/>
    <w:rsid w:val="269E6712"/>
    <w:rsid w:val="26D779C8"/>
    <w:rsid w:val="274D3631"/>
    <w:rsid w:val="27703ABC"/>
    <w:rsid w:val="28462B22"/>
    <w:rsid w:val="289A06D2"/>
    <w:rsid w:val="2B5367AC"/>
    <w:rsid w:val="2C0466C9"/>
    <w:rsid w:val="2DD054FB"/>
    <w:rsid w:val="2EB93950"/>
    <w:rsid w:val="2FEA549B"/>
    <w:rsid w:val="31B5208B"/>
    <w:rsid w:val="331C6865"/>
    <w:rsid w:val="339F11BC"/>
    <w:rsid w:val="36940E9A"/>
    <w:rsid w:val="37BF6DDF"/>
    <w:rsid w:val="3955430F"/>
    <w:rsid w:val="39AB533D"/>
    <w:rsid w:val="3D053CEE"/>
    <w:rsid w:val="3D573266"/>
    <w:rsid w:val="3F243612"/>
    <w:rsid w:val="3FDF3E23"/>
    <w:rsid w:val="406031DD"/>
    <w:rsid w:val="41E131CF"/>
    <w:rsid w:val="43693A48"/>
    <w:rsid w:val="43A00B23"/>
    <w:rsid w:val="440D5BE6"/>
    <w:rsid w:val="44F2617E"/>
    <w:rsid w:val="45334B7E"/>
    <w:rsid w:val="48575393"/>
    <w:rsid w:val="4A392321"/>
    <w:rsid w:val="4BA60DB5"/>
    <w:rsid w:val="4CB875B5"/>
    <w:rsid w:val="500D657C"/>
    <w:rsid w:val="50AC26B5"/>
    <w:rsid w:val="516E723F"/>
    <w:rsid w:val="521A484D"/>
    <w:rsid w:val="52A019BD"/>
    <w:rsid w:val="536F1F50"/>
    <w:rsid w:val="5401509C"/>
    <w:rsid w:val="55E8559C"/>
    <w:rsid w:val="560E0A6C"/>
    <w:rsid w:val="57AE6A5C"/>
    <w:rsid w:val="586101E9"/>
    <w:rsid w:val="5885354F"/>
    <w:rsid w:val="58974889"/>
    <w:rsid w:val="5AC777F6"/>
    <w:rsid w:val="5AFA4A96"/>
    <w:rsid w:val="5B5709CC"/>
    <w:rsid w:val="5CDC0FA5"/>
    <w:rsid w:val="5D185702"/>
    <w:rsid w:val="5D7171BA"/>
    <w:rsid w:val="5E347A15"/>
    <w:rsid w:val="5E6B7D54"/>
    <w:rsid w:val="5EB873FA"/>
    <w:rsid w:val="5EE82810"/>
    <w:rsid w:val="60D104C1"/>
    <w:rsid w:val="612E656F"/>
    <w:rsid w:val="6204625D"/>
    <w:rsid w:val="65C65BC0"/>
    <w:rsid w:val="6644216B"/>
    <w:rsid w:val="668B6D65"/>
    <w:rsid w:val="680231FD"/>
    <w:rsid w:val="69306266"/>
    <w:rsid w:val="6A4F011C"/>
    <w:rsid w:val="6A5A1FC7"/>
    <w:rsid w:val="6EB555EA"/>
    <w:rsid w:val="6F7C3F73"/>
    <w:rsid w:val="6FFF4407"/>
    <w:rsid w:val="72166B27"/>
    <w:rsid w:val="73BE50AA"/>
    <w:rsid w:val="73D93D54"/>
    <w:rsid w:val="74651C70"/>
    <w:rsid w:val="75072767"/>
    <w:rsid w:val="75847440"/>
    <w:rsid w:val="767C3399"/>
    <w:rsid w:val="77E98CE5"/>
    <w:rsid w:val="77F7FBCB"/>
    <w:rsid w:val="78FE6C04"/>
    <w:rsid w:val="7B4C1142"/>
    <w:rsid w:val="7BF63162"/>
    <w:rsid w:val="7BFF6151"/>
    <w:rsid w:val="7D04123E"/>
    <w:rsid w:val="7F072E49"/>
    <w:rsid w:val="7F641589"/>
    <w:rsid w:val="7FB95885"/>
    <w:rsid w:val="EBEB9358"/>
    <w:rsid w:val="F4FFE04F"/>
    <w:rsid w:val="F7651479"/>
    <w:rsid w:val="FBE9A35B"/>
    <w:rsid w:val="FE5FAA2C"/>
    <w:rsid w:val="FECEE7D5"/>
    <w:rsid w:val="FFC95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semiHidden/>
    <w:unhideWhenUsed/>
    <w:qFormat/>
    <w:uiPriority w:val="99"/>
    <w:pPr>
      <w:jc w:val="left"/>
    </w:pPr>
  </w:style>
  <w:style w:type="paragraph" w:styleId="4">
    <w:name w:val="Balloon Text"/>
    <w:basedOn w:val="1"/>
    <w:link w:val="22"/>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21"/>
    <w:semiHidden/>
    <w:unhideWhenUsed/>
    <w:qFormat/>
    <w:uiPriority w:val="99"/>
    <w:rPr>
      <w:b/>
      <w:bCs/>
    </w:rPr>
  </w:style>
  <w:style w:type="table" w:styleId="10">
    <w:name w:val="Table Grid"/>
    <w:basedOn w:val="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paragraph" w:customStyle="1" w:styleId="15">
    <w:name w:val="列出段落1"/>
    <w:basedOn w:val="1"/>
    <w:qFormat/>
    <w:uiPriority w:val="34"/>
    <w:pPr>
      <w:spacing w:line="560" w:lineRule="exact"/>
      <w:ind w:firstLine="420" w:firstLineChars="200"/>
    </w:pPr>
    <w:rPr>
      <w:szCs w:val="21"/>
    </w:rPr>
  </w:style>
  <w:style w:type="paragraph" w:customStyle="1" w:styleId="16">
    <w:name w:val="CCDC正文"/>
    <w:basedOn w:val="1"/>
    <w:qFormat/>
    <w:uiPriority w:val="0"/>
    <w:pPr>
      <w:spacing w:line="560" w:lineRule="exact"/>
      <w:ind w:firstLine="615" w:firstLineChars="205"/>
    </w:pPr>
    <w:rPr>
      <w:rFonts w:ascii="仿宋_GB2312" w:hAnsi="Times New Roman" w:eastAsia="仿宋_GB2312" w:cs="Times New Roman"/>
      <w:sz w:val="30"/>
      <w:szCs w:val="30"/>
    </w:rPr>
  </w:style>
  <w:style w:type="character" w:customStyle="1" w:styleId="17">
    <w:name w:val="页眉 字符"/>
    <w:basedOn w:val="11"/>
    <w:link w:val="6"/>
    <w:qFormat/>
    <w:uiPriority w:val="99"/>
    <w:rPr>
      <w:sz w:val="18"/>
      <w:szCs w:val="18"/>
    </w:rPr>
  </w:style>
  <w:style w:type="character" w:customStyle="1" w:styleId="18">
    <w:name w:val="页脚 字符"/>
    <w:basedOn w:val="11"/>
    <w:link w:val="5"/>
    <w:qFormat/>
    <w:uiPriority w:val="99"/>
    <w:rPr>
      <w:sz w:val="18"/>
      <w:szCs w:val="18"/>
    </w:rPr>
  </w:style>
  <w:style w:type="character" w:customStyle="1" w:styleId="19">
    <w:name w:val="标题 1 字符"/>
    <w:basedOn w:val="11"/>
    <w:link w:val="2"/>
    <w:qFormat/>
    <w:uiPriority w:val="0"/>
    <w:rPr>
      <w:rFonts w:ascii="Times New Roman" w:hAnsi="Times New Roman" w:eastAsia="宋体" w:cs="Times New Roman"/>
      <w:b/>
      <w:bCs/>
      <w:kern w:val="44"/>
      <w:sz w:val="44"/>
      <w:szCs w:val="44"/>
    </w:rPr>
  </w:style>
  <w:style w:type="character" w:customStyle="1" w:styleId="20">
    <w:name w:val="批注文字 字符"/>
    <w:basedOn w:val="11"/>
    <w:link w:val="3"/>
    <w:semiHidden/>
    <w:qFormat/>
    <w:uiPriority w:val="99"/>
    <w:rPr>
      <w:szCs w:val="24"/>
    </w:rPr>
  </w:style>
  <w:style w:type="character" w:customStyle="1" w:styleId="21">
    <w:name w:val="批注主题 字符"/>
    <w:basedOn w:val="20"/>
    <w:link w:val="8"/>
    <w:semiHidden/>
    <w:qFormat/>
    <w:uiPriority w:val="99"/>
    <w:rPr>
      <w:b/>
      <w:bCs/>
      <w:szCs w:val="24"/>
    </w:rPr>
  </w:style>
  <w:style w:type="character" w:customStyle="1" w:styleId="22">
    <w:name w:val="批注框文本 字符"/>
    <w:basedOn w:val="11"/>
    <w:link w:val="4"/>
    <w:semiHidden/>
    <w:qFormat/>
    <w:uiPriority w:val="99"/>
    <w:rPr>
      <w:sz w:val="18"/>
      <w:szCs w:val="18"/>
    </w:r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402</Words>
  <Characters>2293</Characters>
  <Lines>19</Lines>
  <Paragraphs>5</Paragraphs>
  <TotalTime>245</TotalTime>
  <ScaleCrop>false</ScaleCrop>
  <LinksUpToDate>false</LinksUpToDate>
  <CharactersWithSpaces>2690</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2025-08-27T05:26:00Z</dcterms:created>
  <dc:creator>王喆</dc:creator>
  <cp:lastModifiedBy>CCDC</cp:lastModifiedBy>
  <cp:lastPrinted>2025-09-25T17:58:00Z</cp:lastPrinted>
  <dcterms:modified xsi:type="dcterms:W3CDTF">2025-09-26T18:39:13Z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89219C29A01442C3B8674C659F1C55C1_13</vt:lpwstr>
  </property>
</Properties>
</file>