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4.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drawings/drawing5.xml" ContentType="application/vnd.openxmlformats-officedocument.drawingml.chartshapes+xml"/>
  <Override PartName="/word/charts/chart6.xml" ContentType="application/vnd.openxmlformats-officedocument.drawingml.chart+xml"/>
  <Override PartName="/word/theme/themeOverride6.xml" ContentType="application/vnd.openxmlformats-officedocument.themeOverride+xml"/>
  <Override PartName="/word/drawings/drawing6.xml" ContentType="application/vnd.openxmlformats-officedocument.drawingml.chartshapes+xml"/>
  <Override PartName="/word/header5.xml" ContentType="application/vnd.openxmlformats-officedocument.wordprocessingml.header+xml"/>
  <Override PartName="/word/footer5.xml" ContentType="application/vnd.openxmlformats-officedocument.wordprocessingml.footer+xml"/>
  <Override PartName="/word/charts/chart7.xml" ContentType="application/vnd.openxmlformats-officedocument.drawingml.chart+xml"/>
  <Override PartName="/word/drawings/drawing7.xml" ContentType="application/vnd.openxmlformats-officedocument.drawingml.chartshapes+xml"/>
  <Override PartName="/word/charts/chart8.xml" ContentType="application/vnd.openxmlformats-officedocument.drawingml.chart+xml"/>
  <Override PartName="/word/drawings/drawing8.xml" ContentType="application/vnd.openxmlformats-officedocument.drawingml.chartshapes+xml"/>
  <Override PartName="/word/charts/chart9.xml" ContentType="application/vnd.openxmlformats-officedocument.drawingml.chart+xml"/>
  <Override PartName="/word/theme/themeOverride7.xml" ContentType="application/vnd.openxmlformats-officedocument.themeOverride+xml"/>
  <Override PartName="/word/drawings/drawing9.xml" ContentType="application/vnd.openxmlformats-officedocument.drawingml.chartshapes+xml"/>
  <Override PartName="/word/charts/chart10.xml" ContentType="application/vnd.openxmlformats-officedocument.drawingml.chart+xml"/>
  <Override PartName="/word/theme/themeOverride8.xml" ContentType="application/vnd.openxmlformats-officedocument.themeOverride+xml"/>
  <Override PartName="/word/drawings/drawing10.xml" ContentType="application/vnd.openxmlformats-officedocument.drawingml.chartshapes+xml"/>
  <Override PartName="/word/charts/chart11.xml" ContentType="application/vnd.openxmlformats-officedocument.drawingml.chart+xml"/>
  <Override PartName="/word/theme/themeOverride9.xml" ContentType="application/vnd.openxmlformats-officedocument.themeOverride+xml"/>
  <Override PartName="/word/drawings/drawing11.xml" ContentType="application/vnd.openxmlformats-officedocument.drawingml.chartshapes+xml"/>
  <Override PartName="/word/charts/chart12.xml" ContentType="application/vnd.openxmlformats-officedocument.drawingml.chart+xml"/>
  <Override PartName="/word/theme/themeOverride10.xml" ContentType="application/vnd.openxmlformats-officedocument.themeOverride+xml"/>
  <Override PartName="/word/charts/chart13.xml" ContentType="application/vnd.openxmlformats-officedocument.drawingml.chart+xml"/>
  <Override PartName="/word/theme/themeOverride11.xml" ContentType="application/vnd.openxmlformats-officedocument.themeOverride+xml"/>
  <Override PartName="/word/charts/chart14.xml" ContentType="application/vnd.openxmlformats-officedocument.drawingml.chart+xml"/>
  <Override PartName="/word/theme/themeOverride12.xml" ContentType="application/vnd.openxmlformats-officedocument.themeOverride+xml"/>
  <Override PartName="/word/drawings/drawing12.xml" ContentType="application/vnd.openxmlformats-officedocument.drawingml.chartshapes+xml"/>
  <Override PartName="/word/charts/chart15.xml" ContentType="application/vnd.openxmlformats-officedocument.drawingml.chart+xml"/>
  <Override PartName="/word/theme/themeOverride13.xml" ContentType="application/vnd.openxmlformats-officedocument.themeOverride+xml"/>
  <Override PartName="/word/drawings/drawing13.xml" ContentType="application/vnd.openxmlformats-officedocument.drawingml.chartshapes+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charts/chart16.xml" ContentType="application/vnd.openxmlformats-officedocument.drawingml.chart+xml"/>
  <Override PartName="/word/theme/themeOverride14.xml" ContentType="application/vnd.openxmlformats-officedocument.themeOverride+xml"/>
  <Override PartName="/word/drawings/drawing14.xml" ContentType="application/vnd.openxmlformats-officedocument.drawingml.chartshapes+xml"/>
  <Override PartName="/word/charts/chart17.xml" ContentType="application/vnd.openxmlformats-officedocument.drawingml.chart+xml"/>
  <Override PartName="/word/theme/themeOverride15.xml" ContentType="application/vnd.openxmlformats-officedocument.themeOverride+xml"/>
  <Override PartName="/word/charts/chart18.xml" ContentType="application/vnd.openxmlformats-officedocument.drawingml.chart+xml"/>
  <Override PartName="/word/theme/themeOverride16.xml" ContentType="application/vnd.openxmlformats-officedocument.themeOverride+xml"/>
  <Override PartName="/word/drawings/drawing15.xml" ContentType="application/vnd.openxmlformats-officedocument.drawingml.chartshapes+xml"/>
  <Override PartName="/word/header8.xml" ContentType="application/vnd.openxmlformats-officedocument.wordprocessingml.header+xml"/>
  <Override PartName="/word/footer7.xml" ContentType="application/vnd.openxmlformats-officedocument.wordprocessingml.footer+xml"/>
  <Override PartName="/word/charts/chart19.xml" ContentType="application/vnd.openxmlformats-officedocument.drawingml.chart+xml"/>
  <Override PartName="/word/theme/themeOverride17.xml" ContentType="application/vnd.openxmlformats-officedocument.themeOverride+xml"/>
  <Override PartName="/word/drawings/drawing16.xml" ContentType="application/vnd.openxmlformats-officedocument.drawingml.chartshapes+xml"/>
  <Override PartName="/word/charts/chart20.xml" ContentType="application/vnd.openxmlformats-officedocument.drawingml.chart+xml"/>
  <Override PartName="/word/theme/themeOverride18.xml" ContentType="application/vnd.openxmlformats-officedocument.themeOverride+xml"/>
  <Override PartName="/word/drawings/drawing17.xml" ContentType="application/vnd.openxmlformats-officedocument.drawingml.chartshapes+xml"/>
  <Override PartName="/word/charts/chart21.xml" ContentType="application/vnd.openxmlformats-officedocument.drawingml.chart+xml"/>
  <Override PartName="/word/theme/themeOverride19.xml" ContentType="application/vnd.openxmlformats-officedocument.themeOverride+xml"/>
  <Override PartName="/word/drawings/drawing18.xml" ContentType="application/vnd.openxmlformats-officedocument.drawingml.chartshapes+xml"/>
  <Override PartName="/word/charts/chart22.xml" ContentType="application/vnd.openxmlformats-officedocument.drawingml.chart+xml"/>
  <Override PartName="/word/theme/themeOverride20.xml" ContentType="application/vnd.openxmlformats-officedocument.themeOverride+xml"/>
  <Override PartName="/word/drawings/drawing19.xml" ContentType="application/vnd.openxmlformats-officedocument.drawingml.chartshapes+xml"/>
  <Override PartName="/word/charts/chart23.xml" ContentType="application/vnd.openxmlformats-officedocument.drawingml.chart+xml"/>
  <Override PartName="/word/theme/themeOverride21.xml" ContentType="application/vnd.openxmlformats-officedocument.themeOverride+xml"/>
  <Override PartName="/word/drawings/drawing20.xml" ContentType="application/vnd.openxmlformats-officedocument.drawingml.chartshapes+xml"/>
  <Override PartName="/word/charts/chart24.xml" ContentType="application/vnd.openxmlformats-officedocument.drawingml.chart+xml"/>
  <Override PartName="/word/theme/themeOverride22.xml" ContentType="application/vnd.openxmlformats-officedocument.themeOverride+xml"/>
  <Override PartName="/word/drawings/drawing21.xml" ContentType="application/vnd.openxmlformats-officedocument.drawingml.chartshapes+xml"/>
  <Override PartName="/word/charts/chart25.xml" ContentType="application/vnd.openxmlformats-officedocument.drawingml.chart+xml"/>
  <Override PartName="/word/theme/themeOverride23.xml" ContentType="application/vnd.openxmlformats-officedocument.themeOverride+xml"/>
  <Override PartName="/word/drawings/drawing22.xml" ContentType="application/vnd.openxmlformats-officedocument.drawingml.chartshapes+xml"/>
  <Override PartName="/word/charts/chart26.xml" ContentType="application/vnd.openxmlformats-officedocument.drawingml.chart+xml"/>
  <Override PartName="/word/theme/themeOverride24.xml" ContentType="application/vnd.openxmlformats-officedocument.themeOverride+xml"/>
  <Override PartName="/word/drawings/drawing23.xml" ContentType="application/vnd.openxmlformats-officedocument.drawingml.chartshapes+xml"/>
  <Override PartName="/word/charts/chart27.xml" ContentType="application/vnd.openxmlformats-officedocument.drawingml.chart+xml"/>
  <Override PartName="/word/theme/themeOverride25.xml" ContentType="application/vnd.openxmlformats-officedocument.themeOverride+xml"/>
  <Override PartName="/word/drawings/drawing24.xml" ContentType="application/vnd.openxmlformats-officedocument.drawingml.chartshapes+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470C76C4" w14:textId="77777777" w:rsidR="009F6D12" w:rsidRDefault="007F53FD">
      <w:pPr>
        <w:adjustRightInd w:val="0"/>
        <w:spacing w:before="163" w:after="163"/>
        <w:ind w:firstLine="1600"/>
        <w:jc w:val="center"/>
        <w:rPr>
          <w:rFonts w:eastAsia="宋体"/>
          <w:color w:val="106D9C"/>
          <w:sz w:val="80"/>
          <w:szCs w:val="80"/>
          <w:lang w:eastAsia="zh-CN"/>
        </w:rPr>
      </w:pPr>
      <w:r>
        <w:rPr>
          <w:rFonts w:eastAsia="宋体"/>
          <w:noProof/>
          <w:color w:val="106D9C"/>
          <w:sz w:val="80"/>
          <w:szCs w:val="80"/>
          <w:lang w:eastAsia="zh-CN" w:bidi="ar-SA"/>
        </w:rPr>
        <w:drawing>
          <wp:anchor distT="0" distB="0" distL="0" distR="0" simplePos="0" relativeHeight="251666432" behindDoc="1" locked="0" layoutInCell="1" allowOverlap="1" wp14:anchorId="15554498" wp14:editId="03353152">
            <wp:simplePos x="0" y="0"/>
            <wp:positionH relativeFrom="page">
              <wp:posOffset>-158750</wp:posOffset>
            </wp:positionH>
            <wp:positionV relativeFrom="page">
              <wp:posOffset>6985</wp:posOffset>
            </wp:positionV>
            <wp:extent cx="7767955" cy="10810875"/>
            <wp:effectExtent l="0" t="0" r="5080" b="9525"/>
            <wp:wrapNone/>
            <wp:docPr id="1027" name="图片 1" descr="C:\Users\Administrator\Desktop\微信图片_20211021142051.jpg微信图片_20211021142051"/>
            <wp:cNvGraphicFramePr/>
            <a:graphic xmlns:a="http://schemas.openxmlformats.org/drawingml/2006/main">
              <a:graphicData uri="http://schemas.openxmlformats.org/drawingml/2006/picture">
                <pic:pic xmlns:pic="http://schemas.openxmlformats.org/drawingml/2006/picture">
                  <pic:nvPicPr>
                    <pic:cNvPr id="1027" name="图片 1" descr="C:\Users\Administrator\Desktop\微信图片_20211021142051.jpg微信图片_20211021142051"/>
                    <pic:cNvPicPr/>
                  </pic:nvPicPr>
                  <pic:blipFill>
                    <a:blip r:embed="rId11" cstate="print"/>
                    <a:srcRect/>
                    <a:stretch>
                      <a:fillRect/>
                    </a:stretch>
                  </pic:blipFill>
                  <pic:spPr>
                    <a:xfrm>
                      <a:off x="0" y="0"/>
                      <a:ext cx="7767766" cy="10810875"/>
                    </a:xfrm>
                    <a:prstGeom prst="rect">
                      <a:avLst/>
                    </a:prstGeom>
                  </pic:spPr>
                </pic:pic>
              </a:graphicData>
            </a:graphic>
          </wp:anchor>
        </w:drawing>
      </w:r>
      <w:r>
        <w:rPr>
          <w:rFonts w:eastAsia="宋体"/>
          <w:noProof/>
          <w:color w:val="106D9C"/>
          <w:sz w:val="80"/>
          <w:szCs w:val="80"/>
          <w:lang w:eastAsia="zh-CN" w:bidi="ar-SA"/>
        </w:rPr>
        <mc:AlternateContent>
          <mc:Choice Requires="wps">
            <w:drawing>
              <wp:anchor distT="0" distB="0" distL="0" distR="0" simplePos="0" relativeHeight="251664384" behindDoc="0" locked="0" layoutInCell="1" allowOverlap="1" wp14:anchorId="2AB1CFD0" wp14:editId="027E1AD0">
                <wp:simplePos x="0" y="0"/>
                <wp:positionH relativeFrom="column">
                  <wp:posOffset>3784600</wp:posOffset>
                </wp:positionH>
                <wp:positionV relativeFrom="paragraph">
                  <wp:posOffset>-279400</wp:posOffset>
                </wp:positionV>
                <wp:extent cx="2614930" cy="713740"/>
                <wp:effectExtent l="0" t="0" r="0" b="0"/>
                <wp:wrapNone/>
                <wp:docPr id="1028" name="Text Box 45"/>
                <wp:cNvGraphicFramePr/>
                <a:graphic xmlns:a="http://schemas.openxmlformats.org/drawingml/2006/main">
                  <a:graphicData uri="http://schemas.microsoft.com/office/word/2010/wordprocessingShape">
                    <wps:wsp>
                      <wps:cNvSpPr/>
                      <wps:spPr>
                        <a:xfrm>
                          <a:off x="0" y="0"/>
                          <a:ext cx="2614930" cy="713740"/>
                        </a:xfrm>
                        <a:prstGeom prst="rect">
                          <a:avLst/>
                        </a:prstGeom>
                        <a:ln>
                          <a:noFill/>
                        </a:ln>
                      </wps:spPr>
                      <wps:txbx>
                        <w:txbxContent>
                          <w:p w14:paraId="40CC67EF" w14:textId="5EEBD36F" w:rsidR="009F6D12" w:rsidRDefault="007F53FD">
                            <w:pPr>
                              <w:spacing w:beforeLines="45" w:before="146" w:after="163" w:line="180" w:lineRule="auto"/>
                              <w:ind w:rightChars="71" w:right="170" w:firstLineChars="58" w:firstLine="192"/>
                              <w:jc w:val="right"/>
                              <w:rPr>
                                <w:rFonts w:ascii="黑体" w:eastAsia="黑体" w:hAnsi="黑体"/>
                                <w:color w:val="FFFFFF"/>
                                <w:sz w:val="32"/>
                                <w:lang w:eastAsia="zh-CN"/>
                              </w:rPr>
                            </w:pPr>
                            <w:r>
                              <w:rPr>
                                <w:rFonts w:ascii="黑体" w:eastAsia="黑体" w:hAnsi="黑体" w:hint="eastAsia"/>
                                <w:b/>
                                <w:color w:val="FFFFFF"/>
                                <w:spacing w:val="10"/>
                                <w:position w:val="6"/>
                                <w:sz w:val="32"/>
                                <w:szCs w:val="21"/>
                                <w:lang w:eastAsia="zh-CN"/>
                              </w:rPr>
                              <w:t>20</w:t>
                            </w:r>
                            <w:r>
                              <w:rPr>
                                <w:rFonts w:ascii="黑体" w:eastAsia="黑体" w:hAnsi="黑体"/>
                                <w:b/>
                                <w:color w:val="FFFFFF"/>
                                <w:spacing w:val="10"/>
                                <w:position w:val="6"/>
                                <w:sz w:val="32"/>
                                <w:szCs w:val="21"/>
                                <w:lang w:eastAsia="zh-CN"/>
                              </w:rPr>
                              <w:t>2</w:t>
                            </w:r>
                            <w:r w:rsidR="004E082A">
                              <w:rPr>
                                <w:rFonts w:ascii="黑体" w:eastAsia="黑体" w:hAnsi="黑体"/>
                                <w:b/>
                                <w:color w:val="FFFFFF"/>
                                <w:spacing w:val="10"/>
                                <w:position w:val="6"/>
                                <w:sz w:val="32"/>
                                <w:szCs w:val="21"/>
                                <w:lang w:eastAsia="zh-CN"/>
                              </w:rPr>
                              <w:t>5</w:t>
                            </w:r>
                            <w:r>
                              <w:rPr>
                                <w:rFonts w:ascii="黑体" w:eastAsia="黑体" w:hAnsi="黑体" w:hint="eastAsia"/>
                                <w:b/>
                                <w:color w:val="FFFFFF"/>
                                <w:spacing w:val="10"/>
                                <w:position w:val="6"/>
                                <w:sz w:val="32"/>
                                <w:szCs w:val="21"/>
                                <w:lang w:eastAsia="zh-CN"/>
                              </w:rPr>
                              <w:t>年</w:t>
                            </w:r>
                            <w:r w:rsidR="00384C36">
                              <w:rPr>
                                <w:rFonts w:ascii="黑体" w:eastAsia="黑体" w:hAnsi="黑体" w:hint="eastAsia"/>
                                <w:b/>
                                <w:color w:val="FFFFFF"/>
                                <w:spacing w:val="10"/>
                                <w:position w:val="6"/>
                                <w:sz w:val="32"/>
                                <w:szCs w:val="21"/>
                                <w:lang w:eastAsia="zh-CN"/>
                              </w:rPr>
                              <w:t>4</w:t>
                            </w:r>
                            <w:r>
                              <w:rPr>
                                <w:rFonts w:ascii="黑体" w:eastAsia="黑体" w:hAnsi="黑体" w:hint="eastAsia"/>
                                <w:b/>
                                <w:color w:val="FFFFFF"/>
                                <w:spacing w:val="10"/>
                                <w:position w:val="6"/>
                                <w:sz w:val="32"/>
                                <w:szCs w:val="21"/>
                                <w:lang w:eastAsia="zh-CN"/>
                              </w:rPr>
                              <w:t>月</w:t>
                            </w:r>
                            <w:r w:rsidR="00384C36">
                              <w:rPr>
                                <w:rFonts w:ascii="黑体" w:eastAsia="黑体" w:hAnsi="黑体" w:hint="eastAsia"/>
                                <w:b/>
                                <w:color w:val="FFFFFF"/>
                                <w:spacing w:val="10"/>
                                <w:position w:val="6"/>
                                <w:sz w:val="32"/>
                                <w:szCs w:val="21"/>
                                <w:lang w:eastAsia="zh-CN"/>
                              </w:rPr>
                              <w:t>25</w:t>
                            </w:r>
                            <w:r>
                              <w:rPr>
                                <w:rFonts w:ascii="黑体" w:eastAsia="黑体" w:hAnsi="黑体" w:hint="eastAsia"/>
                                <w:b/>
                                <w:color w:val="FFFFFF"/>
                                <w:spacing w:val="10"/>
                                <w:position w:val="6"/>
                                <w:sz w:val="32"/>
                                <w:szCs w:val="21"/>
                                <w:lang w:eastAsia="zh-CN"/>
                              </w:rPr>
                              <w:t>日</w:t>
                            </w:r>
                          </w:p>
                        </w:txbxContent>
                      </wps:txbx>
                      <wps:bodyPr vert="horz" wrap="square" lIns="91440" tIns="45720" rIns="91440" bIns="45720" anchor="t" upright="1">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B1CFD0" id="Text Box 45" o:spid="_x0000_s1026" style="position:absolute;left:0;text-align:left;margin-left:298pt;margin-top:-22pt;width:205.9pt;height:56.2pt;z-index:2516643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" filled="f" stroked="f">
                <v:textbox>
                  <w:txbxContent>
                    <w:p w14:paraId="40CC67EF" w14:textId="5EEBD36F" w:rsidR="009F6D12" w:rsidRDefault="007F53FD">
                      <w:pPr>
                        <w:spacing w:beforeLines="45" w:before="146" w:after="163" w:line="180" w:lineRule="auto"/>
                        <w:ind w:rightChars="71" w:right="170" w:firstLineChars="58" w:firstLine="192"/>
                        <w:jc w:val="right"/>
                        <w:rPr>
                          <w:rFonts w:ascii="黑体" w:eastAsia="黑体" w:hAnsi="黑体" w:hint="eastAsia"/>
                          <w:color w:val="FFFFFF"/>
                          <w:sz w:val="32"/>
                          <w:lang w:eastAsia="zh-CN"/>
                        </w:rPr>
                      </w:pPr>
                      <w:r>
                        <w:rPr>
                          <w:rFonts w:ascii="黑体" w:eastAsia="黑体" w:hAnsi="黑体" w:hint="eastAsia"/>
                          <w:b/>
                          <w:color w:val="FFFFFF"/>
                          <w:spacing w:val="10"/>
                          <w:position w:val="6"/>
                          <w:sz w:val="32"/>
                          <w:szCs w:val="21"/>
                          <w:lang w:eastAsia="zh-CN"/>
                        </w:rPr>
                        <w:t>20</w:t>
                      </w:r>
                      <w:r>
                        <w:rPr>
                          <w:rFonts w:ascii="黑体" w:eastAsia="黑体" w:hAnsi="黑体"/>
                          <w:b/>
                          <w:color w:val="FFFFFF"/>
                          <w:spacing w:val="10"/>
                          <w:position w:val="6"/>
                          <w:sz w:val="32"/>
                          <w:szCs w:val="21"/>
                          <w:lang w:eastAsia="zh-CN"/>
                        </w:rPr>
                        <w:t>2</w:t>
                      </w:r>
                      <w:r w:rsidR="004E082A">
                        <w:rPr>
                          <w:rFonts w:ascii="黑体" w:eastAsia="黑体" w:hAnsi="黑体"/>
                          <w:b/>
                          <w:color w:val="FFFFFF"/>
                          <w:spacing w:val="10"/>
                          <w:position w:val="6"/>
                          <w:sz w:val="32"/>
                          <w:szCs w:val="21"/>
                          <w:lang w:eastAsia="zh-CN"/>
                        </w:rPr>
                        <w:t>5</w:t>
                      </w:r>
                      <w:r>
                        <w:rPr>
                          <w:rFonts w:ascii="黑体" w:eastAsia="黑体" w:hAnsi="黑体" w:hint="eastAsia"/>
                          <w:b/>
                          <w:color w:val="FFFFFF"/>
                          <w:spacing w:val="10"/>
                          <w:position w:val="6"/>
                          <w:sz w:val="32"/>
                          <w:szCs w:val="21"/>
                          <w:lang w:eastAsia="zh-CN"/>
                        </w:rPr>
                        <w:t>年</w:t>
                      </w:r>
                      <w:r w:rsidR="00384C36">
                        <w:rPr>
                          <w:rFonts w:ascii="黑体" w:eastAsia="黑体" w:hAnsi="黑体" w:hint="eastAsia"/>
                          <w:b/>
                          <w:color w:val="FFFFFF"/>
                          <w:spacing w:val="10"/>
                          <w:position w:val="6"/>
                          <w:sz w:val="32"/>
                          <w:szCs w:val="21"/>
                          <w:lang w:eastAsia="zh-CN"/>
                        </w:rPr>
                        <w:t>4</w:t>
                      </w:r>
                      <w:r>
                        <w:rPr>
                          <w:rFonts w:ascii="黑体" w:eastAsia="黑体" w:hAnsi="黑体" w:hint="eastAsia"/>
                          <w:b/>
                          <w:color w:val="FFFFFF"/>
                          <w:spacing w:val="10"/>
                          <w:position w:val="6"/>
                          <w:sz w:val="32"/>
                          <w:szCs w:val="21"/>
                          <w:lang w:eastAsia="zh-CN"/>
                        </w:rPr>
                        <w:t>月</w:t>
                      </w:r>
                      <w:r w:rsidR="00384C36">
                        <w:rPr>
                          <w:rFonts w:ascii="黑体" w:eastAsia="黑体" w:hAnsi="黑体" w:hint="eastAsia"/>
                          <w:b/>
                          <w:color w:val="FFFFFF"/>
                          <w:spacing w:val="10"/>
                          <w:position w:val="6"/>
                          <w:sz w:val="32"/>
                          <w:szCs w:val="21"/>
                          <w:lang w:eastAsia="zh-CN"/>
                        </w:rPr>
                        <w:t>25</w:t>
                      </w:r>
                      <w:r>
                        <w:rPr>
                          <w:rFonts w:ascii="黑体" w:eastAsia="黑体" w:hAnsi="黑体" w:hint="eastAsia"/>
                          <w:b/>
                          <w:color w:val="FFFFFF"/>
                          <w:spacing w:val="10"/>
                          <w:position w:val="6"/>
                          <w:sz w:val="32"/>
                          <w:szCs w:val="21"/>
                          <w:lang w:eastAsia="zh-CN"/>
                        </w:rPr>
                        <w:t>日</w:t>
                      </w:r>
                    </w:p>
                  </w:txbxContent>
                </v:textbox>
              </v:rect>
            </w:pict>
          </mc:Fallback>
        </mc:AlternateContent>
      </w:r>
      <w:r>
        <w:rPr>
          <w:rFonts w:eastAsia="宋体"/>
          <w:noProof/>
          <w:color w:val="106D9C"/>
          <w:sz w:val="80"/>
          <w:szCs w:val="80"/>
          <w:lang w:eastAsia="zh-CN" w:bidi="ar-SA"/>
        </w:rPr>
        <mc:AlternateContent>
          <mc:Choice Requires="wps">
            <w:drawing>
              <wp:anchor distT="0" distB="0" distL="0" distR="0" simplePos="0" relativeHeight="251663360" behindDoc="0" locked="0" layoutInCell="1" allowOverlap="1" wp14:anchorId="3AD7432D" wp14:editId="6F38F63B">
                <wp:simplePos x="0" y="0"/>
                <wp:positionH relativeFrom="column">
                  <wp:posOffset>-920115</wp:posOffset>
                </wp:positionH>
                <wp:positionV relativeFrom="paragraph">
                  <wp:posOffset>-283210</wp:posOffset>
                </wp:positionV>
                <wp:extent cx="2163445" cy="645795"/>
                <wp:effectExtent l="0" t="0" r="0" b="1905"/>
                <wp:wrapNone/>
                <wp:docPr id="1029" name="Text Box 23"/>
                <wp:cNvGraphicFramePr/>
                <a:graphic xmlns:a="http://schemas.openxmlformats.org/drawingml/2006/main">
                  <a:graphicData uri="http://schemas.microsoft.com/office/word/2010/wordprocessingShape">
                    <wps:wsp>
                      <wps:cNvSpPr/>
                      <wps:spPr>
                        <a:xfrm>
                          <a:off x="0" y="0"/>
                          <a:ext cx="2163445" cy="645795"/>
                        </a:xfrm>
                        <a:prstGeom prst="rect">
                          <a:avLst/>
                        </a:prstGeom>
                        <a:ln>
                          <a:noFill/>
                        </a:ln>
                      </wps:spPr>
                      <wps:txbx>
                        <w:txbxContent>
                          <w:p w14:paraId="57D13E55" w14:textId="49AE4381" w:rsidR="009F6D12" w:rsidRDefault="007F53FD">
                            <w:pPr>
                              <w:spacing w:beforeLines="45" w:before="146" w:after="163" w:line="180" w:lineRule="auto"/>
                              <w:ind w:firstLineChars="0" w:firstLine="0"/>
                              <w:rPr>
                                <w:rFonts w:ascii="黑体" w:eastAsia="黑体" w:hAnsi="黑体"/>
                                <w:color w:val="FFFFFF"/>
                                <w:sz w:val="32"/>
                                <w:lang w:eastAsia="zh-CN"/>
                              </w:rPr>
                            </w:pPr>
                            <w:r>
                              <w:rPr>
                                <w:rFonts w:ascii="黑体" w:eastAsia="黑体" w:hAnsi="黑体" w:hint="eastAsia"/>
                                <w:b/>
                                <w:color w:val="FFFFFF"/>
                                <w:spacing w:val="10"/>
                                <w:position w:val="6"/>
                                <w:sz w:val="32"/>
                                <w:szCs w:val="21"/>
                                <w:lang w:eastAsia="zh-CN"/>
                              </w:rPr>
                              <w:t>20</w:t>
                            </w:r>
                            <w:r>
                              <w:rPr>
                                <w:rFonts w:ascii="黑体" w:eastAsia="黑体" w:hAnsi="黑体"/>
                                <w:b/>
                                <w:color w:val="FFFFFF"/>
                                <w:spacing w:val="10"/>
                                <w:position w:val="6"/>
                                <w:sz w:val="32"/>
                                <w:szCs w:val="21"/>
                                <w:lang w:eastAsia="zh-CN"/>
                              </w:rPr>
                              <w:t>2</w:t>
                            </w:r>
                            <w:r w:rsidR="00384C36">
                              <w:rPr>
                                <w:rFonts w:ascii="黑体" w:eastAsia="黑体" w:hAnsi="黑体" w:hint="eastAsia"/>
                                <w:b/>
                                <w:color w:val="FFFFFF"/>
                                <w:spacing w:val="10"/>
                                <w:position w:val="6"/>
                                <w:sz w:val="32"/>
                                <w:szCs w:val="21"/>
                                <w:lang w:eastAsia="zh-CN"/>
                              </w:rPr>
                              <w:t>5</w:t>
                            </w:r>
                            <w:r>
                              <w:rPr>
                                <w:rFonts w:ascii="黑体" w:eastAsia="黑体" w:hAnsi="黑体" w:hint="eastAsia"/>
                                <w:b/>
                                <w:color w:val="FFFFFF"/>
                                <w:spacing w:val="10"/>
                                <w:position w:val="6"/>
                                <w:sz w:val="32"/>
                                <w:szCs w:val="21"/>
                                <w:lang w:eastAsia="zh-CN"/>
                              </w:rPr>
                              <w:t>年第</w:t>
                            </w:r>
                            <w:r w:rsidR="00384C36">
                              <w:rPr>
                                <w:rFonts w:ascii="黑体" w:eastAsia="黑体" w:hAnsi="黑体" w:hint="eastAsia"/>
                                <w:b/>
                                <w:color w:val="FFFFFF"/>
                                <w:spacing w:val="10"/>
                                <w:position w:val="6"/>
                                <w:sz w:val="32"/>
                                <w:szCs w:val="21"/>
                                <w:lang w:eastAsia="zh-CN"/>
                              </w:rPr>
                              <w:t>1</w:t>
                            </w:r>
                            <w:r>
                              <w:rPr>
                                <w:rFonts w:ascii="黑体" w:eastAsia="黑体" w:hAnsi="黑体" w:hint="eastAsia"/>
                                <w:b/>
                                <w:color w:val="FFFFFF"/>
                                <w:spacing w:val="10"/>
                                <w:position w:val="6"/>
                                <w:sz w:val="32"/>
                                <w:szCs w:val="21"/>
                                <w:lang w:eastAsia="zh-CN"/>
                              </w:rPr>
                              <w:t>季度</w:t>
                            </w:r>
                          </w:p>
                        </w:txbxContent>
                      </wps:txbx>
                      <wps:bodyPr vert="horz" wrap="square" lIns="91440" tIns="45720" rIns="91440" bIns="45720" anchor="t" upright="1">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D7432D" id="Text Box 23" o:spid="_x0000_s1027" style="position:absolute;left:0;text-align:left;margin-left:-72.45pt;margin-top:-22.3pt;width:170.35pt;height:50.85pt;z-index:2516633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" filled="f" stroked="f">
                <v:textbox>
                  <w:txbxContent>
                    <w:p w14:paraId="57D13E55" w14:textId="49AE4381" w:rsidR="009F6D12" w:rsidRDefault="007F53FD">
                      <w:pPr>
                        <w:spacing w:beforeLines="45" w:before="146" w:after="163" w:line="180" w:lineRule="auto"/>
                        <w:ind w:firstLineChars="0" w:firstLine="0"/>
                        <w:rPr>
                          <w:rFonts w:ascii="黑体" w:eastAsia="黑体" w:hAnsi="黑体" w:hint="eastAsia"/>
                          <w:color w:val="FFFFFF"/>
                          <w:sz w:val="32"/>
                          <w:lang w:eastAsia="zh-CN"/>
                        </w:rPr>
                      </w:pPr>
                      <w:r>
                        <w:rPr>
                          <w:rFonts w:ascii="黑体" w:eastAsia="黑体" w:hAnsi="黑体" w:hint="eastAsia"/>
                          <w:b/>
                          <w:color w:val="FFFFFF"/>
                          <w:spacing w:val="10"/>
                          <w:position w:val="6"/>
                          <w:sz w:val="32"/>
                          <w:szCs w:val="21"/>
                          <w:lang w:eastAsia="zh-CN"/>
                        </w:rPr>
                        <w:t>20</w:t>
                      </w:r>
                      <w:r>
                        <w:rPr>
                          <w:rFonts w:ascii="黑体" w:eastAsia="黑体" w:hAnsi="黑体"/>
                          <w:b/>
                          <w:color w:val="FFFFFF"/>
                          <w:spacing w:val="10"/>
                          <w:position w:val="6"/>
                          <w:sz w:val="32"/>
                          <w:szCs w:val="21"/>
                          <w:lang w:eastAsia="zh-CN"/>
                        </w:rPr>
                        <w:t>2</w:t>
                      </w:r>
                      <w:r w:rsidR="00384C36">
                        <w:rPr>
                          <w:rFonts w:ascii="黑体" w:eastAsia="黑体" w:hAnsi="黑体" w:hint="eastAsia"/>
                          <w:b/>
                          <w:color w:val="FFFFFF"/>
                          <w:spacing w:val="10"/>
                          <w:position w:val="6"/>
                          <w:sz w:val="32"/>
                          <w:szCs w:val="21"/>
                          <w:lang w:eastAsia="zh-CN"/>
                        </w:rPr>
                        <w:t>5</w:t>
                      </w:r>
                      <w:r>
                        <w:rPr>
                          <w:rFonts w:ascii="黑体" w:eastAsia="黑体" w:hAnsi="黑体" w:hint="eastAsia"/>
                          <w:b/>
                          <w:color w:val="FFFFFF"/>
                          <w:spacing w:val="10"/>
                          <w:position w:val="6"/>
                          <w:sz w:val="32"/>
                          <w:szCs w:val="21"/>
                          <w:lang w:eastAsia="zh-CN"/>
                        </w:rPr>
                        <w:t>年第</w:t>
                      </w:r>
                      <w:r w:rsidR="00384C36">
                        <w:rPr>
                          <w:rFonts w:ascii="黑体" w:eastAsia="黑体" w:hAnsi="黑体" w:hint="eastAsia"/>
                          <w:b/>
                          <w:color w:val="FFFFFF"/>
                          <w:spacing w:val="10"/>
                          <w:position w:val="6"/>
                          <w:sz w:val="32"/>
                          <w:szCs w:val="21"/>
                          <w:lang w:eastAsia="zh-CN"/>
                        </w:rPr>
                        <w:t>1</w:t>
                      </w:r>
                      <w:r>
                        <w:rPr>
                          <w:rFonts w:ascii="黑体" w:eastAsia="黑体" w:hAnsi="黑体" w:hint="eastAsia"/>
                          <w:b/>
                          <w:color w:val="FFFFFF"/>
                          <w:spacing w:val="10"/>
                          <w:position w:val="6"/>
                          <w:sz w:val="32"/>
                          <w:szCs w:val="21"/>
                          <w:lang w:eastAsia="zh-CN"/>
                        </w:rPr>
                        <w:t>季度</w:t>
                      </w:r>
                    </w:p>
                  </w:txbxContent>
                </v:textbox>
              </v:rect>
            </w:pict>
          </mc:Fallback>
        </mc:AlternateContent>
      </w:r>
    </w:p>
    <w:tbl>
      <w:tblPr>
        <w:tblStyle w:val="af1"/>
        <w:tblpPr w:leftFromText="181" w:rightFromText="181" w:vertAnchor="text" w:horzAnchor="page" w:tblpX="3652" w:tblpY="6482"/>
        <w:tblW w:w="4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1134"/>
        <w:gridCol w:w="1134"/>
        <w:gridCol w:w="1134"/>
      </w:tblGrid>
      <w:tr w:rsidR="009F6D12" w14:paraId="1EA4BD47" w14:textId="77777777">
        <w:trPr>
          <w:trHeight w:val="283"/>
        </w:trPr>
        <w:tc>
          <w:tcPr>
            <w:tcW w:w="1134" w:type="dxa"/>
          </w:tcPr>
          <w:p w14:paraId="44352700" w14:textId="77777777" w:rsidR="009F6D12" w:rsidRDefault="007F53FD">
            <w:pPr>
              <w:spacing w:before="163" w:after="160"/>
              <w:ind w:firstLineChars="0" w:firstLine="0"/>
              <w:rPr>
                <w:rFonts w:eastAsia="宋体"/>
                <w:b/>
                <w:sz w:val="28"/>
                <w:szCs w:val="28"/>
                <w:lang w:eastAsia="zh-CN"/>
              </w:rPr>
            </w:pPr>
            <w:r>
              <w:rPr>
                <w:rFonts w:eastAsia="宋体"/>
                <w:b/>
                <w:sz w:val="28"/>
                <w:szCs w:val="28"/>
                <w:lang w:eastAsia="zh-CN"/>
              </w:rPr>
              <w:t>撰稿人</w:t>
            </w:r>
          </w:p>
        </w:tc>
        <w:tc>
          <w:tcPr>
            <w:tcW w:w="1134" w:type="dxa"/>
          </w:tcPr>
          <w:p w14:paraId="4626171F" w14:textId="77777777" w:rsidR="009F6D12" w:rsidRDefault="007F53FD">
            <w:pPr>
              <w:spacing w:before="163" w:after="160"/>
              <w:ind w:firstLineChars="0" w:firstLine="0"/>
              <w:rPr>
                <w:rFonts w:eastAsia="宋体"/>
                <w:b/>
                <w:sz w:val="28"/>
                <w:szCs w:val="28"/>
                <w:lang w:eastAsia="zh-CN"/>
              </w:rPr>
            </w:pPr>
            <w:r>
              <w:rPr>
                <w:rFonts w:eastAsia="宋体"/>
                <w:b/>
                <w:sz w:val="28"/>
                <w:szCs w:val="28"/>
                <w:lang w:eastAsia="zh-CN"/>
              </w:rPr>
              <w:t>张</w:t>
            </w:r>
            <w:r>
              <w:rPr>
                <w:rFonts w:eastAsia="宋体"/>
                <w:b/>
                <w:sz w:val="28"/>
                <w:szCs w:val="28"/>
                <w:lang w:eastAsia="zh-CN"/>
              </w:rPr>
              <w:t xml:space="preserve">  </w:t>
            </w:r>
            <w:r>
              <w:rPr>
                <w:rFonts w:eastAsia="宋体"/>
                <w:b/>
                <w:sz w:val="28"/>
                <w:szCs w:val="28"/>
                <w:lang w:eastAsia="zh-CN"/>
              </w:rPr>
              <w:t>斌</w:t>
            </w:r>
          </w:p>
        </w:tc>
        <w:tc>
          <w:tcPr>
            <w:tcW w:w="1134" w:type="dxa"/>
          </w:tcPr>
          <w:p w14:paraId="3E51DE39" w14:textId="77777777" w:rsidR="009F6D12" w:rsidRDefault="007F53FD">
            <w:pPr>
              <w:spacing w:before="163" w:after="160"/>
              <w:ind w:firstLineChars="0" w:firstLine="0"/>
              <w:rPr>
                <w:rFonts w:eastAsia="宋体"/>
                <w:b/>
                <w:sz w:val="28"/>
                <w:szCs w:val="28"/>
                <w:lang w:eastAsia="zh-CN"/>
              </w:rPr>
            </w:pPr>
            <w:r>
              <w:rPr>
                <w:rFonts w:eastAsia="宋体"/>
                <w:b/>
                <w:sz w:val="28"/>
                <w:szCs w:val="28"/>
                <w:lang w:eastAsia="zh-CN"/>
              </w:rPr>
              <w:t>肖立晟</w:t>
            </w:r>
          </w:p>
        </w:tc>
        <w:tc>
          <w:tcPr>
            <w:tcW w:w="1134" w:type="dxa"/>
          </w:tcPr>
          <w:p w14:paraId="65C70201" w14:textId="77777777" w:rsidR="009F6D12" w:rsidRDefault="007F53FD">
            <w:pPr>
              <w:spacing w:before="163" w:after="160"/>
              <w:ind w:firstLineChars="0" w:firstLine="0"/>
              <w:rPr>
                <w:rFonts w:eastAsia="宋体"/>
                <w:b/>
                <w:sz w:val="28"/>
                <w:szCs w:val="28"/>
                <w:lang w:eastAsia="zh-CN"/>
              </w:rPr>
            </w:pPr>
            <w:r>
              <w:rPr>
                <w:rFonts w:eastAsia="宋体"/>
                <w:b/>
                <w:sz w:val="28"/>
                <w:szCs w:val="28"/>
                <w:lang w:eastAsia="zh-CN"/>
              </w:rPr>
              <w:t>杨子荣</w:t>
            </w:r>
          </w:p>
        </w:tc>
      </w:tr>
      <w:tr w:rsidR="009F6D12" w14:paraId="10533E50" w14:textId="77777777">
        <w:trPr>
          <w:trHeight w:val="283"/>
        </w:trPr>
        <w:tc>
          <w:tcPr>
            <w:tcW w:w="1134" w:type="dxa"/>
          </w:tcPr>
          <w:p w14:paraId="30FE0943" w14:textId="77777777" w:rsidR="009F6D12" w:rsidRDefault="009F6D12">
            <w:pPr>
              <w:spacing w:before="163" w:after="160"/>
              <w:ind w:firstLineChars="0" w:firstLine="0"/>
              <w:rPr>
                <w:rFonts w:eastAsia="宋体"/>
                <w:b/>
                <w:sz w:val="28"/>
                <w:szCs w:val="28"/>
                <w:lang w:eastAsia="zh-CN"/>
              </w:rPr>
            </w:pPr>
          </w:p>
        </w:tc>
        <w:tc>
          <w:tcPr>
            <w:tcW w:w="1134" w:type="dxa"/>
          </w:tcPr>
          <w:p w14:paraId="1CB61939" w14:textId="50858F50" w:rsidR="009F6D12" w:rsidRDefault="00384C36">
            <w:pPr>
              <w:spacing w:before="163" w:after="160"/>
              <w:ind w:firstLineChars="0" w:firstLine="0"/>
              <w:rPr>
                <w:rFonts w:eastAsia="宋体"/>
                <w:b/>
                <w:sz w:val="28"/>
                <w:szCs w:val="28"/>
                <w:lang w:eastAsia="zh-CN"/>
              </w:rPr>
            </w:pPr>
            <w:r>
              <w:rPr>
                <w:rFonts w:eastAsia="宋体" w:hint="eastAsia"/>
                <w:b/>
                <w:sz w:val="28"/>
                <w:szCs w:val="28"/>
                <w:lang w:eastAsia="zh-CN"/>
              </w:rPr>
              <w:t>黄宇韬</w:t>
            </w:r>
          </w:p>
        </w:tc>
        <w:tc>
          <w:tcPr>
            <w:tcW w:w="1134" w:type="dxa"/>
          </w:tcPr>
          <w:p w14:paraId="10F256EF" w14:textId="77777777" w:rsidR="009F6D12" w:rsidRDefault="007F53FD">
            <w:pPr>
              <w:spacing w:before="163" w:after="160"/>
              <w:ind w:firstLineChars="0" w:firstLine="0"/>
              <w:rPr>
                <w:rFonts w:eastAsia="宋体"/>
                <w:b/>
                <w:sz w:val="28"/>
                <w:szCs w:val="28"/>
                <w:lang w:eastAsia="zh-CN"/>
              </w:rPr>
            </w:pPr>
            <w:r>
              <w:rPr>
                <w:rFonts w:eastAsia="宋体"/>
                <w:b/>
                <w:sz w:val="28"/>
                <w:szCs w:val="28"/>
                <w:lang w:eastAsia="zh-CN"/>
              </w:rPr>
              <w:t>周学智</w:t>
            </w:r>
          </w:p>
        </w:tc>
        <w:tc>
          <w:tcPr>
            <w:tcW w:w="1134" w:type="dxa"/>
          </w:tcPr>
          <w:p w14:paraId="3BFDBD48" w14:textId="77777777" w:rsidR="009F6D12" w:rsidRDefault="007F53FD">
            <w:pPr>
              <w:spacing w:before="163" w:after="160"/>
              <w:ind w:firstLineChars="0" w:firstLine="0"/>
              <w:rPr>
                <w:rFonts w:eastAsia="宋体"/>
                <w:b/>
                <w:sz w:val="28"/>
                <w:szCs w:val="28"/>
                <w:lang w:eastAsia="zh-CN"/>
              </w:rPr>
            </w:pPr>
            <w:r>
              <w:rPr>
                <w:rFonts w:eastAsia="宋体"/>
                <w:b/>
                <w:sz w:val="28"/>
                <w:szCs w:val="28"/>
                <w:lang w:eastAsia="zh-CN"/>
              </w:rPr>
              <w:t>徐奇渊</w:t>
            </w:r>
          </w:p>
        </w:tc>
      </w:tr>
      <w:tr w:rsidR="009F6D12" w14:paraId="4D0C476A" w14:textId="77777777">
        <w:trPr>
          <w:trHeight w:val="283"/>
        </w:trPr>
        <w:tc>
          <w:tcPr>
            <w:tcW w:w="1134" w:type="dxa"/>
          </w:tcPr>
          <w:p w14:paraId="648A3DA8" w14:textId="77777777" w:rsidR="009F6D12" w:rsidRDefault="009F6D12">
            <w:pPr>
              <w:spacing w:before="163" w:after="160"/>
              <w:ind w:firstLineChars="0" w:firstLine="0"/>
              <w:rPr>
                <w:rFonts w:eastAsia="宋体"/>
                <w:b/>
                <w:sz w:val="28"/>
                <w:szCs w:val="28"/>
                <w:lang w:eastAsia="zh-CN"/>
              </w:rPr>
            </w:pPr>
          </w:p>
        </w:tc>
        <w:tc>
          <w:tcPr>
            <w:tcW w:w="1134" w:type="dxa"/>
          </w:tcPr>
          <w:p w14:paraId="266C3185" w14:textId="77777777" w:rsidR="009F6D12" w:rsidRDefault="007F53FD">
            <w:pPr>
              <w:spacing w:before="163" w:after="160"/>
              <w:ind w:firstLineChars="0" w:firstLine="0"/>
              <w:rPr>
                <w:rFonts w:ascii="宋体" w:eastAsia="宋体" w:hAnsi="宋体" w:cs="宋体"/>
                <w:b/>
                <w:sz w:val="28"/>
                <w:szCs w:val="28"/>
                <w:lang w:eastAsia="zh-CN"/>
              </w:rPr>
            </w:pPr>
            <w:r>
              <w:rPr>
                <w:rFonts w:ascii="宋体" w:eastAsia="宋体" w:hAnsi="宋体" w:cs="宋体" w:hint="eastAsia"/>
                <w:b/>
                <w:sz w:val="28"/>
                <w:szCs w:val="28"/>
                <w:lang w:eastAsia="zh-CN"/>
              </w:rPr>
              <w:t>杨盼盼</w:t>
            </w:r>
          </w:p>
        </w:tc>
        <w:tc>
          <w:tcPr>
            <w:tcW w:w="1134" w:type="dxa"/>
          </w:tcPr>
          <w:p w14:paraId="1FB48CD7" w14:textId="77777777" w:rsidR="009F6D12" w:rsidRDefault="007F53FD">
            <w:pPr>
              <w:spacing w:before="163" w:after="160"/>
              <w:ind w:firstLineChars="0" w:firstLine="0"/>
              <w:rPr>
                <w:rFonts w:ascii="宋体" w:eastAsia="宋体" w:hAnsi="宋体" w:cs="宋体"/>
                <w:b/>
                <w:sz w:val="28"/>
                <w:szCs w:val="28"/>
                <w:lang w:eastAsia="zh-CN"/>
              </w:rPr>
            </w:pPr>
            <w:r>
              <w:rPr>
                <w:rFonts w:ascii="宋体" w:eastAsia="宋体" w:hAnsi="宋体" w:cs="宋体" w:hint="eastAsia"/>
                <w:b/>
                <w:sz w:val="28"/>
                <w:szCs w:val="28"/>
              </w:rPr>
              <w:t>倪淑慧</w:t>
            </w:r>
          </w:p>
        </w:tc>
        <w:tc>
          <w:tcPr>
            <w:tcW w:w="1134" w:type="dxa"/>
          </w:tcPr>
          <w:p w14:paraId="6C8BDF8E" w14:textId="77777777" w:rsidR="009F6D12" w:rsidRDefault="007F53FD">
            <w:pPr>
              <w:spacing w:before="163" w:after="160"/>
              <w:ind w:firstLineChars="0" w:firstLine="0"/>
              <w:rPr>
                <w:rFonts w:ascii="宋体" w:eastAsia="宋体" w:hAnsi="宋体" w:cs="宋体"/>
                <w:b/>
                <w:sz w:val="28"/>
                <w:szCs w:val="28"/>
                <w:lang w:eastAsia="zh-CN"/>
              </w:rPr>
            </w:pPr>
            <w:r>
              <w:rPr>
                <w:rFonts w:ascii="宋体" w:eastAsia="宋体" w:hAnsi="宋体" w:cs="宋体" w:hint="eastAsia"/>
                <w:b/>
                <w:sz w:val="28"/>
                <w:szCs w:val="28"/>
              </w:rPr>
              <w:t>吴立元</w:t>
            </w:r>
          </w:p>
        </w:tc>
      </w:tr>
      <w:tr w:rsidR="009F6D12" w14:paraId="07CA49BF" w14:textId="77777777">
        <w:trPr>
          <w:trHeight w:val="283"/>
        </w:trPr>
        <w:tc>
          <w:tcPr>
            <w:tcW w:w="1134" w:type="dxa"/>
          </w:tcPr>
          <w:p w14:paraId="6B1C9F06" w14:textId="77777777" w:rsidR="009F6D12" w:rsidRDefault="009F6D12">
            <w:pPr>
              <w:spacing w:before="163" w:after="160"/>
              <w:ind w:firstLineChars="0" w:firstLine="0"/>
              <w:rPr>
                <w:rFonts w:eastAsia="宋体"/>
                <w:b/>
                <w:sz w:val="28"/>
                <w:szCs w:val="28"/>
                <w:lang w:eastAsia="zh-CN"/>
              </w:rPr>
            </w:pPr>
          </w:p>
        </w:tc>
        <w:tc>
          <w:tcPr>
            <w:tcW w:w="1134" w:type="dxa"/>
          </w:tcPr>
          <w:p w14:paraId="440D8A23" w14:textId="77777777" w:rsidR="009F6D12" w:rsidRDefault="007F53FD">
            <w:pPr>
              <w:spacing w:before="163" w:after="160"/>
              <w:ind w:firstLineChars="0" w:firstLine="0"/>
              <w:rPr>
                <w:rFonts w:ascii="宋体" w:eastAsia="宋体" w:hAnsi="宋体" w:cs="宋体"/>
                <w:b/>
                <w:sz w:val="28"/>
                <w:szCs w:val="28"/>
                <w:lang w:eastAsia="zh-CN"/>
              </w:rPr>
            </w:pPr>
            <w:r>
              <w:rPr>
                <w:rFonts w:ascii="宋体" w:eastAsia="宋体" w:hAnsi="宋体" w:cs="宋体" w:hint="eastAsia"/>
                <w:b/>
                <w:sz w:val="28"/>
                <w:szCs w:val="28"/>
              </w:rPr>
              <w:t>常殊昱</w:t>
            </w:r>
          </w:p>
        </w:tc>
        <w:tc>
          <w:tcPr>
            <w:tcW w:w="1134" w:type="dxa"/>
          </w:tcPr>
          <w:p w14:paraId="56793C5A" w14:textId="77777777" w:rsidR="009F6D12" w:rsidRDefault="007F53FD">
            <w:pPr>
              <w:spacing w:before="163" w:after="160"/>
              <w:ind w:firstLineChars="0" w:firstLine="0"/>
              <w:rPr>
                <w:rFonts w:ascii="宋体" w:eastAsia="宋体" w:hAnsi="宋体" w:cs="宋体"/>
                <w:b/>
                <w:sz w:val="28"/>
                <w:szCs w:val="28"/>
                <w:lang w:eastAsia="zh-CN"/>
              </w:rPr>
            </w:pPr>
            <w:r>
              <w:rPr>
                <w:rFonts w:ascii="宋体" w:eastAsia="宋体" w:hAnsi="宋体" w:cs="宋体" w:hint="eastAsia"/>
                <w:b/>
                <w:sz w:val="28"/>
                <w:szCs w:val="28"/>
              </w:rPr>
              <w:t>栾  稀</w:t>
            </w:r>
          </w:p>
        </w:tc>
        <w:tc>
          <w:tcPr>
            <w:tcW w:w="1134" w:type="dxa"/>
          </w:tcPr>
          <w:p w14:paraId="040D2828" w14:textId="77777777" w:rsidR="009F6D12" w:rsidRDefault="007F53FD">
            <w:pPr>
              <w:spacing w:before="163" w:after="160"/>
              <w:ind w:firstLineChars="0" w:firstLine="0"/>
              <w:rPr>
                <w:rFonts w:ascii="宋体" w:eastAsia="宋体" w:hAnsi="宋体" w:cs="宋体"/>
                <w:b/>
                <w:sz w:val="28"/>
                <w:szCs w:val="28"/>
                <w:lang w:eastAsia="zh-CN"/>
              </w:rPr>
            </w:pPr>
            <w:r>
              <w:rPr>
                <w:rFonts w:ascii="宋体" w:eastAsia="宋体" w:hAnsi="宋体" w:cs="宋体" w:hint="eastAsia"/>
                <w:b/>
                <w:sz w:val="28"/>
                <w:szCs w:val="28"/>
              </w:rPr>
              <w:t>陈  博</w:t>
            </w:r>
          </w:p>
        </w:tc>
      </w:tr>
      <w:tr w:rsidR="009F6D12" w14:paraId="57B26D19" w14:textId="77777777">
        <w:trPr>
          <w:trHeight w:val="283"/>
        </w:trPr>
        <w:tc>
          <w:tcPr>
            <w:tcW w:w="1134" w:type="dxa"/>
          </w:tcPr>
          <w:p w14:paraId="767BD53D" w14:textId="77777777" w:rsidR="009F6D12" w:rsidRDefault="009F6D12">
            <w:pPr>
              <w:spacing w:before="163" w:after="160"/>
              <w:ind w:firstLineChars="0" w:firstLine="0"/>
              <w:rPr>
                <w:rFonts w:eastAsia="宋体"/>
                <w:b/>
                <w:sz w:val="28"/>
                <w:szCs w:val="28"/>
                <w:lang w:eastAsia="zh-CN"/>
              </w:rPr>
            </w:pPr>
          </w:p>
        </w:tc>
        <w:tc>
          <w:tcPr>
            <w:tcW w:w="1134" w:type="dxa"/>
          </w:tcPr>
          <w:p w14:paraId="07B06F7D" w14:textId="77777777" w:rsidR="009F6D12" w:rsidRDefault="007F53FD">
            <w:pPr>
              <w:spacing w:before="163" w:after="160"/>
              <w:ind w:firstLineChars="0" w:firstLine="0"/>
              <w:rPr>
                <w:rFonts w:ascii="宋体" w:eastAsia="宋体" w:hAnsi="宋体" w:cs="宋体"/>
                <w:b/>
                <w:sz w:val="28"/>
                <w:szCs w:val="28"/>
                <w:lang w:eastAsia="zh-CN"/>
              </w:rPr>
            </w:pPr>
            <w:r>
              <w:rPr>
                <w:rFonts w:ascii="宋体" w:eastAsia="宋体" w:hAnsi="宋体" w:cs="宋体" w:hint="eastAsia"/>
                <w:b/>
                <w:sz w:val="28"/>
                <w:szCs w:val="28"/>
              </w:rPr>
              <w:t>周伊敏</w:t>
            </w:r>
          </w:p>
        </w:tc>
        <w:tc>
          <w:tcPr>
            <w:tcW w:w="1134" w:type="dxa"/>
          </w:tcPr>
          <w:p w14:paraId="16B1B84C" w14:textId="77777777" w:rsidR="009F6D12" w:rsidRDefault="007F53FD">
            <w:pPr>
              <w:spacing w:before="163" w:after="160"/>
              <w:ind w:firstLineChars="0" w:firstLine="0"/>
              <w:rPr>
                <w:rFonts w:ascii="宋体" w:eastAsia="宋体" w:hAnsi="宋体" w:cs="宋体"/>
                <w:b/>
                <w:sz w:val="28"/>
                <w:szCs w:val="28"/>
                <w:lang w:eastAsia="zh-CN"/>
              </w:rPr>
            </w:pPr>
            <w:r>
              <w:rPr>
                <w:rFonts w:ascii="宋体" w:eastAsia="宋体" w:hAnsi="宋体" w:cs="宋体" w:hint="eastAsia"/>
                <w:b/>
                <w:sz w:val="28"/>
                <w:szCs w:val="28"/>
              </w:rPr>
              <w:t>崔晓敏</w:t>
            </w:r>
          </w:p>
        </w:tc>
        <w:tc>
          <w:tcPr>
            <w:tcW w:w="1134" w:type="dxa"/>
          </w:tcPr>
          <w:p w14:paraId="3AF803B1" w14:textId="77777777" w:rsidR="009F6D12" w:rsidRDefault="007F53FD">
            <w:pPr>
              <w:spacing w:before="163" w:after="160"/>
              <w:ind w:firstLineChars="0" w:firstLine="0"/>
              <w:rPr>
                <w:rFonts w:ascii="宋体" w:eastAsia="宋体" w:hAnsi="宋体" w:cs="宋体"/>
                <w:b/>
                <w:sz w:val="28"/>
                <w:szCs w:val="28"/>
                <w:lang w:eastAsia="zh-CN"/>
              </w:rPr>
            </w:pPr>
            <w:r>
              <w:rPr>
                <w:rFonts w:ascii="宋体" w:eastAsia="宋体" w:hAnsi="宋体" w:cs="宋体" w:hint="eastAsia"/>
                <w:b/>
                <w:sz w:val="28"/>
                <w:szCs w:val="28"/>
              </w:rPr>
              <w:t>熊婉婷</w:t>
            </w:r>
          </w:p>
        </w:tc>
      </w:tr>
    </w:tbl>
    <w:p w14:paraId="73104314" w14:textId="77777777" w:rsidR="009F6D12" w:rsidRDefault="007F53FD">
      <w:pPr>
        <w:adjustRightInd w:val="0"/>
        <w:spacing w:before="163" w:after="163" w:line="276" w:lineRule="auto"/>
        <w:ind w:firstLine="420"/>
        <w:rPr>
          <w:rFonts w:eastAsia="宋体"/>
          <w:szCs w:val="22"/>
          <w:lang w:eastAsia="zh-CN" w:bidi="ar-SA"/>
        </w:rPr>
      </w:pPr>
      <w:r>
        <w:rPr>
          <w:rFonts w:eastAsia="宋体"/>
          <w:noProof/>
          <w:sz w:val="21"/>
          <w:szCs w:val="21"/>
          <w:lang w:eastAsia="zh-CN" w:bidi="ar-SA"/>
        </w:rPr>
        <mc:AlternateContent>
          <mc:Choice Requires="wps">
            <w:drawing>
              <wp:anchor distT="0" distB="0" distL="0" distR="0" simplePos="0" relativeHeight="251665408" behindDoc="0" locked="0" layoutInCell="1" allowOverlap="1" wp14:anchorId="774B20F4" wp14:editId="183C23A9">
                <wp:simplePos x="0" y="0"/>
                <wp:positionH relativeFrom="page">
                  <wp:posOffset>-7620</wp:posOffset>
                </wp:positionH>
                <wp:positionV relativeFrom="page">
                  <wp:posOffset>2312035</wp:posOffset>
                </wp:positionV>
                <wp:extent cx="7591425" cy="2940685"/>
                <wp:effectExtent l="0" t="0" r="0" b="0"/>
                <wp:wrapNone/>
                <wp:docPr id="1030" name="Text Box 47"/>
                <wp:cNvGraphicFramePr/>
                <a:graphic xmlns:a="http://schemas.openxmlformats.org/drawingml/2006/main">
                  <a:graphicData uri="http://schemas.microsoft.com/office/word/2010/wordprocessingShape">
                    <wps:wsp>
                      <wps:cNvSpPr/>
                      <wps:spPr>
                        <a:xfrm>
                          <a:off x="0" y="0"/>
                          <a:ext cx="7591424" cy="2940580"/>
                        </a:xfrm>
                        <a:prstGeom prst="rect">
                          <a:avLst/>
                        </a:prstGeom>
                        <a:ln>
                          <a:noFill/>
                        </a:ln>
                      </wps:spPr>
                      <wps:txbx>
                        <w:txbxContent>
                          <w:p w14:paraId="71657DE4" w14:textId="77777777" w:rsidR="009F6D12" w:rsidRDefault="007F53FD">
                            <w:pPr>
                              <w:spacing w:beforeLines="45" w:before="146" w:line="180" w:lineRule="auto"/>
                              <w:ind w:firstLineChars="0" w:firstLine="0"/>
                              <w:jc w:val="center"/>
                              <w:rPr>
                                <w:rFonts w:ascii="黑体" w:eastAsia="黑体" w:hAnsi="黑体"/>
                                <w:b/>
                                <w:spacing w:val="10"/>
                                <w:position w:val="6"/>
                                <w:sz w:val="52"/>
                                <w:szCs w:val="52"/>
                                <w:lang w:eastAsia="zh-CN"/>
                              </w:rPr>
                            </w:pPr>
                            <w:r>
                              <w:rPr>
                                <w:rFonts w:ascii="黑体" w:eastAsia="黑体" w:hAnsi="黑体" w:hint="eastAsia"/>
                                <w:b/>
                                <w:spacing w:val="10"/>
                                <w:position w:val="6"/>
                                <w:sz w:val="52"/>
                                <w:szCs w:val="52"/>
                                <w:lang w:eastAsia="zh-CN"/>
                              </w:rPr>
                              <w:t>全球宏观经济季度报告</w:t>
                            </w:r>
                          </w:p>
                          <w:p w14:paraId="5D9B8199" w14:textId="77777777" w:rsidR="009F6D12" w:rsidRDefault="009F6D12">
                            <w:pPr>
                              <w:spacing w:beforeLines="45" w:before="146" w:line="180" w:lineRule="auto"/>
                              <w:ind w:firstLineChars="0" w:firstLine="0"/>
                              <w:jc w:val="center"/>
                              <w:rPr>
                                <w:rFonts w:ascii="黑体" w:eastAsia="黑体" w:hAnsi="黑体"/>
                                <w:b/>
                                <w:spacing w:val="10"/>
                                <w:position w:val="6"/>
                                <w:sz w:val="44"/>
                                <w:szCs w:val="44"/>
                                <w:lang w:eastAsia="zh-CN"/>
                              </w:rPr>
                            </w:pPr>
                          </w:p>
                          <w:p w14:paraId="31C7A878" w14:textId="77777777" w:rsidR="009F6D12" w:rsidRDefault="007F53FD">
                            <w:pPr>
                              <w:spacing w:beforeLines="45" w:before="146" w:line="180" w:lineRule="auto"/>
                              <w:ind w:firstLineChars="0" w:firstLine="0"/>
                              <w:jc w:val="center"/>
                              <w:rPr>
                                <w:rFonts w:ascii="黑体" w:eastAsia="黑体" w:hAnsi="黑体"/>
                                <w:b/>
                                <w:spacing w:val="10"/>
                                <w:position w:val="6"/>
                                <w:sz w:val="32"/>
                                <w:szCs w:val="32"/>
                                <w:lang w:eastAsia="zh-CN"/>
                              </w:rPr>
                            </w:pPr>
                            <w:r>
                              <w:rPr>
                                <w:rFonts w:ascii="黑体" w:eastAsia="黑体" w:hAnsi="黑体"/>
                                <w:b/>
                                <w:spacing w:val="10"/>
                                <w:position w:val="6"/>
                                <w:sz w:val="32"/>
                                <w:szCs w:val="32"/>
                                <w:lang w:eastAsia="zh-CN"/>
                              </w:rPr>
                              <w:t>专题</w:t>
                            </w:r>
                            <w:r>
                              <w:rPr>
                                <w:rFonts w:ascii="黑体" w:eastAsia="黑体" w:hAnsi="黑体" w:hint="eastAsia"/>
                                <w:b/>
                                <w:spacing w:val="10"/>
                                <w:position w:val="6"/>
                                <w:sz w:val="32"/>
                                <w:szCs w:val="32"/>
                                <w:lang w:eastAsia="zh-CN"/>
                              </w:rPr>
                              <w:t>：</w:t>
                            </w:r>
                            <w:r>
                              <w:rPr>
                                <w:rFonts w:ascii="黑体" w:eastAsia="黑体" w:hAnsi="黑体"/>
                                <w:b/>
                                <w:spacing w:val="10"/>
                                <w:position w:val="6"/>
                                <w:sz w:val="32"/>
                                <w:szCs w:val="32"/>
                                <w:lang w:eastAsia="zh-CN"/>
                              </w:rPr>
                              <w:t>美国 欧洲 日本 东盟与韩国</w:t>
                            </w:r>
                            <w:r>
                              <w:rPr>
                                <w:rFonts w:ascii="黑体" w:eastAsia="黑体" w:hAnsi="黑体" w:hint="eastAsia"/>
                                <w:b/>
                                <w:spacing w:val="10"/>
                                <w:position w:val="6"/>
                                <w:sz w:val="32"/>
                                <w:szCs w:val="32"/>
                                <w:lang w:eastAsia="zh-CN"/>
                              </w:rPr>
                              <w:t xml:space="preserve"> </w:t>
                            </w:r>
                            <w:r>
                              <w:rPr>
                                <w:rFonts w:ascii="黑体" w:eastAsia="黑体" w:hAnsi="黑体"/>
                                <w:b/>
                                <w:spacing w:val="10"/>
                                <w:position w:val="6"/>
                                <w:sz w:val="32"/>
                                <w:szCs w:val="32"/>
                                <w:lang w:eastAsia="zh-CN"/>
                              </w:rPr>
                              <w:t xml:space="preserve">金砖国家 </w:t>
                            </w:r>
                          </w:p>
                          <w:p w14:paraId="5396CDEC" w14:textId="181B2EDB" w:rsidR="009F6D12" w:rsidRDefault="007F53FD">
                            <w:pPr>
                              <w:spacing w:beforeLines="45" w:before="146" w:line="180" w:lineRule="auto"/>
                              <w:ind w:firstLineChars="1060" w:firstLine="3511"/>
                              <w:rPr>
                                <w:rFonts w:ascii="黑体" w:eastAsia="黑体" w:hAnsi="黑体"/>
                                <w:b/>
                                <w:color w:val="646464"/>
                                <w:spacing w:val="10"/>
                                <w:position w:val="6"/>
                                <w:sz w:val="30"/>
                                <w:szCs w:val="30"/>
                                <w:lang w:eastAsia="zh-CN"/>
                              </w:rPr>
                            </w:pPr>
                            <w:r>
                              <w:rPr>
                                <w:rFonts w:ascii="黑体" w:eastAsia="黑体" w:hAnsi="黑体"/>
                                <w:b/>
                                <w:spacing w:val="10"/>
                                <w:position w:val="6"/>
                                <w:sz w:val="32"/>
                                <w:szCs w:val="32"/>
                                <w:lang w:eastAsia="zh-CN"/>
                              </w:rPr>
                              <w:t>金融市场 大宗商品 外贸</w:t>
                            </w:r>
                            <w:r>
                              <w:rPr>
                                <w:rFonts w:ascii="黑体" w:eastAsia="黑体" w:hAnsi="黑体" w:hint="eastAsia"/>
                                <w:b/>
                                <w:spacing w:val="10"/>
                                <w:position w:val="6"/>
                                <w:sz w:val="32"/>
                                <w:szCs w:val="32"/>
                                <w:lang w:eastAsia="zh-CN"/>
                              </w:rPr>
                              <w:t xml:space="preserve"> </w:t>
                            </w:r>
                          </w:p>
                          <w:p w14:paraId="5B66B7C4" w14:textId="77777777" w:rsidR="009F6D12" w:rsidRDefault="009F6D12">
                            <w:pPr>
                              <w:spacing w:beforeLines="45" w:before="146" w:line="180" w:lineRule="auto"/>
                              <w:ind w:firstLineChars="0" w:firstLine="0"/>
                              <w:jc w:val="center"/>
                              <w:rPr>
                                <w:rFonts w:ascii="黑体" w:eastAsia="黑体" w:hAnsi="黑体"/>
                                <w:b/>
                                <w:color w:val="646464"/>
                                <w:spacing w:val="10"/>
                                <w:position w:val="6"/>
                                <w:sz w:val="32"/>
                                <w:szCs w:val="32"/>
                                <w:lang w:eastAsia="zh-CN"/>
                              </w:rPr>
                            </w:pPr>
                          </w:p>
                          <w:p w14:paraId="0EA4BCAA" w14:textId="77777777" w:rsidR="009F6D12" w:rsidRDefault="009F6D12">
                            <w:pPr>
                              <w:spacing w:beforeLines="45" w:before="146" w:line="180" w:lineRule="auto"/>
                              <w:ind w:firstLineChars="0" w:firstLine="0"/>
                              <w:jc w:val="center"/>
                              <w:rPr>
                                <w:rFonts w:ascii="黑体" w:eastAsia="黑体" w:hAnsi="黑体"/>
                                <w:b/>
                                <w:color w:val="646464"/>
                                <w:spacing w:val="10"/>
                                <w:position w:val="6"/>
                                <w:sz w:val="32"/>
                                <w:szCs w:val="32"/>
                                <w:lang w:eastAsia="zh-CN"/>
                              </w:rPr>
                            </w:pPr>
                          </w:p>
                          <w:p w14:paraId="60E66CCB" w14:textId="77777777" w:rsidR="009F6D12" w:rsidRDefault="009F6D12">
                            <w:pPr>
                              <w:spacing w:beforeLines="45" w:before="146" w:line="180" w:lineRule="auto"/>
                              <w:ind w:firstLineChars="0" w:firstLine="0"/>
                              <w:jc w:val="center"/>
                              <w:rPr>
                                <w:rFonts w:ascii="黑体" w:eastAsia="黑体" w:hAnsi="黑体"/>
                                <w:sz w:val="44"/>
                                <w:szCs w:val="44"/>
                                <w:lang w:eastAsia="zh-CN"/>
                              </w:rPr>
                            </w:pPr>
                          </w:p>
                        </w:txbxContent>
                      </wps:txbx>
                      <wps:bodyPr vert="horz" wrap="square" lIns="91440" tIns="45720" rIns="91440" bIns="45720" anchor="t" upright="1">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4B20F4" id="Text Box 47" o:spid="_x0000_s1028" style="position:absolute;left:0;text-align:left;margin-left:-.6pt;margin-top:182.05pt;width:597.75pt;height:231.55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" filled="f" stroked="f">
                <v:textbox>
                  <w:txbxContent>
                    <w:p w14:paraId="71657DE4" w14:textId="77777777" w:rsidR="009F6D12" w:rsidRDefault="007F53FD">
                      <w:pPr>
                        <w:spacing w:beforeLines="45" w:before="146" w:line="180" w:lineRule="auto"/>
                        <w:ind w:firstLineChars="0" w:firstLine="0"/>
                        <w:jc w:val="center"/>
                        <w:rPr>
                          <w:rFonts w:ascii="黑体" w:eastAsia="黑体" w:hAnsi="黑体" w:hint="eastAsia"/>
                          <w:b/>
                          <w:spacing w:val="10"/>
                          <w:position w:val="6"/>
                          <w:sz w:val="52"/>
                          <w:szCs w:val="52"/>
                          <w:lang w:eastAsia="zh-CN"/>
                        </w:rPr>
                      </w:pPr>
                      <w:r>
                        <w:rPr>
                          <w:rFonts w:ascii="黑体" w:eastAsia="黑体" w:hAnsi="黑体" w:hint="eastAsia"/>
                          <w:b/>
                          <w:spacing w:val="10"/>
                          <w:position w:val="6"/>
                          <w:sz w:val="52"/>
                          <w:szCs w:val="52"/>
                          <w:lang w:eastAsia="zh-CN"/>
                        </w:rPr>
                        <w:t>全球宏观经济季度报告</w:t>
                      </w:r>
                    </w:p>
                    <w:p w14:paraId="5D9B8199" w14:textId="77777777" w:rsidR="009F6D12" w:rsidRDefault="009F6D12">
                      <w:pPr>
                        <w:spacing w:beforeLines="45" w:before="146" w:line="180" w:lineRule="auto"/>
                        <w:ind w:firstLineChars="0" w:firstLine="0"/>
                        <w:jc w:val="center"/>
                        <w:rPr>
                          <w:rFonts w:ascii="黑体" w:eastAsia="黑体" w:hAnsi="黑体" w:hint="eastAsia"/>
                          <w:b/>
                          <w:spacing w:val="10"/>
                          <w:position w:val="6"/>
                          <w:sz w:val="44"/>
                          <w:szCs w:val="44"/>
                          <w:lang w:eastAsia="zh-CN"/>
                        </w:rPr>
                      </w:pPr>
                    </w:p>
                    <w:p w14:paraId="31C7A878" w14:textId="77777777" w:rsidR="009F6D12" w:rsidRDefault="007F53FD">
                      <w:pPr>
                        <w:spacing w:beforeLines="45" w:before="146" w:line="180" w:lineRule="auto"/>
                        <w:ind w:firstLineChars="0" w:firstLine="0"/>
                        <w:jc w:val="center"/>
                        <w:rPr>
                          <w:rFonts w:ascii="黑体" w:eastAsia="黑体" w:hAnsi="黑体" w:hint="eastAsia"/>
                          <w:b/>
                          <w:spacing w:val="10"/>
                          <w:position w:val="6"/>
                          <w:sz w:val="32"/>
                          <w:szCs w:val="32"/>
                          <w:lang w:eastAsia="zh-CN"/>
                        </w:rPr>
                      </w:pPr>
                      <w:r>
                        <w:rPr>
                          <w:rFonts w:ascii="黑体" w:eastAsia="黑体" w:hAnsi="黑体"/>
                          <w:b/>
                          <w:spacing w:val="10"/>
                          <w:position w:val="6"/>
                          <w:sz w:val="32"/>
                          <w:szCs w:val="32"/>
                          <w:lang w:eastAsia="zh-CN"/>
                        </w:rPr>
                        <w:t>专题</w:t>
                      </w:r>
                      <w:r>
                        <w:rPr>
                          <w:rFonts w:ascii="黑体" w:eastAsia="黑体" w:hAnsi="黑体" w:hint="eastAsia"/>
                          <w:b/>
                          <w:spacing w:val="10"/>
                          <w:position w:val="6"/>
                          <w:sz w:val="32"/>
                          <w:szCs w:val="32"/>
                          <w:lang w:eastAsia="zh-CN"/>
                        </w:rPr>
                        <w:t>：</w:t>
                      </w:r>
                      <w:r>
                        <w:rPr>
                          <w:rFonts w:ascii="黑体" w:eastAsia="黑体" w:hAnsi="黑体"/>
                          <w:b/>
                          <w:spacing w:val="10"/>
                          <w:position w:val="6"/>
                          <w:sz w:val="32"/>
                          <w:szCs w:val="32"/>
                          <w:lang w:eastAsia="zh-CN"/>
                        </w:rPr>
                        <w:t>美国 欧洲 日本 东盟与韩国</w:t>
                      </w:r>
                      <w:r>
                        <w:rPr>
                          <w:rFonts w:ascii="黑体" w:eastAsia="黑体" w:hAnsi="黑体" w:hint="eastAsia"/>
                          <w:b/>
                          <w:spacing w:val="10"/>
                          <w:position w:val="6"/>
                          <w:sz w:val="32"/>
                          <w:szCs w:val="32"/>
                          <w:lang w:eastAsia="zh-CN"/>
                        </w:rPr>
                        <w:t xml:space="preserve"> </w:t>
                      </w:r>
                      <w:r>
                        <w:rPr>
                          <w:rFonts w:ascii="黑体" w:eastAsia="黑体" w:hAnsi="黑体"/>
                          <w:b/>
                          <w:spacing w:val="10"/>
                          <w:position w:val="6"/>
                          <w:sz w:val="32"/>
                          <w:szCs w:val="32"/>
                          <w:lang w:eastAsia="zh-CN"/>
                        </w:rPr>
                        <w:t xml:space="preserve">金砖国家 </w:t>
                      </w:r>
                    </w:p>
                    <w:p w14:paraId="5396CDEC" w14:textId="181B2EDB" w:rsidR="009F6D12" w:rsidRDefault="007F53FD">
                      <w:pPr>
                        <w:spacing w:beforeLines="45" w:before="146" w:line="180" w:lineRule="auto"/>
                        <w:ind w:firstLineChars="1060" w:firstLine="3511"/>
                        <w:rPr>
                          <w:rFonts w:ascii="黑体" w:eastAsia="黑体" w:hAnsi="黑体" w:hint="eastAsia"/>
                          <w:b/>
                          <w:color w:val="646464"/>
                          <w:spacing w:val="10"/>
                          <w:position w:val="6"/>
                          <w:sz w:val="30"/>
                          <w:szCs w:val="30"/>
                          <w:lang w:eastAsia="zh-CN"/>
                        </w:rPr>
                      </w:pPr>
                      <w:r>
                        <w:rPr>
                          <w:rFonts w:ascii="黑体" w:eastAsia="黑体" w:hAnsi="黑体"/>
                          <w:b/>
                          <w:spacing w:val="10"/>
                          <w:position w:val="6"/>
                          <w:sz w:val="32"/>
                          <w:szCs w:val="32"/>
                          <w:lang w:eastAsia="zh-CN"/>
                        </w:rPr>
                        <w:t>金融市场 大宗商品 外贸</w:t>
                      </w:r>
                      <w:r>
                        <w:rPr>
                          <w:rFonts w:ascii="黑体" w:eastAsia="黑体" w:hAnsi="黑体" w:hint="eastAsia"/>
                          <w:b/>
                          <w:spacing w:val="10"/>
                          <w:position w:val="6"/>
                          <w:sz w:val="32"/>
                          <w:szCs w:val="32"/>
                          <w:lang w:eastAsia="zh-CN"/>
                        </w:rPr>
                        <w:t xml:space="preserve"> </w:t>
                      </w:r>
                    </w:p>
                    <w:p w14:paraId="5B66B7C4" w14:textId="77777777" w:rsidR="009F6D12" w:rsidRDefault="009F6D12">
                      <w:pPr>
                        <w:spacing w:beforeLines="45" w:before="146" w:line="180" w:lineRule="auto"/>
                        <w:ind w:firstLineChars="0" w:firstLine="0"/>
                        <w:jc w:val="center"/>
                        <w:rPr>
                          <w:rFonts w:ascii="黑体" w:eastAsia="黑体" w:hAnsi="黑体" w:hint="eastAsia"/>
                          <w:b/>
                          <w:color w:val="646464"/>
                          <w:spacing w:val="10"/>
                          <w:position w:val="6"/>
                          <w:sz w:val="32"/>
                          <w:szCs w:val="32"/>
                          <w:lang w:eastAsia="zh-CN"/>
                        </w:rPr>
                      </w:pPr>
                    </w:p>
                    <w:p w14:paraId="0EA4BCAA" w14:textId="77777777" w:rsidR="009F6D12" w:rsidRDefault="009F6D12">
                      <w:pPr>
                        <w:spacing w:beforeLines="45" w:before="146" w:line="180" w:lineRule="auto"/>
                        <w:ind w:firstLineChars="0" w:firstLine="0"/>
                        <w:jc w:val="center"/>
                        <w:rPr>
                          <w:rFonts w:ascii="黑体" w:eastAsia="黑体" w:hAnsi="黑体" w:hint="eastAsia"/>
                          <w:b/>
                          <w:color w:val="646464"/>
                          <w:spacing w:val="10"/>
                          <w:position w:val="6"/>
                          <w:sz w:val="32"/>
                          <w:szCs w:val="32"/>
                          <w:lang w:eastAsia="zh-CN"/>
                        </w:rPr>
                      </w:pPr>
                    </w:p>
                    <w:p w14:paraId="60E66CCB" w14:textId="77777777" w:rsidR="009F6D12" w:rsidRDefault="009F6D12">
                      <w:pPr>
                        <w:spacing w:beforeLines="45" w:before="146" w:line="180" w:lineRule="auto"/>
                        <w:ind w:firstLineChars="0" w:firstLine="0"/>
                        <w:jc w:val="center"/>
                        <w:rPr>
                          <w:rFonts w:ascii="黑体" w:eastAsia="黑体" w:hAnsi="黑体" w:hint="eastAsia"/>
                          <w:sz w:val="44"/>
                          <w:szCs w:val="44"/>
                          <w:lang w:eastAsia="zh-CN"/>
                        </w:rPr>
                      </w:pPr>
                    </w:p>
                  </w:txbxContent>
                </v:textbox>
                <w10:wrap anchorx="page" anchory="page"/>
              </v:rect>
            </w:pict>
          </mc:Fallback>
        </mc:AlternateContent>
      </w:r>
      <w:r>
        <w:rPr>
          <w:rFonts w:eastAsia="宋体"/>
          <w:szCs w:val="22"/>
          <w:lang w:eastAsia="zh-CN" w:bidi="ar-SA"/>
        </w:rPr>
        <w:br w:type="page"/>
      </w:r>
    </w:p>
    <w:p w14:paraId="51EA3ECA" w14:textId="77777777" w:rsidR="009F6D12" w:rsidRDefault="007F53FD">
      <w:pPr>
        <w:adjustRightInd w:val="0"/>
        <w:spacing w:before="163" w:after="200" w:line="276" w:lineRule="auto"/>
        <w:ind w:firstLineChars="0" w:firstLine="0"/>
        <w:rPr>
          <w:rFonts w:eastAsia="宋体"/>
          <w:sz w:val="21"/>
          <w:szCs w:val="21"/>
          <w:lang w:eastAsia="zh-CN"/>
        </w:rPr>
      </w:pPr>
      <w:r>
        <w:rPr>
          <w:rFonts w:eastAsia="宋体"/>
          <w:sz w:val="21"/>
          <w:szCs w:val="21"/>
          <w:lang w:eastAsia="zh-CN"/>
        </w:rPr>
        <w:lastRenderedPageBreak/>
        <w:t>《全球宏观经济季度报告》由中国社会科学院世界经济与政治研究所</w:t>
      </w:r>
      <w:r>
        <w:rPr>
          <w:rFonts w:eastAsia="宋体" w:hint="eastAsia"/>
          <w:sz w:val="21"/>
          <w:szCs w:val="21"/>
          <w:lang w:eastAsia="zh-CN"/>
        </w:rPr>
        <w:t>、</w:t>
      </w:r>
      <w:r>
        <w:rPr>
          <w:rFonts w:eastAsia="宋体" w:cs="宋体" w:hint="eastAsia"/>
          <w:sz w:val="21"/>
          <w:szCs w:val="21"/>
          <w:lang w:eastAsia="zh-CN"/>
        </w:rPr>
        <w:t>中国社会科学院国家全球战略智库</w:t>
      </w:r>
      <w:r>
        <w:rPr>
          <w:rFonts w:eastAsia="宋体"/>
          <w:sz w:val="21"/>
          <w:szCs w:val="21"/>
          <w:lang w:eastAsia="zh-CN"/>
        </w:rPr>
        <w:t>全球宏观经济研究室为您提供。</w:t>
      </w:r>
    </w:p>
    <w:tbl>
      <w:tblPr>
        <w:tblStyle w:val="311"/>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276"/>
        <w:gridCol w:w="1843"/>
        <w:gridCol w:w="1276"/>
        <w:gridCol w:w="2126"/>
      </w:tblGrid>
      <w:tr w:rsidR="009F6D12" w14:paraId="444A15C3" w14:textId="77777777">
        <w:trPr>
          <w:trHeight w:val="1294"/>
        </w:trPr>
        <w:tc>
          <w:tcPr>
            <w:tcW w:w="8222" w:type="dxa"/>
            <w:gridSpan w:val="5"/>
            <w:vAlign w:val="center"/>
          </w:tcPr>
          <w:p w14:paraId="2277B436" w14:textId="77777777" w:rsidR="009F6D12" w:rsidRDefault="007F53FD">
            <w:pPr>
              <w:adjustRightInd w:val="0"/>
              <w:spacing w:before="120" w:after="120" w:line="300" w:lineRule="auto"/>
              <w:ind w:firstLineChars="0"/>
              <w:rPr>
                <w:rFonts w:eastAsia="宋体"/>
                <w:sz w:val="21"/>
                <w:szCs w:val="21"/>
                <w:lang w:eastAsia="zh-CN"/>
              </w:rPr>
            </w:pPr>
            <w:bookmarkStart w:id="0" w:name="_Hlk520445227"/>
            <w:r>
              <w:rPr>
                <w:rFonts w:eastAsia="宋体"/>
                <w:sz w:val="21"/>
                <w:szCs w:val="21"/>
                <w:lang w:eastAsia="zh-CN"/>
              </w:rPr>
              <w:t>中国社会科学院世界经济与政治研究所</w:t>
            </w:r>
            <w:r>
              <w:rPr>
                <w:rFonts w:eastAsia="宋体" w:hint="eastAsia"/>
                <w:sz w:val="21"/>
                <w:szCs w:val="21"/>
                <w:lang w:eastAsia="zh-CN"/>
              </w:rPr>
              <w:t xml:space="preserve">  </w:t>
            </w:r>
            <w:r>
              <w:rPr>
                <w:rFonts w:eastAsia="宋体" w:cs="宋体" w:hint="eastAsia"/>
                <w:sz w:val="21"/>
                <w:szCs w:val="21"/>
                <w:lang w:eastAsia="zh-CN"/>
              </w:rPr>
              <w:t>中国社会科学院国家全球战略智库</w:t>
            </w:r>
          </w:p>
          <w:p w14:paraId="65493383" w14:textId="77777777" w:rsidR="009F6D12" w:rsidRDefault="007F53FD">
            <w:pPr>
              <w:adjustRightInd w:val="0"/>
              <w:spacing w:before="120" w:after="120" w:line="300" w:lineRule="auto"/>
              <w:ind w:firstLineChars="0"/>
              <w:rPr>
                <w:rFonts w:eastAsia="宋体"/>
                <w:sz w:val="21"/>
                <w:szCs w:val="21"/>
                <w:lang w:eastAsia="zh-CN" w:bidi="ar-SA"/>
              </w:rPr>
            </w:pPr>
            <w:r>
              <w:rPr>
                <w:rFonts w:eastAsia="宋体"/>
                <w:sz w:val="21"/>
                <w:szCs w:val="21"/>
                <w:lang w:eastAsia="zh-CN"/>
              </w:rPr>
              <w:t>全球宏观经济研究组</w:t>
            </w:r>
          </w:p>
        </w:tc>
      </w:tr>
      <w:tr w:rsidR="009F6D12" w14:paraId="6F192CB5" w14:textId="77777777">
        <w:trPr>
          <w:trHeight w:val="567"/>
        </w:trPr>
        <w:tc>
          <w:tcPr>
            <w:tcW w:w="1701" w:type="dxa"/>
            <w:vAlign w:val="center"/>
          </w:tcPr>
          <w:p w14:paraId="6931A644" w14:textId="77777777" w:rsidR="009F6D12" w:rsidRDefault="007F53FD">
            <w:pPr>
              <w:adjustRightInd w:val="0"/>
              <w:spacing w:before="120" w:after="120" w:line="300" w:lineRule="auto"/>
              <w:ind w:firstLineChars="0"/>
              <w:rPr>
                <w:rFonts w:eastAsia="宋体"/>
                <w:b/>
                <w:sz w:val="21"/>
                <w:szCs w:val="21"/>
                <w:lang w:eastAsia="zh-CN" w:bidi="ar-SA"/>
              </w:rPr>
            </w:pPr>
            <w:r>
              <w:rPr>
                <w:rFonts w:eastAsia="宋体"/>
                <w:b/>
                <w:sz w:val="21"/>
                <w:szCs w:val="21"/>
                <w:lang w:eastAsia="zh-CN" w:bidi="ar-SA"/>
              </w:rPr>
              <w:t>顾问</w:t>
            </w:r>
          </w:p>
        </w:tc>
        <w:tc>
          <w:tcPr>
            <w:tcW w:w="1276" w:type="dxa"/>
            <w:vAlign w:val="center"/>
          </w:tcPr>
          <w:p w14:paraId="30C46309" w14:textId="77777777" w:rsidR="009F6D12" w:rsidRDefault="007F53FD">
            <w:pPr>
              <w:adjustRightInd w:val="0"/>
              <w:spacing w:before="120" w:after="120" w:line="300" w:lineRule="auto"/>
              <w:ind w:firstLineChars="0"/>
              <w:rPr>
                <w:rFonts w:eastAsia="宋体"/>
                <w:sz w:val="21"/>
                <w:szCs w:val="21"/>
                <w:lang w:eastAsia="zh-CN" w:bidi="ar-SA"/>
              </w:rPr>
            </w:pPr>
            <w:r>
              <w:rPr>
                <w:rFonts w:eastAsia="宋体"/>
                <w:sz w:val="21"/>
                <w:szCs w:val="21"/>
                <w:lang w:eastAsia="zh-CN" w:bidi="ar-SA"/>
              </w:rPr>
              <w:t>张宇燕</w:t>
            </w:r>
          </w:p>
        </w:tc>
        <w:tc>
          <w:tcPr>
            <w:tcW w:w="1843" w:type="dxa"/>
            <w:vAlign w:val="center"/>
          </w:tcPr>
          <w:p w14:paraId="79180C0F" w14:textId="77777777" w:rsidR="009F6D12" w:rsidRDefault="009F6D12">
            <w:pPr>
              <w:adjustRightInd w:val="0"/>
              <w:spacing w:before="120" w:after="120" w:line="300" w:lineRule="auto"/>
              <w:ind w:firstLineChars="0"/>
              <w:rPr>
                <w:rFonts w:eastAsia="宋体"/>
                <w:sz w:val="21"/>
                <w:szCs w:val="21"/>
                <w:lang w:eastAsia="zh-CN" w:bidi="ar-SA"/>
              </w:rPr>
            </w:pPr>
          </w:p>
        </w:tc>
        <w:tc>
          <w:tcPr>
            <w:tcW w:w="1276" w:type="dxa"/>
            <w:vAlign w:val="center"/>
          </w:tcPr>
          <w:p w14:paraId="2A9399B4" w14:textId="77777777" w:rsidR="009F6D12" w:rsidRDefault="009F6D12">
            <w:pPr>
              <w:adjustRightInd w:val="0"/>
              <w:spacing w:before="120" w:after="120" w:line="300" w:lineRule="auto"/>
              <w:ind w:firstLineChars="0"/>
              <w:rPr>
                <w:rFonts w:eastAsia="宋体"/>
                <w:sz w:val="21"/>
                <w:szCs w:val="21"/>
                <w:lang w:eastAsia="zh-CN" w:bidi="ar-SA"/>
              </w:rPr>
            </w:pPr>
          </w:p>
        </w:tc>
        <w:tc>
          <w:tcPr>
            <w:tcW w:w="2126" w:type="dxa"/>
            <w:vAlign w:val="center"/>
          </w:tcPr>
          <w:p w14:paraId="7B7C6AC6" w14:textId="77777777" w:rsidR="009F6D12" w:rsidRDefault="009F6D12">
            <w:pPr>
              <w:adjustRightInd w:val="0"/>
              <w:spacing w:before="120" w:after="120" w:line="300" w:lineRule="auto"/>
              <w:ind w:firstLineChars="0"/>
              <w:rPr>
                <w:rFonts w:eastAsia="宋体"/>
                <w:sz w:val="21"/>
                <w:szCs w:val="21"/>
                <w:lang w:eastAsia="zh-CN" w:bidi="ar-SA"/>
              </w:rPr>
            </w:pPr>
          </w:p>
        </w:tc>
      </w:tr>
      <w:tr w:rsidR="009F6D12" w14:paraId="6E84BDFF" w14:textId="77777777">
        <w:trPr>
          <w:trHeight w:val="567"/>
        </w:trPr>
        <w:tc>
          <w:tcPr>
            <w:tcW w:w="1701" w:type="dxa"/>
            <w:vAlign w:val="center"/>
          </w:tcPr>
          <w:p w14:paraId="33D5027B" w14:textId="77777777" w:rsidR="009F6D12" w:rsidRDefault="007F53FD">
            <w:pPr>
              <w:adjustRightInd w:val="0"/>
              <w:spacing w:before="120" w:after="120" w:line="300" w:lineRule="auto"/>
              <w:ind w:firstLineChars="0"/>
              <w:rPr>
                <w:rFonts w:eastAsia="宋体"/>
                <w:b/>
                <w:sz w:val="21"/>
                <w:szCs w:val="21"/>
                <w:lang w:eastAsia="zh-CN" w:bidi="ar-SA"/>
              </w:rPr>
            </w:pPr>
            <w:r>
              <w:rPr>
                <w:rFonts w:eastAsia="宋体"/>
                <w:b/>
                <w:sz w:val="21"/>
                <w:szCs w:val="21"/>
                <w:lang w:eastAsia="zh-CN" w:bidi="ar-SA"/>
              </w:rPr>
              <w:t>首席专家</w:t>
            </w:r>
          </w:p>
        </w:tc>
        <w:tc>
          <w:tcPr>
            <w:tcW w:w="1276" w:type="dxa"/>
            <w:vAlign w:val="center"/>
          </w:tcPr>
          <w:p w14:paraId="0DCD03BA" w14:textId="77777777" w:rsidR="009F6D12" w:rsidRDefault="007F53FD">
            <w:pPr>
              <w:adjustRightInd w:val="0"/>
              <w:spacing w:before="120" w:after="120" w:line="300" w:lineRule="auto"/>
              <w:ind w:firstLineChars="0"/>
              <w:rPr>
                <w:rFonts w:eastAsia="宋体"/>
                <w:sz w:val="21"/>
                <w:szCs w:val="21"/>
                <w:lang w:eastAsia="zh-CN" w:bidi="ar-SA"/>
              </w:rPr>
            </w:pPr>
            <w:r>
              <w:rPr>
                <w:rFonts w:eastAsia="宋体"/>
                <w:sz w:val="21"/>
                <w:szCs w:val="21"/>
                <w:lang w:eastAsia="zh-CN" w:bidi="ar-SA"/>
              </w:rPr>
              <w:t>张</w:t>
            </w:r>
            <w:r>
              <w:rPr>
                <w:rFonts w:eastAsia="宋体"/>
                <w:sz w:val="21"/>
                <w:szCs w:val="21"/>
                <w:lang w:eastAsia="zh-CN" w:bidi="ar-SA"/>
              </w:rPr>
              <w:t xml:space="preserve">  </w:t>
            </w:r>
            <w:r>
              <w:rPr>
                <w:rFonts w:eastAsia="宋体"/>
                <w:sz w:val="21"/>
                <w:szCs w:val="21"/>
                <w:lang w:eastAsia="zh-CN" w:bidi="ar-SA"/>
              </w:rPr>
              <w:t>斌</w:t>
            </w:r>
          </w:p>
        </w:tc>
        <w:tc>
          <w:tcPr>
            <w:tcW w:w="1843" w:type="dxa"/>
            <w:vAlign w:val="center"/>
          </w:tcPr>
          <w:p w14:paraId="0D149E49" w14:textId="77777777" w:rsidR="009F6D12" w:rsidRDefault="009F6D12">
            <w:pPr>
              <w:adjustRightInd w:val="0"/>
              <w:spacing w:before="120" w:after="120" w:line="300" w:lineRule="auto"/>
              <w:ind w:firstLineChars="0"/>
              <w:rPr>
                <w:rFonts w:eastAsia="宋体"/>
                <w:sz w:val="21"/>
                <w:szCs w:val="21"/>
                <w:lang w:eastAsia="zh-CN" w:bidi="ar-SA"/>
              </w:rPr>
            </w:pPr>
          </w:p>
        </w:tc>
        <w:tc>
          <w:tcPr>
            <w:tcW w:w="1276" w:type="dxa"/>
            <w:vAlign w:val="center"/>
          </w:tcPr>
          <w:p w14:paraId="6B091455" w14:textId="77777777" w:rsidR="009F6D12" w:rsidRDefault="007F53FD">
            <w:pPr>
              <w:adjustRightInd w:val="0"/>
              <w:spacing w:before="120" w:after="120" w:line="300" w:lineRule="auto"/>
              <w:ind w:firstLineChars="0"/>
              <w:rPr>
                <w:rFonts w:eastAsia="宋体"/>
                <w:sz w:val="21"/>
                <w:szCs w:val="21"/>
                <w:lang w:eastAsia="zh-CN" w:bidi="ar-SA"/>
              </w:rPr>
            </w:pPr>
            <w:r>
              <w:rPr>
                <w:rFonts w:eastAsia="宋体"/>
                <w:sz w:val="21"/>
                <w:szCs w:val="21"/>
                <w:lang w:eastAsia="zh-CN" w:bidi="ar-SA"/>
              </w:rPr>
              <w:t>姚枝仲</w:t>
            </w:r>
          </w:p>
        </w:tc>
        <w:tc>
          <w:tcPr>
            <w:tcW w:w="2126" w:type="dxa"/>
            <w:vAlign w:val="center"/>
          </w:tcPr>
          <w:p w14:paraId="565DFB76" w14:textId="77777777" w:rsidR="009F6D12" w:rsidRDefault="009F6D12">
            <w:pPr>
              <w:adjustRightInd w:val="0"/>
              <w:spacing w:before="120" w:after="120" w:line="300" w:lineRule="auto"/>
              <w:ind w:firstLineChars="0"/>
              <w:rPr>
                <w:rFonts w:eastAsia="宋体"/>
                <w:sz w:val="21"/>
                <w:szCs w:val="21"/>
                <w:lang w:eastAsia="zh-CN" w:bidi="ar-SA"/>
              </w:rPr>
            </w:pPr>
          </w:p>
        </w:tc>
      </w:tr>
      <w:tr w:rsidR="009F6D12" w14:paraId="6C7214D6" w14:textId="77777777">
        <w:trPr>
          <w:trHeight w:val="567"/>
        </w:trPr>
        <w:tc>
          <w:tcPr>
            <w:tcW w:w="1701" w:type="dxa"/>
            <w:vAlign w:val="center"/>
          </w:tcPr>
          <w:p w14:paraId="7579E18F" w14:textId="77777777" w:rsidR="009F6D12" w:rsidRDefault="007F53FD">
            <w:pPr>
              <w:adjustRightInd w:val="0"/>
              <w:spacing w:before="60" w:after="60" w:line="300" w:lineRule="auto"/>
              <w:ind w:firstLineChars="0"/>
              <w:rPr>
                <w:rFonts w:eastAsia="宋体"/>
                <w:b/>
                <w:sz w:val="21"/>
                <w:szCs w:val="21"/>
                <w:lang w:eastAsia="zh-CN" w:bidi="ar-SA"/>
              </w:rPr>
            </w:pPr>
            <w:r>
              <w:rPr>
                <w:rFonts w:eastAsia="宋体"/>
                <w:b/>
                <w:sz w:val="21"/>
                <w:szCs w:val="21"/>
                <w:lang w:eastAsia="zh-CN" w:bidi="ar-SA"/>
              </w:rPr>
              <w:t>团队成员</w:t>
            </w:r>
          </w:p>
        </w:tc>
        <w:tc>
          <w:tcPr>
            <w:tcW w:w="1276" w:type="dxa"/>
            <w:vAlign w:val="center"/>
          </w:tcPr>
          <w:p w14:paraId="5FCF29F3" w14:textId="77777777" w:rsidR="009F6D12" w:rsidRDefault="007F53FD">
            <w:pPr>
              <w:adjustRightInd w:val="0"/>
              <w:spacing w:before="60" w:after="60" w:line="300" w:lineRule="auto"/>
              <w:ind w:firstLineChars="0"/>
              <w:rPr>
                <w:rFonts w:eastAsia="宋体"/>
                <w:sz w:val="21"/>
                <w:szCs w:val="21"/>
                <w:lang w:eastAsia="zh-CN" w:bidi="ar-SA"/>
              </w:rPr>
            </w:pPr>
            <w:r>
              <w:rPr>
                <w:rFonts w:eastAsia="宋体"/>
                <w:sz w:val="21"/>
                <w:szCs w:val="21"/>
                <w:lang w:eastAsia="zh-CN" w:bidi="ar-SA"/>
              </w:rPr>
              <w:t>肖立晟</w:t>
            </w:r>
          </w:p>
        </w:tc>
        <w:tc>
          <w:tcPr>
            <w:tcW w:w="1843" w:type="dxa"/>
            <w:vAlign w:val="center"/>
          </w:tcPr>
          <w:p w14:paraId="29894AFC" w14:textId="77777777" w:rsidR="009F6D12" w:rsidRDefault="007F53FD">
            <w:pPr>
              <w:adjustRightInd w:val="0"/>
              <w:spacing w:before="60" w:after="60" w:line="300" w:lineRule="auto"/>
              <w:ind w:firstLineChars="0"/>
              <w:rPr>
                <w:rFonts w:eastAsia="宋体"/>
                <w:sz w:val="21"/>
                <w:szCs w:val="21"/>
                <w:lang w:eastAsia="zh-CN" w:bidi="ar-SA"/>
              </w:rPr>
            </w:pPr>
            <w:r>
              <w:rPr>
                <w:rFonts w:eastAsia="宋体"/>
                <w:sz w:val="21"/>
                <w:szCs w:val="21"/>
                <w:lang w:eastAsia="zh-CN"/>
              </w:rPr>
              <w:t>国际金融</w:t>
            </w:r>
          </w:p>
        </w:tc>
        <w:tc>
          <w:tcPr>
            <w:tcW w:w="1276" w:type="dxa"/>
            <w:vAlign w:val="center"/>
          </w:tcPr>
          <w:p w14:paraId="130E7B1E" w14:textId="77777777" w:rsidR="009F6D12" w:rsidRDefault="007F53FD">
            <w:pPr>
              <w:adjustRightInd w:val="0"/>
              <w:spacing w:before="60" w:after="60" w:line="300" w:lineRule="auto"/>
              <w:ind w:firstLineChars="0"/>
              <w:rPr>
                <w:rFonts w:eastAsia="宋体"/>
                <w:sz w:val="21"/>
                <w:szCs w:val="21"/>
                <w:lang w:eastAsia="zh-CN" w:bidi="ar-SA"/>
              </w:rPr>
            </w:pPr>
            <w:r>
              <w:rPr>
                <w:rFonts w:eastAsia="宋体"/>
                <w:sz w:val="21"/>
                <w:szCs w:val="21"/>
                <w:lang w:eastAsia="zh-CN"/>
              </w:rPr>
              <w:t>曹永福</w:t>
            </w:r>
          </w:p>
        </w:tc>
        <w:tc>
          <w:tcPr>
            <w:tcW w:w="2126" w:type="dxa"/>
            <w:vAlign w:val="center"/>
          </w:tcPr>
          <w:p w14:paraId="2D95F202" w14:textId="77777777" w:rsidR="009F6D12" w:rsidRDefault="007F53FD">
            <w:pPr>
              <w:adjustRightInd w:val="0"/>
              <w:spacing w:before="60" w:after="60" w:line="300" w:lineRule="auto"/>
              <w:ind w:firstLineChars="0"/>
              <w:rPr>
                <w:rFonts w:eastAsia="宋体"/>
                <w:sz w:val="21"/>
                <w:szCs w:val="21"/>
                <w:lang w:eastAsia="zh-CN" w:bidi="ar-SA"/>
              </w:rPr>
            </w:pPr>
            <w:r>
              <w:rPr>
                <w:rFonts w:eastAsia="宋体"/>
                <w:sz w:val="21"/>
                <w:szCs w:val="21"/>
                <w:lang w:eastAsia="zh-CN"/>
              </w:rPr>
              <w:t>美国经济</w:t>
            </w:r>
          </w:p>
        </w:tc>
      </w:tr>
      <w:tr w:rsidR="009F6D12" w14:paraId="7793D0AB" w14:textId="77777777">
        <w:trPr>
          <w:trHeight w:val="567"/>
        </w:trPr>
        <w:tc>
          <w:tcPr>
            <w:tcW w:w="1701" w:type="dxa"/>
            <w:vAlign w:val="center"/>
          </w:tcPr>
          <w:p w14:paraId="6F9634F9" w14:textId="77777777" w:rsidR="009F6D12" w:rsidRDefault="009F6D12">
            <w:pPr>
              <w:adjustRightInd w:val="0"/>
              <w:spacing w:before="60" w:after="60" w:line="300" w:lineRule="auto"/>
              <w:ind w:firstLineChars="0"/>
              <w:rPr>
                <w:rFonts w:eastAsia="宋体"/>
                <w:sz w:val="21"/>
                <w:szCs w:val="21"/>
                <w:lang w:eastAsia="zh-CN" w:bidi="ar-SA"/>
              </w:rPr>
            </w:pPr>
          </w:p>
        </w:tc>
        <w:tc>
          <w:tcPr>
            <w:tcW w:w="1276" w:type="dxa"/>
            <w:vAlign w:val="center"/>
          </w:tcPr>
          <w:p w14:paraId="707B2F90" w14:textId="77777777" w:rsidR="009F6D12" w:rsidRDefault="007F53FD">
            <w:pPr>
              <w:adjustRightInd w:val="0"/>
              <w:spacing w:before="60" w:after="60" w:line="300" w:lineRule="auto"/>
              <w:ind w:firstLineChars="0"/>
              <w:rPr>
                <w:rFonts w:eastAsia="宋体"/>
                <w:sz w:val="21"/>
                <w:szCs w:val="21"/>
                <w:lang w:eastAsia="zh-CN" w:bidi="ar-SA"/>
              </w:rPr>
            </w:pPr>
            <w:r>
              <w:rPr>
                <w:rFonts w:eastAsia="宋体"/>
                <w:sz w:val="21"/>
                <w:szCs w:val="21"/>
                <w:lang w:eastAsia="zh-CN"/>
              </w:rPr>
              <w:t>杨子荣</w:t>
            </w:r>
          </w:p>
        </w:tc>
        <w:tc>
          <w:tcPr>
            <w:tcW w:w="1843" w:type="dxa"/>
            <w:vAlign w:val="center"/>
          </w:tcPr>
          <w:p w14:paraId="40DC91F0" w14:textId="77777777" w:rsidR="009F6D12" w:rsidRDefault="007F53FD">
            <w:pPr>
              <w:adjustRightInd w:val="0"/>
              <w:spacing w:before="60" w:after="60" w:line="300" w:lineRule="auto"/>
              <w:ind w:firstLineChars="0"/>
              <w:rPr>
                <w:rFonts w:eastAsia="宋体"/>
                <w:sz w:val="21"/>
                <w:szCs w:val="21"/>
                <w:lang w:eastAsia="zh-CN" w:bidi="ar-SA"/>
              </w:rPr>
            </w:pPr>
            <w:r>
              <w:rPr>
                <w:rFonts w:eastAsia="宋体"/>
                <w:sz w:val="21"/>
                <w:szCs w:val="21"/>
                <w:lang w:eastAsia="zh-CN"/>
              </w:rPr>
              <w:t>美国经济</w:t>
            </w:r>
          </w:p>
        </w:tc>
        <w:tc>
          <w:tcPr>
            <w:tcW w:w="1276" w:type="dxa"/>
            <w:vAlign w:val="center"/>
          </w:tcPr>
          <w:p w14:paraId="68D769F2" w14:textId="6B0125FD" w:rsidR="009F6D12" w:rsidRDefault="00384C36">
            <w:pPr>
              <w:adjustRightInd w:val="0"/>
              <w:spacing w:before="60" w:after="60" w:line="300" w:lineRule="auto"/>
              <w:ind w:firstLineChars="0"/>
              <w:rPr>
                <w:rFonts w:eastAsia="宋体"/>
                <w:sz w:val="21"/>
                <w:szCs w:val="21"/>
                <w:lang w:eastAsia="zh-CN" w:bidi="ar-SA"/>
              </w:rPr>
            </w:pPr>
            <w:r w:rsidRPr="00384C36">
              <w:rPr>
                <w:rFonts w:eastAsia="宋体" w:hint="eastAsia"/>
                <w:sz w:val="21"/>
                <w:szCs w:val="21"/>
                <w:lang w:eastAsia="zh-CN" w:bidi="ar-SA"/>
              </w:rPr>
              <w:t>黄宇韬</w:t>
            </w:r>
          </w:p>
        </w:tc>
        <w:tc>
          <w:tcPr>
            <w:tcW w:w="2126" w:type="dxa"/>
            <w:vAlign w:val="center"/>
          </w:tcPr>
          <w:p w14:paraId="2B0846E0" w14:textId="77777777" w:rsidR="009F6D12" w:rsidRDefault="007F53FD">
            <w:pPr>
              <w:adjustRightInd w:val="0"/>
              <w:spacing w:before="60" w:after="60" w:line="300" w:lineRule="auto"/>
              <w:ind w:firstLineChars="0"/>
              <w:rPr>
                <w:rFonts w:eastAsia="宋体"/>
                <w:sz w:val="21"/>
                <w:szCs w:val="21"/>
                <w:lang w:eastAsia="zh-CN" w:bidi="ar-SA"/>
              </w:rPr>
            </w:pPr>
            <w:r>
              <w:rPr>
                <w:rFonts w:eastAsia="宋体"/>
                <w:sz w:val="21"/>
                <w:szCs w:val="21"/>
                <w:lang w:eastAsia="zh-CN" w:bidi="ar-SA"/>
              </w:rPr>
              <w:t>欧洲经济</w:t>
            </w:r>
          </w:p>
        </w:tc>
      </w:tr>
      <w:tr w:rsidR="009F6D12" w14:paraId="5B61AD36" w14:textId="77777777">
        <w:trPr>
          <w:trHeight w:val="567"/>
        </w:trPr>
        <w:tc>
          <w:tcPr>
            <w:tcW w:w="1701" w:type="dxa"/>
            <w:vAlign w:val="center"/>
          </w:tcPr>
          <w:p w14:paraId="7CB93364" w14:textId="77777777" w:rsidR="009F6D12" w:rsidRDefault="009F6D12">
            <w:pPr>
              <w:adjustRightInd w:val="0"/>
              <w:spacing w:before="60" w:after="60" w:line="300" w:lineRule="auto"/>
              <w:ind w:firstLineChars="0"/>
              <w:rPr>
                <w:rFonts w:eastAsia="宋体"/>
                <w:sz w:val="21"/>
                <w:szCs w:val="21"/>
                <w:lang w:eastAsia="zh-CN" w:bidi="ar-SA"/>
              </w:rPr>
            </w:pPr>
          </w:p>
        </w:tc>
        <w:tc>
          <w:tcPr>
            <w:tcW w:w="1276" w:type="dxa"/>
            <w:vAlign w:val="center"/>
          </w:tcPr>
          <w:p w14:paraId="67F58C85" w14:textId="77777777" w:rsidR="009F6D12" w:rsidRDefault="007F53FD">
            <w:pPr>
              <w:adjustRightInd w:val="0"/>
              <w:spacing w:before="60" w:after="60" w:line="300" w:lineRule="auto"/>
              <w:ind w:firstLineChars="0"/>
              <w:rPr>
                <w:rFonts w:eastAsia="宋体"/>
                <w:sz w:val="21"/>
                <w:szCs w:val="21"/>
                <w:lang w:eastAsia="zh-CN" w:bidi="ar-SA"/>
              </w:rPr>
            </w:pPr>
            <w:r>
              <w:rPr>
                <w:rFonts w:eastAsia="宋体"/>
                <w:sz w:val="21"/>
                <w:szCs w:val="21"/>
                <w:lang w:eastAsia="zh-CN" w:bidi="ar-SA"/>
              </w:rPr>
              <w:t>冯维江</w:t>
            </w:r>
          </w:p>
        </w:tc>
        <w:tc>
          <w:tcPr>
            <w:tcW w:w="1843" w:type="dxa"/>
            <w:vAlign w:val="center"/>
          </w:tcPr>
          <w:p w14:paraId="521CBAA2" w14:textId="77777777" w:rsidR="009F6D12" w:rsidRDefault="007F53FD">
            <w:pPr>
              <w:adjustRightInd w:val="0"/>
              <w:spacing w:before="60" w:after="60" w:line="300" w:lineRule="auto"/>
              <w:ind w:firstLineChars="0"/>
              <w:rPr>
                <w:rFonts w:eastAsia="宋体"/>
                <w:sz w:val="21"/>
                <w:szCs w:val="21"/>
                <w:lang w:eastAsia="zh-CN" w:bidi="ar-SA"/>
              </w:rPr>
            </w:pPr>
            <w:r>
              <w:rPr>
                <w:rFonts w:eastAsia="宋体"/>
                <w:sz w:val="21"/>
                <w:szCs w:val="21"/>
                <w:lang w:eastAsia="zh-CN" w:bidi="ar-SA"/>
              </w:rPr>
              <w:t>日本经济</w:t>
            </w:r>
          </w:p>
        </w:tc>
        <w:tc>
          <w:tcPr>
            <w:tcW w:w="1276" w:type="dxa"/>
            <w:vAlign w:val="center"/>
          </w:tcPr>
          <w:p w14:paraId="3330BD68" w14:textId="77777777" w:rsidR="009F6D12" w:rsidRDefault="007F53FD">
            <w:pPr>
              <w:adjustRightInd w:val="0"/>
              <w:spacing w:before="60" w:after="60" w:line="300" w:lineRule="auto"/>
              <w:ind w:firstLineChars="0"/>
              <w:rPr>
                <w:rFonts w:eastAsia="宋体"/>
                <w:sz w:val="21"/>
                <w:szCs w:val="21"/>
                <w:lang w:eastAsia="zh-CN" w:bidi="ar-SA"/>
              </w:rPr>
            </w:pPr>
            <w:r>
              <w:rPr>
                <w:rFonts w:eastAsia="宋体"/>
                <w:sz w:val="21"/>
                <w:szCs w:val="21"/>
                <w:lang w:eastAsia="zh-CN" w:bidi="ar-SA"/>
              </w:rPr>
              <w:t>周学智</w:t>
            </w:r>
          </w:p>
        </w:tc>
        <w:tc>
          <w:tcPr>
            <w:tcW w:w="2126" w:type="dxa"/>
            <w:vAlign w:val="center"/>
          </w:tcPr>
          <w:p w14:paraId="6FDF0F7A" w14:textId="77777777" w:rsidR="009F6D12" w:rsidRDefault="007F53FD">
            <w:pPr>
              <w:adjustRightInd w:val="0"/>
              <w:spacing w:before="60" w:after="60" w:line="300" w:lineRule="auto"/>
              <w:ind w:firstLineChars="0"/>
              <w:rPr>
                <w:rFonts w:eastAsia="宋体"/>
                <w:sz w:val="21"/>
                <w:szCs w:val="21"/>
                <w:lang w:eastAsia="zh-CN" w:bidi="ar-SA"/>
              </w:rPr>
            </w:pPr>
            <w:r>
              <w:rPr>
                <w:rFonts w:eastAsia="宋体"/>
                <w:sz w:val="21"/>
                <w:szCs w:val="21"/>
                <w:lang w:eastAsia="zh-CN" w:bidi="ar-SA"/>
              </w:rPr>
              <w:t>日本经济</w:t>
            </w:r>
          </w:p>
        </w:tc>
      </w:tr>
      <w:tr w:rsidR="009F6D12" w14:paraId="4F2444B8" w14:textId="77777777">
        <w:trPr>
          <w:trHeight w:val="567"/>
        </w:trPr>
        <w:tc>
          <w:tcPr>
            <w:tcW w:w="1701" w:type="dxa"/>
            <w:vAlign w:val="center"/>
          </w:tcPr>
          <w:p w14:paraId="4D3ECE0D" w14:textId="77777777" w:rsidR="009F6D12" w:rsidRDefault="009F6D12">
            <w:pPr>
              <w:adjustRightInd w:val="0"/>
              <w:spacing w:before="60" w:after="60" w:line="300" w:lineRule="auto"/>
              <w:ind w:firstLineChars="0"/>
              <w:rPr>
                <w:rFonts w:eastAsia="宋体"/>
                <w:sz w:val="21"/>
                <w:szCs w:val="21"/>
                <w:lang w:eastAsia="zh-CN" w:bidi="ar-SA"/>
              </w:rPr>
            </w:pPr>
          </w:p>
        </w:tc>
        <w:tc>
          <w:tcPr>
            <w:tcW w:w="1276" w:type="dxa"/>
            <w:vAlign w:val="center"/>
          </w:tcPr>
          <w:p w14:paraId="7D73B5F7" w14:textId="77777777" w:rsidR="009F6D12" w:rsidRDefault="007F53FD">
            <w:pPr>
              <w:adjustRightInd w:val="0"/>
              <w:spacing w:before="60" w:after="60" w:line="300" w:lineRule="auto"/>
              <w:ind w:firstLineChars="0"/>
              <w:rPr>
                <w:rFonts w:eastAsia="宋体"/>
                <w:sz w:val="21"/>
                <w:szCs w:val="21"/>
                <w:lang w:eastAsia="zh-CN" w:bidi="ar-SA"/>
              </w:rPr>
            </w:pPr>
            <w:r>
              <w:rPr>
                <w:rFonts w:eastAsia="宋体"/>
                <w:sz w:val="21"/>
                <w:szCs w:val="21"/>
                <w:lang w:eastAsia="zh-CN"/>
              </w:rPr>
              <w:t>熊爱宗</w:t>
            </w:r>
          </w:p>
        </w:tc>
        <w:tc>
          <w:tcPr>
            <w:tcW w:w="1843" w:type="dxa"/>
            <w:vAlign w:val="center"/>
          </w:tcPr>
          <w:p w14:paraId="5B18BE7D" w14:textId="77777777" w:rsidR="009F6D12" w:rsidRDefault="007F53FD">
            <w:pPr>
              <w:adjustRightInd w:val="0"/>
              <w:spacing w:before="60" w:after="60" w:line="300" w:lineRule="auto"/>
              <w:ind w:firstLineChars="0"/>
              <w:rPr>
                <w:rFonts w:eastAsia="宋体"/>
                <w:sz w:val="21"/>
                <w:szCs w:val="21"/>
                <w:lang w:eastAsia="zh-CN" w:bidi="ar-SA"/>
              </w:rPr>
            </w:pPr>
            <w:r>
              <w:rPr>
                <w:rFonts w:eastAsia="宋体"/>
                <w:sz w:val="21"/>
                <w:szCs w:val="21"/>
                <w:lang w:eastAsia="zh-CN"/>
              </w:rPr>
              <w:t>金砖国家</w:t>
            </w:r>
          </w:p>
        </w:tc>
        <w:tc>
          <w:tcPr>
            <w:tcW w:w="1276" w:type="dxa"/>
            <w:vAlign w:val="center"/>
          </w:tcPr>
          <w:p w14:paraId="5F50A1B1" w14:textId="77777777" w:rsidR="009F6D12" w:rsidRDefault="007F53FD">
            <w:pPr>
              <w:adjustRightInd w:val="0"/>
              <w:spacing w:before="60" w:after="60" w:line="300" w:lineRule="auto"/>
              <w:ind w:firstLineChars="0"/>
              <w:rPr>
                <w:rFonts w:eastAsia="宋体"/>
                <w:sz w:val="21"/>
                <w:szCs w:val="21"/>
                <w:lang w:eastAsia="zh-CN" w:bidi="ar-SA"/>
              </w:rPr>
            </w:pPr>
            <w:r>
              <w:rPr>
                <w:rFonts w:eastAsia="宋体" w:hint="eastAsia"/>
                <w:sz w:val="21"/>
                <w:szCs w:val="21"/>
                <w:lang w:eastAsia="zh-CN"/>
              </w:rPr>
              <w:t>吴立元</w:t>
            </w:r>
          </w:p>
        </w:tc>
        <w:tc>
          <w:tcPr>
            <w:tcW w:w="2126" w:type="dxa"/>
            <w:vAlign w:val="center"/>
          </w:tcPr>
          <w:p w14:paraId="3357ECCD" w14:textId="77777777" w:rsidR="009F6D12" w:rsidRDefault="007F53FD">
            <w:pPr>
              <w:adjustRightInd w:val="0"/>
              <w:spacing w:before="60" w:after="60" w:line="300" w:lineRule="auto"/>
              <w:ind w:firstLineChars="0"/>
              <w:rPr>
                <w:rFonts w:eastAsia="宋体"/>
                <w:sz w:val="21"/>
                <w:szCs w:val="21"/>
                <w:lang w:eastAsia="zh-CN" w:bidi="ar-SA"/>
              </w:rPr>
            </w:pPr>
            <w:r>
              <w:rPr>
                <w:rFonts w:eastAsia="宋体"/>
                <w:sz w:val="21"/>
                <w:szCs w:val="21"/>
                <w:lang w:eastAsia="zh-CN"/>
              </w:rPr>
              <w:t>金砖国家</w:t>
            </w:r>
          </w:p>
        </w:tc>
      </w:tr>
      <w:tr w:rsidR="009F6D12" w14:paraId="4B2F9A70" w14:textId="77777777">
        <w:trPr>
          <w:trHeight w:val="567"/>
        </w:trPr>
        <w:tc>
          <w:tcPr>
            <w:tcW w:w="1701" w:type="dxa"/>
            <w:vAlign w:val="center"/>
          </w:tcPr>
          <w:p w14:paraId="3D6D354A" w14:textId="77777777" w:rsidR="009F6D12" w:rsidRDefault="009F6D12">
            <w:pPr>
              <w:adjustRightInd w:val="0"/>
              <w:spacing w:before="60" w:after="60" w:line="300" w:lineRule="auto"/>
              <w:ind w:firstLineChars="0"/>
              <w:rPr>
                <w:rFonts w:eastAsia="宋体"/>
                <w:sz w:val="21"/>
                <w:szCs w:val="21"/>
                <w:lang w:eastAsia="zh-CN" w:bidi="ar-SA"/>
              </w:rPr>
            </w:pPr>
          </w:p>
        </w:tc>
        <w:tc>
          <w:tcPr>
            <w:tcW w:w="1276" w:type="dxa"/>
            <w:vAlign w:val="center"/>
          </w:tcPr>
          <w:p w14:paraId="21A227AF" w14:textId="77777777" w:rsidR="009F6D12" w:rsidRDefault="007F53FD">
            <w:pPr>
              <w:adjustRightInd w:val="0"/>
              <w:spacing w:before="60" w:after="60" w:line="300" w:lineRule="auto"/>
              <w:ind w:firstLineChars="0"/>
              <w:rPr>
                <w:rFonts w:eastAsia="宋体"/>
                <w:sz w:val="21"/>
                <w:szCs w:val="21"/>
                <w:lang w:eastAsia="zh-CN"/>
              </w:rPr>
            </w:pPr>
            <w:r>
              <w:rPr>
                <w:rFonts w:eastAsia="宋体"/>
                <w:sz w:val="21"/>
                <w:szCs w:val="21"/>
                <w:lang w:eastAsia="zh-CN"/>
              </w:rPr>
              <w:t>徐奇渊</w:t>
            </w:r>
          </w:p>
        </w:tc>
        <w:tc>
          <w:tcPr>
            <w:tcW w:w="1843" w:type="dxa"/>
            <w:vAlign w:val="center"/>
          </w:tcPr>
          <w:p w14:paraId="64D92935" w14:textId="77777777" w:rsidR="009F6D12" w:rsidRDefault="007F53FD">
            <w:pPr>
              <w:adjustRightInd w:val="0"/>
              <w:spacing w:before="60" w:after="60" w:line="300" w:lineRule="auto"/>
              <w:ind w:firstLineChars="0"/>
              <w:rPr>
                <w:rFonts w:eastAsia="宋体"/>
                <w:sz w:val="21"/>
                <w:szCs w:val="21"/>
                <w:lang w:eastAsia="zh-CN"/>
              </w:rPr>
            </w:pPr>
            <w:r>
              <w:rPr>
                <w:rFonts w:eastAsia="宋体"/>
                <w:sz w:val="21"/>
                <w:szCs w:val="21"/>
                <w:lang w:eastAsia="zh-CN"/>
              </w:rPr>
              <w:t>中国经济</w:t>
            </w:r>
          </w:p>
        </w:tc>
        <w:tc>
          <w:tcPr>
            <w:tcW w:w="1276" w:type="dxa"/>
            <w:vAlign w:val="center"/>
          </w:tcPr>
          <w:p w14:paraId="7A0EBEC7" w14:textId="77777777" w:rsidR="009F6D12" w:rsidRDefault="007F53FD">
            <w:pPr>
              <w:adjustRightInd w:val="0"/>
              <w:spacing w:before="60" w:after="60" w:line="300" w:lineRule="auto"/>
              <w:ind w:firstLineChars="0"/>
              <w:rPr>
                <w:rFonts w:eastAsia="宋体"/>
                <w:sz w:val="21"/>
                <w:szCs w:val="21"/>
                <w:lang w:eastAsia="zh-CN"/>
              </w:rPr>
            </w:pPr>
            <w:r>
              <w:rPr>
                <w:rFonts w:eastAsia="宋体"/>
                <w:sz w:val="21"/>
                <w:szCs w:val="21"/>
                <w:lang w:eastAsia="zh-CN" w:bidi="ar-SA"/>
              </w:rPr>
              <w:t>杨盼盼</w:t>
            </w:r>
          </w:p>
        </w:tc>
        <w:tc>
          <w:tcPr>
            <w:tcW w:w="2126" w:type="dxa"/>
            <w:vAlign w:val="center"/>
          </w:tcPr>
          <w:p w14:paraId="22B9C10B" w14:textId="77777777" w:rsidR="009F6D12" w:rsidRDefault="007F53FD">
            <w:pPr>
              <w:adjustRightInd w:val="0"/>
              <w:spacing w:before="60" w:after="60" w:line="300" w:lineRule="auto"/>
              <w:ind w:firstLineChars="0"/>
              <w:rPr>
                <w:rFonts w:eastAsia="宋体"/>
                <w:sz w:val="21"/>
                <w:szCs w:val="21"/>
                <w:lang w:eastAsia="zh-CN"/>
              </w:rPr>
            </w:pPr>
            <w:r>
              <w:rPr>
                <w:rFonts w:eastAsia="宋体" w:hint="eastAsia"/>
                <w:sz w:val="21"/>
                <w:szCs w:val="21"/>
                <w:lang w:eastAsia="zh-CN" w:bidi="ar-SA"/>
              </w:rPr>
              <w:t>中国经济</w:t>
            </w:r>
          </w:p>
        </w:tc>
      </w:tr>
      <w:tr w:rsidR="009F6D12" w14:paraId="450FEE4B" w14:textId="77777777">
        <w:trPr>
          <w:trHeight w:val="567"/>
        </w:trPr>
        <w:tc>
          <w:tcPr>
            <w:tcW w:w="1701" w:type="dxa"/>
            <w:vAlign w:val="center"/>
          </w:tcPr>
          <w:p w14:paraId="7C44938D" w14:textId="77777777" w:rsidR="009F6D12" w:rsidRDefault="009F6D12">
            <w:pPr>
              <w:adjustRightInd w:val="0"/>
              <w:spacing w:before="60" w:after="60" w:line="300" w:lineRule="auto"/>
              <w:ind w:firstLineChars="0"/>
              <w:rPr>
                <w:rFonts w:eastAsia="宋体"/>
                <w:sz w:val="21"/>
                <w:szCs w:val="21"/>
                <w:lang w:eastAsia="zh-CN" w:bidi="ar-SA"/>
              </w:rPr>
            </w:pPr>
          </w:p>
        </w:tc>
        <w:tc>
          <w:tcPr>
            <w:tcW w:w="1276" w:type="dxa"/>
            <w:vAlign w:val="center"/>
          </w:tcPr>
          <w:p w14:paraId="6DDD7265" w14:textId="77777777" w:rsidR="009F6D12" w:rsidRDefault="007F53FD">
            <w:pPr>
              <w:adjustRightInd w:val="0"/>
              <w:spacing w:before="60" w:after="60" w:line="300" w:lineRule="auto"/>
              <w:ind w:firstLineChars="0"/>
              <w:rPr>
                <w:rFonts w:eastAsia="宋体"/>
                <w:sz w:val="21"/>
                <w:szCs w:val="21"/>
                <w:lang w:eastAsia="zh-CN"/>
              </w:rPr>
            </w:pPr>
            <w:r>
              <w:rPr>
                <w:rFonts w:eastAsia="宋体" w:hint="eastAsia"/>
                <w:sz w:val="21"/>
                <w:szCs w:val="21"/>
                <w:lang w:eastAsia="zh-CN"/>
              </w:rPr>
              <w:t>倪淑慧</w:t>
            </w:r>
          </w:p>
        </w:tc>
        <w:tc>
          <w:tcPr>
            <w:tcW w:w="1843" w:type="dxa"/>
            <w:vAlign w:val="center"/>
          </w:tcPr>
          <w:p w14:paraId="637A755D" w14:textId="77777777" w:rsidR="009F6D12" w:rsidRDefault="007F53FD">
            <w:pPr>
              <w:adjustRightInd w:val="0"/>
              <w:spacing w:before="60" w:after="60" w:line="300" w:lineRule="auto"/>
              <w:ind w:firstLineChars="0"/>
              <w:rPr>
                <w:rFonts w:eastAsia="宋体"/>
                <w:sz w:val="21"/>
                <w:szCs w:val="21"/>
                <w:lang w:eastAsia="zh-CN"/>
              </w:rPr>
            </w:pPr>
            <w:r>
              <w:rPr>
                <w:rFonts w:eastAsia="宋体" w:hint="eastAsia"/>
                <w:sz w:val="21"/>
                <w:szCs w:val="21"/>
                <w:lang w:eastAsia="zh-CN"/>
              </w:rPr>
              <w:t>东盟与韩国</w:t>
            </w:r>
          </w:p>
        </w:tc>
        <w:tc>
          <w:tcPr>
            <w:tcW w:w="1276" w:type="dxa"/>
            <w:vAlign w:val="center"/>
          </w:tcPr>
          <w:p w14:paraId="6BF5678B" w14:textId="77777777" w:rsidR="009F6D12" w:rsidRDefault="007F53FD">
            <w:pPr>
              <w:adjustRightInd w:val="0"/>
              <w:spacing w:before="60" w:after="60" w:line="300" w:lineRule="auto"/>
              <w:ind w:firstLineChars="0"/>
              <w:rPr>
                <w:rFonts w:eastAsia="宋体"/>
                <w:sz w:val="21"/>
                <w:szCs w:val="21"/>
                <w:lang w:eastAsia="zh-CN"/>
              </w:rPr>
            </w:pPr>
            <w:r>
              <w:rPr>
                <w:rFonts w:eastAsia="宋体"/>
                <w:sz w:val="21"/>
                <w:szCs w:val="21"/>
                <w:lang w:eastAsia="zh-CN"/>
              </w:rPr>
              <w:t>常殊昱</w:t>
            </w:r>
          </w:p>
        </w:tc>
        <w:tc>
          <w:tcPr>
            <w:tcW w:w="2126" w:type="dxa"/>
            <w:vAlign w:val="center"/>
          </w:tcPr>
          <w:p w14:paraId="40923BE1" w14:textId="77777777" w:rsidR="009F6D12" w:rsidRDefault="007F53FD">
            <w:pPr>
              <w:adjustRightInd w:val="0"/>
              <w:spacing w:before="60" w:after="60" w:line="300" w:lineRule="auto"/>
              <w:ind w:firstLineChars="0"/>
              <w:rPr>
                <w:rFonts w:eastAsia="宋体"/>
                <w:sz w:val="21"/>
                <w:szCs w:val="21"/>
                <w:lang w:eastAsia="zh-CN"/>
              </w:rPr>
            </w:pPr>
            <w:r>
              <w:rPr>
                <w:rFonts w:eastAsia="宋体"/>
                <w:sz w:val="21"/>
                <w:szCs w:val="21"/>
                <w:lang w:eastAsia="zh-CN"/>
              </w:rPr>
              <w:t>国际金融</w:t>
            </w:r>
          </w:p>
        </w:tc>
      </w:tr>
      <w:tr w:rsidR="009F6D12" w14:paraId="57FB10E1" w14:textId="77777777">
        <w:trPr>
          <w:trHeight w:val="567"/>
        </w:trPr>
        <w:tc>
          <w:tcPr>
            <w:tcW w:w="1701" w:type="dxa"/>
            <w:vAlign w:val="center"/>
          </w:tcPr>
          <w:p w14:paraId="0F359EFF" w14:textId="77777777" w:rsidR="009F6D12" w:rsidRDefault="009F6D12">
            <w:pPr>
              <w:adjustRightInd w:val="0"/>
              <w:spacing w:before="60" w:after="60" w:line="300" w:lineRule="auto"/>
              <w:ind w:firstLineChars="0"/>
              <w:rPr>
                <w:rFonts w:eastAsia="宋体"/>
                <w:sz w:val="21"/>
                <w:szCs w:val="21"/>
                <w:lang w:eastAsia="zh-CN" w:bidi="ar-SA"/>
              </w:rPr>
            </w:pPr>
          </w:p>
        </w:tc>
        <w:tc>
          <w:tcPr>
            <w:tcW w:w="1276" w:type="dxa"/>
            <w:vAlign w:val="center"/>
          </w:tcPr>
          <w:p w14:paraId="172157C2" w14:textId="77777777" w:rsidR="009F6D12" w:rsidRDefault="007F53FD">
            <w:pPr>
              <w:adjustRightInd w:val="0"/>
              <w:spacing w:before="60" w:after="60" w:line="300" w:lineRule="auto"/>
              <w:ind w:firstLineChars="0"/>
              <w:rPr>
                <w:rFonts w:eastAsia="宋体"/>
                <w:sz w:val="21"/>
                <w:szCs w:val="21"/>
                <w:lang w:eastAsia="zh-CN"/>
              </w:rPr>
            </w:pPr>
            <w:r>
              <w:rPr>
                <w:rFonts w:eastAsia="宋体"/>
                <w:sz w:val="21"/>
                <w:szCs w:val="21"/>
                <w:lang w:eastAsia="zh-CN" w:bidi="ar-SA"/>
              </w:rPr>
              <w:t>栾</w:t>
            </w:r>
            <w:r>
              <w:rPr>
                <w:rFonts w:eastAsia="宋体"/>
                <w:sz w:val="21"/>
                <w:szCs w:val="21"/>
                <w:lang w:eastAsia="zh-CN" w:bidi="ar-SA"/>
              </w:rPr>
              <w:t xml:space="preserve">  </w:t>
            </w:r>
            <w:r>
              <w:rPr>
                <w:rFonts w:eastAsia="宋体"/>
                <w:sz w:val="21"/>
                <w:szCs w:val="21"/>
                <w:lang w:eastAsia="zh-CN" w:bidi="ar-SA"/>
              </w:rPr>
              <w:t>稀</w:t>
            </w:r>
          </w:p>
        </w:tc>
        <w:tc>
          <w:tcPr>
            <w:tcW w:w="1843" w:type="dxa"/>
            <w:vAlign w:val="center"/>
          </w:tcPr>
          <w:p w14:paraId="75306D03" w14:textId="77777777" w:rsidR="009F6D12" w:rsidRDefault="007F53FD">
            <w:pPr>
              <w:adjustRightInd w:val="0"/>
              <w:spacing w:before="60" w:after="60" w:line="300" w:lineRule="auto"/>
              <w:ind w:firstLineChars="0"/>
              <w:rPr>
                <w:rFonts w:eastAsia="宋体"/>
                <w:sz w:val="21"/>
                <w:szCs w:val="21"/>
                <w:lang w:eastAsia="zh-CN"/>
              </w:rPr>
            </w:pPr>
            <w:r>
              <w:rPr>
                <w:rFonts w:eastAsia="宋体"/>
                <w:sz w:val="21"/>
                <w:szCs w:val="21"/>
                <w:lang w:eastAsia="zh-CN"/>
              </w:rPr>
              <w:t>国际金融</w:t>
            </w:r>
          </w:p>
        </w:tc>
        <w:tc>
          <w:tcPr>
            <w:tcW w:w="1276" w:type="dxa"/>
            <w:vAlign w:val="center"/>
          </w:tcPr>
          <w:p w14:paraId="5DD30D7D" w14:textId="77777777" w:rsidR="009F6D12" w:rsidRDefault="007F53FD">
            <w:pPr>
              <w:adjustRightInd w:val="0"/>
              <w:spacing w:before="60" w:after="60" w:line="300" w:lineRule="auto"/>
              <w:ind w:firstLineChars="0"/>
              <w:rPr>
                <w:rFonts w:eastAsia="宋体"/>
                <w:sz w:val="21"/>
                <w:szCs w:val="21"/>
                <w:lang w:eastAsia="zh-CN"/>
              </w:rPr>
            </w:pPr>
            <w:r>
              <w:rPr>
                <w:rFonts w:eastAsia="宋体"/>
                <w:sz w:val="21"/>
                <w:szCs w:val="21"/>
                <w:lang w:eastAsia="zh-CN" w:bidi="ar-SA"/>
              </w:rPr>
              <w:t>李远芳</w:t>
            </w:r>
          </w:p>
        </w:tc>
        <w:tc>
          <w:tcPr>
            <w:tcW w:w="2126" w:type="dxa"/>
            <w:vAlign w:val="center"/>
          </w:tcPr>
          <w:p w14:paraId="04B968ED" w14:textId="77777777" w:rsidR="009F6D12" w:rsidRDefault="007F53FD">
            <w:pPr>
              <w:adjustRightInd w:val="0"/>
              <w:spacing w:before="60" w:after="60" w:line="300" w:lineRule="auto"/>
              <w:ind w:firstLineChars="0"/>
              <w:rPr>
                <w:rFonts w:eastAsia="宋体"/>
                <w:sz w:val="21"/>
                <w:szCs w:val="21"/>
                <w:lang w:eastAsia="zh-CN"/>
              </w:rPr>
            </w:pPr>
            <w:r>
              <w:rPr>
                <w:rFonts w:eastAsia="宋体"/>
                <w:sz w:val="21"/>
                <w:szCs w:val="21"/>
                <w:lang w:eastAsia="zh-CN"/>
              </w:rPr>
              <w:t>国际金融</w:t>
            </w:r>
          </w:p>
        </w:tc>
      </w:tr>
      <w:tr w:rsidR="009F6D12" w14:paraId="2E15D15B" w14:textId="77777777">
        <w:trPr>
          <w:trHeight w:val="567"/>
        </w:trPr>
        <w:tc>
          <w:tcPr>
            <w:tcW w:w="1701" w:type="dxa"/>
            <w:vAlign w:val="center"/>
          </w:tcPr>
          <w:p w14:paraId="55C37E33" w14:textId="77777777" w:rsidR="009F6D12" w:rsidRDefault="009F6D12">
            <w:pPr>
              <w:adjustRightInd w:val="0"/>
              <w:spacing w:before="60" w:after="60" w:line="300" w:lineRule="auto"/>
              <w:ind w:firstLineChars="0"/>
              <w:rPr>
                <w:rFonts w:eastAsia="宋体"/>
                <w:sz w:val="21"/>
                <w:szCs w:val="21"/>
                <w:lang w:eastAsia="zh-CN" w:bidi="ar-SA"/>
              </w:rPr>
            </w:pPr>
          </w:p>
        </w:tc>
        <w:tc>
          <w:tcPr>
            <w:tcW w:w="1276" w:type="dxa"/>
            <w:vAlign w:val="center"/>
          </w:tcPr>
          <w:p w14:paraId="47CD4B09" w14:textId="77777777" w:rsidR="009F6D12" w:rsidRDefault="007F53FD">
            <w:pPr>
              <w:adjustRightInd w:val="0"/>
              <w:spacing w:before="60" w:after="60" w:line="300" w:lineRule="auto"/>
              <w:ind w:firstLineChars="0"/>
              <w:rPr>
                <w:rFonts w:eastAsia="宋体"/>
                <w:sz w:val="21"/>
                <w:szCs w:val="21"/>
                <w:lang w:eastAsia="zh-CN"/>
              </w:rPr>
            </w:pPr>
            <w:r>
              <w:rPr>
                <w:rFonts w:eastAsia="宋体"/>
                <w:sz w:val="21"/>
                <w:szCs w:val="21"/>
                <w:lang w:eastAsia="zh-CN"/>
              </w:rPr>
              <w:t>陈</w:t>
            </w:r>
            <w:r>
              <w:rPr>
                <w:rFonts w:eastAsia="宋体"/>
                <w:sz w:val="21"/>
                <w:szCs w:val="21"/>
                <w:lang w:eastAsia="zh-CN"/>
              </w:rPr>
              <w:t xml:space="preserve">  </w:t>
            </w:r>
            <w:r>
              <w:rPr>
                <w:rFonts w:eastAsia="宋体"/>
                <w:sz w:val="21"/>
                <w:szCs w:val="21"/>
                <w:lang w:eastAsia="zh-CN"/>
              </w:rPr>
              <w:t>博</w:t>
            </w:r>
          </w:p>
        </w:tc>
        <w:tc>
          <w:tcPr>
            <w:tcW w:w="1843" w:type="dxa"/>
            <w:vAlign w:val="center"/>
          </w:tcPr>
          <w:p w14:paraId="29C47050" w14:textId="77777777" w:rsidR="009F6D12" w:rsidRDefault="007F53FD">
            <w:pPr>
              <w:adjustRightInd w:val="0"/>
              <w:spacing w:before="60" w:after="60" w:line="300" w:lineRule="auto"/>
              <w:ind w:firstLineChars="0"/>
              <w:rPr>
                <w:rFonts w:eastAsia="宋体"/>
                <w:sz w:val="21"/>
                <w:szCs w:val="21"/>
                <w:lang w:eastAsia="zh-CN"/>
              </w:rPr>
            </w:pPr>
            <w:r>
              <w:rPr>
                <w:rFonts w:eastAsia="宋体"/>
                <w:sz w:val="21"/>
                <w:szCs w:val="21"/>
                <w:lang w:eastAsia="zh-CN"/>
              </w:rPr>
              <w:t>大宗商品</w:t>
            </w:r>
          </w:p>
        </w:tc>
        <w:tc>
          <w:tcPr>
            <w:tcW w:w="1276" w:type="dxa"/>
            <w:vAlign w:val="center"/>
          </w:tcPr>
          <w:p w14:paraId="701570F2" w14:textId="77777777" w:rsidR="009F6D12" w:rsidRDefault="007F53FD">
            <w:pPr>
              <w:adjustRightInd w:val="0"/>
              <w:spacing w:before="60" w:after="60" w:line="300" w:lineRule="auto"/>
              <w:ind w:firstLineChars="0"/>
              <w:rPr>
                <w:rFonts w:eastAsia="宋体"/>
                <w:sz w:val="21"/>
                <w:szCs w:val="21"/>
                <w:lang w:eastAsia="zh-CN" w:bidi="ar-SA"/>
              </w:rPr>
            </w:pPr>
            <w:r>
              <w:rPr>
                <w:rFonts w:eastAsia="宋体"/>
                <w:sz w:val="21"/>
                <w:szCs w:val="21"/>
                <w:lang w:eastAsia="zh-CN"/>
              </w:rPr>
              <w:t>云</w:t>
            </w:r>
            <w:r>
              <w:rPr>
                <w:rFonts w:eastAsia="宋体"/>
                <w:sz w:val="21"/>
                <w:szCs w:val="21"/>
                <w:lang w:eastAsia="zh-CN"/>
              </w:rPr>
              <w:t xml:space="preserve">  </w:t>
            </w:r>
            <w:r>
              <w:rPr>
                <w:rFonts w:eastAsia="宋体"/>
                <w:sz w:val="21"/>
                <w:szCs w:val="21"/>
                <w:lang w:eastAsia="zh-CN"/>
              </w:rPr>
              <w:t>璐</w:t>
            </w:r>
          </w:p>
        </w:tc>
        <w:tc>
          <w:tcPr>
            <w:tcW w:w="2126" w:type="dxa"/>
            <w:vAlign w:val="center"/>
          </w:tcPr>
          <w:p w14:paraId="019AE37D" w14:textId="77777777" w:rsidR="009F6D12" w:rsidRDefault="007F53FD">
            <w:pPr>
              <w:adjustRightInd w:val="0"/>
              <w:spacing w:before="60" w:after="60" w:line="300" w:lineRule="auto"/>
              <w:ind w:firstLineChars="0"/>
              <w:rPr>
                <w:rFonts w:eastAsia="宋体"/>
                <w:sz w:val="21"/>
                <w:szCs w:val="21"/>
                <w:lang w:eastAsia="zh-CN" w:bidi="ar-SA"/>
              </w:rPr>
            </w:pPr>
            <w:r>
              <w:rPr>
                <w:rFonts w:eastAsia="宋体"/>
                <w:sz w:val="21"/>
                <w:szCs w:val="21"/>
                <w:lang w:eastAsia="zh-CN"/>
              </w:rPr>
              <w:t>大宗商品</w:t>
            </w:r>
          </w:p>
        </w:tc>
      </w:tr>
      <w:tr w:rsidR="009F6D12" w14:paraId="06EDB40B" w14:textId="77777777">
        <w:trPr>
          <w:trHeight w:val="567"/>
        </w:trPr>
        <w:tc>
          <w:tcPr>
            <w:tcW w:w="1701" w:type="dxa"/>
            <w:vAlign w:val="center"/>
          </w:tcPr>
          <w:p w14:paraId="160D6A93" w14:textId="77777777" w:rsidR="009F6D12" w:rsidRDefault="009F6D12">
            <w:pPr>
              <w:adjustRightInd w:val="0"/>
              <w:spacing w:before="60" w:after="60" w:line="300" w:lineRule="auto"/>
              <w:ind w:firstLineChars="0"/>
              <w:rPr>
                <w:rFonts w:eastAsia="宋体"/>
                <w:sz w:val="21"/>
                <w:szCs w:val="21"/>
                <w:lang w:eastAsia="zh-CN" w:bidi="ar-SA"/>
              </w:rPr>
            </w:pPr>
          </w:p>
        </w:tc>
        <w:tc>
          <w:tcPr>
            <w:tcW w:w="1276" w:type="dxa"/>
            <w:vAlign w:val="center"/>
          </w:tcPr>
          <w:p w14:paraId="1BBE5891" w14:textId="77777777" w:rsidR="009F6D12" w:rsidRDefault="007F53FD">
            <w:pPr>
              <w:adjustRightInd w:val="0"/>
              <w:spacing w:before="60" w:after="60" w:line="300" w:lineRule="auto"/>
              <w:ind w:firstLineChars="0"/>
              <w:rPr>
                <w:rFonts w:eastAsia="宋体"/>
                <w:sz w:val="21"/>
                <w:szCs w:val="21"/>
                <w:lang w:eastAsia="zh-CN"/>
              </w:rPr>
            </w:pPr>
            <w:r>
              <w:rPr>
                <w:rFonts w:eastAsia="宋体" w:hint="eastAsia"/>
                <w:sz w:val="21"/>
                <w:szCs w:val="21"/>
                <w:lang w:eastAsia="zh-CN"/>
              </w:rPr>
              <w:t>陈逸豪</w:t>
            </w:r>
          </w:p>
        </w:tc>
        <w:tc>
          <w:tcPr>
            <w:tcW w:w="1843" w:type="dxa"/>
            <w:vAlign w:val="center"/>
          </w:tcPr>
          <w:p w14:paraId="7058759F" w14:textId="77777777" w:rsidR="009F6D12" w:rsidRDefault="007F53FD">
            <w:pPr>
              <w:adjustRightInd w:val="0"/>
              <w:spacing w:before="60" w:after="60" w:line="300" w:lineRule="auto"/>
              <w:ind w:firstLineChars="0"/>
              <w:rPr>
                <w:rFonts w:eastAsia="宋体"/>
                <w:sz w:val="21"/>
                <w:szCs w:val="21"/>
                <w:lang w:eastAsia="zh-CN"/>
              </w:rPr>
            </w:pPr>
            <w:r>
              <w:rPr>
                <w:rFonts w:eastAsia="宋体" w:hint="eastAsia"/>
                <w:sz w:val="21"/>
                <w:szCs w:val="21"/>
                <w:lang w:eastAsia="zh-CN"/>
              </w:rPr>
              <w:t>大宗商品</w:t>
            </w:r>
          </w:p>
        </w:tc>
        <w:tc>
          <w:tcPr>
            <w:tcW w:w="1276" w:type="dxa"/>
            <w:vAlign w:val="center"/>
          </w:tcPr>
          <w:p w14:paraId="0CA54D23" w14:textId="77777777" w:rsidR="009F6D12" w:rsidRDefault="007F53FD">
            <w:pPr>
              <w:adjustRightInd w:val="0"/>
              <w:spacing w:before="60" w:after="60" w:line="300" w:lineRule="auto"/>
              <w:ind w:firstLineChars="0"/>
              <w:rPr>
                <w:rFonts w:eastAsia="宋体"/>
                <w:sz w:val="21"/>
                <w:szCs w:val="21"/>
                <w:lang w:eastAsia="zh-CN"/>
              </w:rPr>
            </w:pPr>
            <w:r>
              <w:rPr>
                <w:rFonts w:eastAsia="宋体"/>
                <w:sz w:val="21"/>
                <w:szCs w:val="21"/>
                <w:lang w:eastAsia="zh-CN" w:bidi="ar-SA"/>
              </w:rPr>
              <w:t>吴海英</w:t>
            </w:r>
          </w:p>
        </w:tc>
        <w:tc>
          <w:tcPr>
            <w:tcW w:w="2126" w:type="dxa"/>
            <w:vAlign w:val="center"/>
          </w:tcPr>
          <w:p w14:paraId="3C8CF708" w14:textId="77777777" w:rsidR="009F6D12" w:rsidRDefault="007F53FD">
            <w:pPr>
              <w:adjustRightInd w:val="0"/>
              <w:spacing w:before="60" w:after="60" w:line="300" w:lineRule="auto"/>
              <w:ind w:firstLineChars="0"/>
              <w:rPr>
                <w:rFonts w:eastAsia="宋体"/>
                <w:sz w:val="21"/>
                <w:szCs w:val="21"/>
                <w:lang w:eastAsia="zh-CN"/>
              </w:rPr>
            </w:pPr>
            <w:r>
              <w:rPr>
                <w:rFonts w:eastAsia="宋体"/>
                <w:sz w:val="21"/>
                <w:szCs w:val="21"/>
                <w:lang w:eastAsia="zh-CN" w:bidi="ar-SA"/>
              </w:rPr>
              <w:t>对外贸易</w:t>
            </w:r>
          </w:p>
        </w:tc>
      </w:tr>
      <w:tr w:rsidR="009F6D12" w14:paraId="13405147" w14:textId="77777777">
        <w:trPr>
          <w:trHeight w:val="567"/>
        </w:trPr>
        <w:tc>
          <w:tcPr>
            <w:tcW w:w="1701" w:type="dxa"/>
            <w:vAlign w:val="center"/>
          </w:tcPr>
          <w:p w14:paraId="6820BE12" w14:textId="77777777" w:rsidR="009F6D12" w:rsidRDefault="009F6D12">
            <w:pPr>
              <w:adjustRightInd w:val="0"/>
              <w:spacing w:before="60" w:after="60" w:line="300" w:lineRule="auto"/>
              <w:ind w:firstLineChars="0"/>
              <w:rPr>
                <w:rFonts w:eastAsia="宋体"/>
                <w:sz w:val="21"/>
                <w:szCs w:val="21"/>
                <w:lang w:eastAsia="zh-CN" w:bidi="ar-SA"/>
              </w:rPr>
            </w:pPr>
          </w:p>
        </w:tc>
        <w:tc>
          <w:tcPr>
            <w:tcW w:w="1276" w:type="dxa"/>
            <w:vAlign w:val="center"/>
          </w:tcPr>
          <w:p w14:paraId="4B289B98" w14:textId="77777777" w:rsidR="009F6D12" w:rsidRDefault="007F53FD">
            <w:pPr>
              <w:adjustRightInd w:val="0"/>
              <w:spacing w:before="60" w:after="60" w:line="300" w:lineRule="auto"/>
              <w:ind w:firstLineChars="0"/>
              <w:rPr>
                <w:rFonts w:eastAsia="宋体"/>
                <w:sz w:val="21"/>
                <w:szCs w:val="21"/>
                <w:lang w:eastAsia="zh-CN" w:bidi="ar-SA"/>
              </w:rPr>
            </w:pPr>
            <w:r>
              <w:rPr>
                <w:rFonts w:eastAsia="宋体"/>
                <w:sz w:val="21"/>
                <w:szCs w:val="21"/>
                <w:lang w:eastAsia="zh-CN" w:bidi="ar-SA"/>
              </w:rPr>
              <w:t>崔晓敏</w:t>
            </w:r>
          </w:p>
        </w:tc>
        <w:tc>
          <w:tcPr>
            <w:tcW w:w="1843" w:type="dxa"/>
            <w:vAlign w:val="center"/>
          </w:tcPr>
          <w:p w14:paraId="6FE5F500" w14:textId="77777777" w:rsidR="009F6D12" w:rsidRDefault="007F53FD">
            <w:pPr>
              <w:adjustRightInd w:val="0"/>
              <w:spacing w:before="60" w:after="60" w:line="300" w:lineRule="auto"/>
              <w:ind w:firstLineChars="0"/>
              <w:rPr>
                <w:rFonts w:eastAsia="宋体"/>
                <w:sz w:val="21"/>
                <w:szCs w:val="21"/>
                <w:lang w:eastAsia="zh-CN" w:bidi="ar-SA"/>
              </w:rPr>
            </w:pPr>
            <w:r>
              <w:rPr>
                <w:rFonts w:eastAsia="宋体"/>
                <w:sz w:val="21"/>
                <w:szCs w:val="21"/>
                <w:lang w:eastAsia="zh-CN"/>
              </w:rPr>
              <w:t>对外贸易</w:t>
            </w:r>
          </w:p>
        </w:tc>
        <w:tc>
          <w:tcPr>
            <w:tcW w:w="1276" w:type="dxa"/>
            <w:vAlign w:val="center"/>
          </w:tcPr>
          <w:p w14:paraId="63F4F895" w14:textId="77777777" w:rsidR="009F6D12" w:rsidRDefault="007F53FD">
            <w:pPr>
              <w:adjustRightInd w:val="0"/>
              <w:spacing w:before="60" w:after="60" w:line="300" w:lineRule="auto"/>
              <w:ind w:firstLineChars="0"/>
              <w:rPr>
                <w:rFonts w:eastAsia="宋体"/>
                <w:sz w:val="21"/>
                <w:szCs w:val="21"/>
                <w:lang w:eastAsia="zh-CN" w:bidi="ar-SA"/>
              </w:rPr>
            </w:pPr>
            <w:r>
              <w:rPr>
                <w:rFonts w:eastAsia="宋体"/>
                <w:sz w:val="21"/>
                <w:szCs w:val="21"/>
                <w:lang w:eastAsia="zh-CN"/>
              </w:rPr>
              <w:t>熊婉婷</w:t>
            </w:r>
          </w:p>
        </w:tc>
        <w:tc>
          <w:tcPr>
            <w:tcW w:w="2126" w:type="dxa"/>
            <w:vAlign w:val="center"/>
          </w:tcPr>
          <w:p w14:paraId="47F1686F" w14:textId="77777777" w:rsidR="009F6D12" w:rsidRDefault="007F53FD">
            <w:pPr>
              <w:adjustRightInd w:val="0"/>
              <w:spacing w:before="60" w:after="60" w:line="300" w:lineRule="auto"/>
              <w:ind w:firstLineChars="0"/>
              <w:rPr>
                <w:rFonts w:eastAsia="宋体"/>
                <w:sz w:val="21"/>
                <w:szCs w:val="21"/>
                <w:lang w:eastAsia="zh-CN" w:bidi="ar-SA"/>
              </w:rPr>
            </w:pPr>
            <w:r>
              <w:rPr>
                <w:rFonts w:eastAsia="宋体"/>
                <w:sz w:val="21"/>
                <w:szCs w:val="21"/>
                <w:lang w:eastAsia="zh-CN"/>
              </w:rPr>
              <w:t>宏观经济</w:t>
            </w:r>
          </w:p>
        </w:tc>
      </w:tr>
      <w:tr w:rsidR="009F6D12" w14:paraId="37C39545" w14:textId="77777777">
        <w:trPr>
          <w:trHeight w:val="567"/>
        </w:trPr>
        <w:tc>
          <w:tcPr>
            <w:tcW w:w="1701" w:type="dxa"/>
            <w:vAlign w:val="center"/>
          </w:tcPr>
          <w:p w14:paraId="257ADA4D" w14:textId="77777777" w:rsidR="009F6D12" w:rsidRDefault="009F6D12">
            <w:pPr>
              <w:adjustRightInd w:val="0"/>
              <w:spacing w:before="60" w:after="60" w:line="300" w:lineRule="auto"/>
              <w:ind w:firstLineChars="0"/>
              <w:rPr>
                <w:rFonts w:eastAsia="宋体"/>
                <w:sz w:val="21"/>
                <w:szCs w:val="21"/>
                <w:lang w:eastAsia="zh-CN" w:bidi="ar-SA"/>
              </w:rPr>
            </w:pPr>
          </w:p>
        </w:tc>
        <w:tc>
          <w:tcPr>
            <w:tcW w:w="1276" w:type="dxa"/>
            <w:vAlign w:val="center"/>
          </w:tcPr>
          <w:p w14:paraId="751576B7" w14:textId="77777777" w:rsidR="009F6D12" w:rsidRDefault="007F53FD">
            <w:pPr>
              <w:adjustRightInd w:val="0"/>
              <w:spacing w:before="60" w:after="60" w:line="300" w:lineRule="auto"/>
              <w:ind w:firstLineChars="0"/>
              <w:rPr>
                <w:rFonts w:eastAsia="宋体"/>
                <w:sz w:val="21"/>
                <w:szCs w:val="21"/>
                <w:lang w:eastAsia="zh-CN" w:bidi="ar-SA"/>
              </w:rPr>
            </w:pPr>
            <w:r>
              <w:rPr>
                <w:rFonts w:eastAsia="宋体" w:hint="eastAsia"/>
                <w:sz w:val="21"/>
                <w:szCs w:val="21"/>
                <w:lang w:eastAsia="zh-CN" w:bidi="ar-SA"/>
              </w:rPr>
              <w:t>夏广涛</w:t>
            </w:r>
          </w:p>
        </w:tc>
        <w:tc>
          <w:tcPr>
            <w:tcW w:w="1843" w:type="dxa"/>
            <w:vAlign w:val="center"/>
          </w:tcPr>
          <w:p w14:paraId="537833E7" w14:textId="77777777" w:rsidR="009F6D12" w:rsidRDefault="007F53FD">
            <w:pPr>
              <w:adjustRightInd w:val="0"/>
              <w:spacing w:before="60" w:after="60" w:line="300" w:lineRule="auto"/>
              <w:ind w:firstLineChars="0"/>
              <w:rPr>
                <w:rFonts w:eastAsia="宋体"/>
                <w:sz w:val="21"/>
                <w:szCs w:val="21"/>
                <w:lang w:eastAsia="zh-CN" w:bidi="ar-SA"/>
              </w:rPr>
            </w:pPr>
            <w:r>
              <w:rPr>
                <w:rFonts w:eastAsia="宋体" w:hint="eastAsia"/>
                <w:sz w:val="21"/>
                <w:szCs w:val="21"/>
                <w:lang w:eastAsia="zh-CN" w:bidi="ar-SA"/>
              </w:rPr>
              <w:t>外汇储备</w:t>
            </w:r>
          </w:p>
        </w:tc>
        <w:tc>
          <w:tcPr>
            <w:tcW w:w="1276" w:type="dxa"/>
            <w:vAlign w:val="center"/>
          </w:tcPr>
          <w:p w14:paraId="456C14A3" w14:textId="77777777" w:rsidR="009F6D12" w:rsidRDefault="007F53FD">
            <w:pPr>
              <w:adjustRightInd w:val="0"/>
              <w:spacing w:before="60" w:after="60" w:line="300" w:lineRule="auto"/>
              <w:ind w:firstLineChars="0"/>
              <w:rPr>
                <w:rFonts w:eastAsia="宋体"/>
                <w:sz w:val="21"/>
                <w:szCs w:val="21"/>
                <w:lang w:eastAsia="zh-CN" w:bidi="ar-SA"/>
              </w:rPr>
            </w:pPr>
            <w:r>
              <w:rPr>
                <w:rFonts w:eastAsia="宋体" w:hint="eastAsia"/>
                <w:sz w:val="21"/>
                <w:szCs w:val="21"/>
                <w:lang w:eastAsia="zh-CN" w:bidi="ar-SA"/>
              </w:rPr>
              <w:t>廖世伟</w:t>
            </w:r>
          </w:p>
        </w:tc>
        <w:tc>
          <w:tcPr>
            <w:tcW w:w="2126" w:type="dxa"/>
            <w:vAlign w:val="center"/>
          </w:tcPr>
          <w:p w14:paraId="5E608462" w14:textId="77777777" w:rsidR="009F6D12" w:rsidRDefault="007F53FD">
            <w:pPr>
              <w:adjustRightInd w:val="0"/>
              <w:spacing w:before="60" w:after="60" w:line="300" w:lineRule="auto"/>
              <w:ind w:firstLineChars="0"/>
              <w:rPr>
                <w:rFonts w:eastAsia="宋体"/>
                <w:sz w:val="21"/>
                <w:szCs w:val="21"/>
                <w:lang w:eastAsia="zh-CN" w:bidi="ar-SA"/>
              </w:rPr>
            </w:pPr>
            <w:r>
              <w:rPr>
                <w:rFonts w:eastAsia="宋体"/>
                <w:sz w:val="21"/>
                <w:szCs w:val="21"/>
                <w:lang w:eastAsia="zh-CN" w:bidi="ar-SA"/>
              </w:rPr>
              <w:t>科研助理</w:t>
            </w:r>
          </w:p>
        </w:tc>
      </w:tr>
    </w:tbl>
    <w:bookmarkEnd w:id="0"/>
    <w:p w14:paraId="65424098" w14:textId="77777777" w:rsidR="009F6D12" w:rsidRDefault="007F53FD">
      <w:pPr>
        <w:adjustRightInd w:val="0"/>
        <w:spacing w:before="163" w:after="200" w:line="276" w:lineRule="auto"/>
        <w:ind w:firstLineChars="0"/>
        <w:rPr>
          <w:rFonts w:eastAsia="宋体"/>
          <w:sz w:val="21"/>
          <w:szCs w:val="21"/>
          <w:lang w:eastAsia="zh-CN"/>
        </w:rPr>
      </w:pPr>
      <w:r>
        <w:rPr>
          <w:rFonts w:eastAsia="宋体"/>
          <w:sz w:val="21"/>
          <w:szCs w:val="21"/>
          <w:lang w:eastAsia="zh-CN"/>
        </w:rPr>
        <w:t>联系人：</w:t>
      </w:r>
      <w:r>
        <w:rPr>
          <w:rFonts w:eastAsia="宋体" w:hint="eastAsia"/>
          <w:sz w:val="21"/>
          <w:szCs w:val="21"/>
          <w:lang w:eastAsia="zh-CN"/>
        </w:rPr>
        <w:t>廖世伟</w:t>
      </w:r>
      <w:r>
        <w:rPr>
          <w:rFonts w:eastAsia="宋体"/>
          <w:sz w:val="21"/>
          <w:szCs w:val="21"/>
          <w:lang w:eastAsia="zh-CN"/>
        </w:rPr>
        <w:tab/>
      </w:r>
      <w:r>
        <w:rPr>
          <w:rFonts w:eastAsia="宋体"/>
          <w:sz w:val="21"/>
          <w:szCs w:val="21"/>
          <w:lang w:eastAsia="zh-CN"/>
        </w:rPr>
        <w:tab/>
      </w:r>
      <w:r>
        <w:rPr>
          <w:rFonts w:eastAsia="宋体"/>
          <w:sz w:val="21"/>
          <w:szCs w:val="21"/>
          <w:lang w:eastAsia="zh-CN"/>
        </w:rPr>
        <w:t>邮箱：</w:t>
      </w:r>
      <w:hyperlink r:id="rId12" w:history="1">
        <w:r>
          <w:rPr>
            <w:rFonts w:eastAsia="宋体"/>
            <w:color w:val="0563C1"/>
            <w:sz w:val="21"/>
            <w:szCs w:val="21"/>
            <w:u w:val="single"/>
            <w:lang w:eastAsia="zh-CN"/>
          </w:rPr>
          <w:t>iwepceem@163.com</w:t>
        </w:r>
      </w:hyperlink>
      <w:r>
        <w:rPr>
          <w:rFonts w:eastAsia="宋体"/>
          <w:sz w:val="21"/>
          <w:szCs w:val="21"/>
          <w:lang w:eastAsia="zh-CN"/>
        </w:rPr>
        <w:tab/>
      </w:r>
      <w:r>
        <w:rPr>
          <w:rFonts w:eastAsia="宋体"/>
          <w:sz w:val="21"/>
          <w:szCs w:val="21"/>
          <w:lang w:eastAsia="zh-CN"/>
        </w:rPr>
        <w:tab/>
      </w:r>
      <w:r>
        <w:rPr>
          <w:rFonts w:eastAsia="宋体"/>
          <w:sz w:val="21"/>
          <w:szCs w:val="21"/>
          <w:lang w:eastAsia="zh-CN"/>
        </w:rPr>
        <w:t>电话：</w:t>
      </w:r>
      <w:r>
        <w:rPr>
          <w:rFonts w:eastAsia="宋体"/>
          <w:sz w:val="21"/>
          <w:szCs w:val="21"/>
          <w:lang w:eastAsia="zh-CN"/>
        </w:rPr>
        <w:t>(86)10-85195775</w:t>
      </w:r>
    </w:p>
    <w:p w14:paraId="39B500D4" w14:textId="77777777" w:rsidR="009F6D12" w:rsidRDefault="007F53FD">
      <w:pPr>
        <w:adjustRightInd w:val="0"/>
        <w:spacing w:before="163" w:after="200" w:line="276" w:lineRule="auto"/>
        <w:ind w:firstLineChars="0"/>
        <w:rPr>
          <w:rFonts w:eastAsia="宋体"/>
          <w:sz w:val="21"/>
          <w:szCs w:val="21"/>
          <w:lang w:eastAsia="zh-CN"/>
        </w:rPr>
      </w:pPr>
      <w:r>
        <w:rPr>
          <w:rFonts w:eastAsia="宋体"/>
          <w:sz w:val="21"/>
          <w:szCs w:val="21"/>
          <w:lang w:eastAsia="zh-CN"/>
        </w:rPr>
        <w:t>通讯地址：北京建国门内大街</w:t>
      </w:r>
      <w:r>
        <w:rPr>
          <w:rFonts w:eastAsia="宋体"/>
          <w:sz w:val="21"/>
          <w:szCs w:val="21"/>
          <w:lang w:eastAsia="zh-CN"/>
        </w:rPr>
        <w:t>5</w:t>
      </w:r>
      <w:r>
        <w:rPr>
          <w:rFonts w:eastAsia="宋体"/>
          <w:sz w:val="21"/>
          <w:szCs w:val="21"/>
          <w:lang w:eastAsia="zh-CN"/>
        </w:rPr>
        <w:t>号</w:t>
      </w:r>
      <w:r>
        <w:rPr>
          <w:rFonts w:eastAsia="宋体"/>
          <w:sz w:val="21"/>
          <w:szCs w:val="21"/>
          <w:lang w:eastAsia="zh-CN"/>
        </w:rPr>
        <w:t>1543</w:t>
      </w:r>
      <w:r>
        <w:rPr>
          <w:rFonts w:eastAsia="宋体"/>
          <w:sz w:val="21"/>
          <w:szCs w:val="21"/>
          <w:lang w:eastAsia="zh-CN"/>
        </w:rPr>
        <w:t>房间（邮政编码：</w:t>
      </w:r>
      <w:r>
        <w:rPr>
          <w:rFonts w:eastAsia="宋体"/>
          <w:sz w:val="21"/>
          <w:szCs w:val="21"/>
          <w:lang w:eastAsia="zh-CN"/>
        </w:rPr>
        <w:t>100732</w:t>
      </w:r>
      <w:r>
        <w:rPr>
          <w:rFonts w:eastAsia="宋体"/>
          <w:sz w:val="21"/>
          <w:szCs w:val="21"/>
          <w:lang w:eastAsia="zh-CN"/>
        </w:rPr>
        <w:t>）</w:t>
      </w:r>
    </w:p>
    <w:p w14:paraId="6FED9749" w14:textId="77777777" w:rsidR="009F6D12" w:rsidRDefault="007F53FD">
      <w:pPr>
        <w:adjustRightInd w:val="0"/>
        <w:spacing w:before="163" w:after="200" w:line="276" w:lineRule="auto"/>
        <w:ind w:firstLineChars="0"/>
        <w:rPr>
          <w:rFonts w:eastAsia="宋体"/>
          <w:b/>
          <w:sz w:val="21"/>
          <w:szCs w:val="21"/>
          <w:lang w:eastAsia="zh-CN"/>
        </w:rPr>
      </w:pPr>
      <w:r>
        <w:rPr>
          <w:rFonts w:eastAsia="宋体"/>
          <w:b/>
          <w:sz w:val="21"/>
          <w:szCs w:val="21"/>
          <w:lang w:eastAsia="zh-CN"/>
        </w:rPr>
        <w:t>免责声明：</w:t>
      </w:r>
    </w:p>
    <w:p w14:paraId="08D1B64C" w14:textId="77777777" w:rsidR="009F6D12" w:rsidRDefault="007F53FD">
      <w:pPr>
        <w:adjustRightInd w:val="0"/>
        <w:spacing w:after="200" w:line="251" w:lineRule="auto"/>
        <w:ind w:firstLine="420"/>
        <w:rPr>
          <w:rFonts w:eastAsia="等线"/>
          <w:szCs w:val="22"/>
          <w:lang w:eastAsia="zh-CN"/>
        </w:rPr>
      </w:pPr>
      <w:r>
        <w:rPr>
          <w:rFonts w:eastAsia="宋体"/>
          <w:sz w:val="21"/>
          <w:szCs w:val="21"/>
          <w:lang w:eastAsia="zh-CN"/>
        </w:rPr>
        <w:t>版权为中国社会科学院世界经济与政治研究所</w:t>
      </w:r>
      <w:r>
        <w:rPr>
          <w:rFonts w:eastAsia="宋体" w:hint="eastAsia"/>
          <w:sz w:val="21"/>
          <w:szCs w:val="21"/>
          <w:lang w:eastAsia="zh-CN"/>
        </w:rPr>
        <w:t>、</w:t>
      </w:r>
      <w:r>
        <w:rPr>
          <w:rFonts w:eastAsia="宋体" w:cs="宋体" w:hint="eastAsia"/>
          <w:sz w:val="21"/>
          <w:szCs w:val="21"/>
          <w:lang w:eastAsia="zh-CN"/>
        </w:rPr>
        <w:t>中国社会科学院国家全球战略智库</w:t>
      </w:r>
      <w:r>
        <w:rPr>
          <w:rFonts w:eastAsia="宋体"/>
          <w:sz w:val="21"/>
          <w:szCs w:val="21"/>
          <w:lang w:eastAsia="zh-CN"/>
        </w:rPr>
        <w:t>全球宏观经济研究组所有，未经本研究组许可，任何机构或个人不得以任何形式翻版、复制、上网和刊登，如有违反，本研究组保留法律追责权。</w:t>
      </w:r>
    </w:p>
    <w:p w14:paraId="704B2EF0" w14:textId="77777777" w:rsidR="009F6D12" w:rsidRDefault="009F6D12">
      <w:pPr>
        <w:ind w:firstLine="640"/>
        <w:rPr>
          <w:rFonts w:eastAsia="楷体"/>
          <w:sz w:val="32"/>
          <w:szCs w:val="32"/>
          <w:lang w:eastAsia="zh-CN"/>
        </w:rPr>
      </w:pPr>
    </w:p>
    <w:p w14:paraId="0F54A946" w14:textId="77777777" w:rsidR="009F6D12" w:rsidRDefault="009F6D12">
      <w:pPr>
        <w:ind w:firstLine="640"/>
        <w:rPr>
          <w:rFonts w:eastAsia="楷体"/>
          <w:sz w:val="32"/>
          <w:szCs w:val="32"/>
          <w:lang w:eastAsia="zh-CN"/>
        </w:rPr>
        <w:sectPr w:rsidR="009F6D12">
          <w:headerReference w:type="default" r:id="rId13"/>
          <w:footerReference w:type="even" r:id="rId14"/>
          <w:footerReference w:type="default" r:id="rId15"/>
          <w:footerReference w:type="first" r:id="rId16"/>
          <w:type w:val="continuous"/>
          <w:pgSz w:w="11906" w:h="16838"/>
          <w:pgMar w:top="1440" w:right="1800" w:bottom="1440" w:left="1800" w:header="851" w:footer="992" w:gutter="0"/>
          <w:pgNumType w:fmt="upperRoman" w:start="1"/>
          <w:cols w:space="425"/>
          <w:docGrid w:type="lines" w:linePitch="326"/>
        </w:sectPr>
      </w:pPr>
    </w:p>
    <w:p w14:paraId="208650F6" w14:textId="7C7D1B41" w:rsidR="00DB3FD2" w:rsidRDefault="000725D1" w:rsidP="00743D7A">
      <w:pPr>
        <w:tabs>
          <w:tab w:val="left" w:pos="8400"/>
        </w:tabs>
        <w:spacing w:afterLines="50" w:after="163"/>
        <w:ind w:leftChars="-43" w:left="-103" w:rightChars="-47" w:right="-113" w:firstLineChars="0" w:firstLine="0"/>
        <w:jc w:val="center"/>
        <w:outlineLvl w:val="0"/>
        <w:rPr>
          <w:noProof/>
          <w:lang w:eastAsia="zh-CN"/>
        </w:rPr>
      </w:pPr>
      <w:bookmarkStart w:id="1" w:name="_Toc172362134"/>
      <w:bookmarkStart w:id="2" w:name="_Toc187912962"/>
      <w:bookmarkStart w:id="3" w:name="_Toc196364970"/>
      <w:bookmarkStart w:id="4" w:name="_Toc148292722"/>
      <w:bookmarkStart w:id="5" w:name="_Toc164619044"/>
      <w:bookmarkStart w:id="6" w:name="_Toc148372481"/>
      <w:bookmarkStart w:id="7" w:name="_Toc172276093"/>
      <w:bookmarkStart w:id="8" w:name="_Toc164618190"/>
      <w:bookmarkStart w:id="9" w:name="_Toc148525310"/>
      <w:bookmarkStart w:id="10" w:name="_Toc148527227"/>
      <w:bookmarkStart w:id="11" w:name="_Toc148294377"/>
      <w:bookmarkStart w:id="12" w:name="_Toc156511235"/>
      <w:r w:rsidRPr="008349AA">
        <w:rPr>
          <w:rFonts w:eastAsia="楷体" w:hint="eastAsia"/>
          <w:bCs/>
          <w:sz w:val="36"/>
          <w:szCs w:val="28"/>
          <w:lang w:eastAsia="zh-CN"/>
        </w:rPr>
        <w:lastRenderedPageBreak/>
        <w:t>目</w:t>
      </w:r>
      <w:r w:rsidR="008349AA">
        <w:rPr>
          <w:rFonts w:eastAsia="楷体" w:hint="eastAsia"/>
          <w:bCs/>
          <w:sz w:val="36"/>
          <w:szCs w:val="28"/>
          <w:lang w:eastAsia="zh-CN"/>
        </w:rPr>
        <w:t xml:space="preserve"> </w:t>
      </w:r>
      <w:r w:rsidR="008349AA">
        <w:rPr>
          <w:rFonts w:eastAsia="楷体"/>
          <w:bCs/>
          <w:sz w:val="36"/>
          <w:szCs w:val="28"/>
          <w:lang w:eastAsia="zh-CN"/>
        </w:rPr>
        <w:t xml:space="preserve"> </w:t>
      </w:r>
      <w:r w:rsidRPr="008349AA">
        <w:rPr>
          <w:rFonts w:eastAsia="楷体" w:hint="eastAsia"/>
          <w:bCs/>
          <w:sz w:val="36"/>
          <w:szCs w:val="28"/>
          <w:lang w:eastAsia="zh-CN"/>
        </w:rPr>
        <w:t>录</w:t>
      </w:r>
      <w:bookmarkEnd w:id="1"/>
      <w:bookmarkEnd w:id="2"/>
      <w:bookmarkEnd w:id="3"/>
      <w:r>
        <w:rPr>
          <w:rFonts w:eastAsia="楷体"/>
          <w:caps/>
          <w:spacing w:val="20"/>
          <w:sz w:val="32"/>
          <w:szCs w:val="32"/>
          <w:lang w:eastAsia="zh-CN"/>
        </w:rPr>
        <w:fldChar w:fldCharType="begin"/>
      </w:r>
      <w:r w:rsidRPr="008349AA">
        <w:rPr>
          <w:rFonts w:eastAsia="楷体"/>
          <w:caps/>
          <w:spacing w:val="20"/>
          <w:sz w:val="32"/>
          <w:szCs w:val="32"/>
          <w:lang w:eastAsia="zh-CN"/>
        </w:rPr>
        <w:instrText xml:space="preserve"> TOC \o "1-3" \h \z \u </w:instrText>
      </w:r>
      <w:r>
        <w:rPr>
          <w:rFonts w:eastAsia="楷体"/>
          <w:caps/>
          <w:spacing w:val="20"/>
          <w:sz w:val="32"/>
          <w:szCs w:val="32"/>
          <w:lang w:eastAsia="zh-CN"/>
        </w:rPr>
        <w:fldChar w:fldCharType="separate"/>
      </w:r>
    </w:p>
    <w:p w14:paraId="2E859ADD" w14:textId="085C56E1" w:rsidR="001D737A" w:rsidRDefault="006208B3">
      <w:pPr>
        <w:pStyle w:val="10"/>
        <w:rPr>
          <w:rStyle w:val="af7"/>
          <w:noProof/>
        </w:rPr>
      </w:pPr>
      <w:hyperlink w:anchor="_Toc196364973" w:history="1">
        <w:r w:rsidR="001D737A" w:rsidRPr="00044597">
          <w:rPr>
            <w:rStyle w:val="af7"/>
            <w:rFonts w:hint="eastAsia"/>
            <w:noProof/>
          </w:rPr>
          <w:t>美国经济：衰退风险上升</w:t>
        </w:r>
        <w:r w:rsidR="001D737A">
          <w:rPr>
            <w:rFonts w:hint="eastAsia"/>
            <w:noProof/>
            <w:webHidden/>
          </w:rPr>
          <w:tab/>
        </w:r>
        <w:r w:rsidR="001D737A">
          <w:rPr>
            <w:rFonts w:hint="eastAsia"/>
            <w:noProof/>
            <w:webHidden/>
          </w:rPr>
          <w:fldChar w:fldCharType="begin"/>
        </w:r>
        <w:r w:rsidR="001D737A">
          <w:rPr>
            <w:rFonts w:hint="eastAsia"/>
            <w:noProof/>
            <w:webHidden/>
          </w:rPr>
          <w:instrText xml:space="preserve"> </w:instrText>
        </w:r>
        <w:r w:rsidR="001D737A">
          <w:rPr>
            <w:noProof/>
            <w:webHidden/>
          </w:rPr>
          <w:instrText>PAGEREF _Toc196364973 \h</w:instrText>
        </w:r>
        <w:r w:rsidR="001D737A">
          <w:rPr>
            <w:rFonts w:hint="eastAsia"/>
            <w:noProof/>
            <w:webHidden/>
          </w:rPr>
          <w:instrText xml:space="preserve"> </w:instrText>
        </w:r>
        <w:r w:rsidR="001D737A">
          <w:rPr>
            <w:rFonts w:hint="eastAsia"/>
            <w:noProof/>
            <w:webHidden/>
          </w:rPr>
        </w:r>
        <w:r w:rsidR="001D737A">
          <w:rPr>
            <w:rFonts w:hint="eastAsia"/>
            <w:noProof/>
            <w:webHidden/>
          </w:rPr>
          <w:fldChar w:fldCharType="separate"/>
        </w:r>
        <w:r w:rsidR="00530ED7">
          <w:rPr>
            <w:noProof/>
            <w:webHidden/>
          </w:rPr>
          <w:t>1</w:t>
        </w:r>
        <w:r w:rsidR="001D737A">
          <w:rPr>
            <w:rFonts w:hint="eastAsia"/>
            <w:noProof/>
            <w:webHidden/>
          </w:rPr>
          <w:fldChar w:fldCharType="end"/>
        </w:r>
      </w:hyperlink>
    </w:p>
    <w:p w14:paraId="644A3FA5" w14:textId="50086594" w:rsidR="001D737A" w:rsidRPr="001D737A" w:rsidRDefault="001D737A" w:rsidP="001D737A">
      <w:pPr>
        <w:pStyle w:val="20"/>
      </w:pPr>
      <w:r w:rsidRPr="001D737A">
        <w:rPr>
          <w:rFonts w:hint="eastAsia"/>
        </w:rPr>
        <w:t>2025</w:t>
      </w:r>
      <w:r w:rsidRPr="001D737A">
        <w:rPr>
          <w:rFonts w:hint="eastAsia"/>
        </w:rPr>
        <w:t>年</w:t>
      </w:r>
      <w:r w:rsidR="00107520">
        <w:rPr>
          <w:rFonts w:hint="eastAsia"/>
        </w:rPr>
        <w:t>1</w:t>
      </w:r>
      <w:r w:rsidRPr="001D737A">
        <w:rPr>
          <w:rFonts w:hint="eastAsia"/>
        </w:rPr>
        <w:t>季度，美国消费和私人投资继续正向拉动经济增长，但在关税政策冲击下，经济增长动能快速减弱。软数据（预期类调查数据）已大幅走弱，硬数据（消费、就业等指标）虽然尚未受到实质性冲击但风险明显上升，关税等政策的不确定性正导致企业投资放缓和消费者信心减弱。美联储在</w:t>
      </w:r>
      <w:r w:rsidRPr="001D737A">
        <w:rPr>
          <w:rFonts w:hint="eastAsia"/>
        </w:rPr>
        <w:t>1</w:t>
      </w:r>
      <w:r w:rsidRPr="001D737A">
        <w:rPr>
          <w:rFonts w:hint="eastAsia"/>
        </w:rPr>
        <w:t>月和</w:t>
      </w:r>
      <w:r w:rsidRPr="001D737A">
        <w:rPr>
          <w:rFonts w:hint="eastAsia"/>
        </w:rPr>
        <w:t>3</w:t>
      </w:r>
      <w:r w:rsidRPr="001D737A">
        <w:rPr>
          <w:rFonts w:hint="eastAsia"/>
        </w:rPr>
        <w:t>月议息会议皆维持利率水平不变，其货币政策很可能陷入“两难”困境，且特朗普多次扬言要解雇鲍威尔的职务，美联储的独立性面临严峻挑战。展望</w:t>
      </w:r>
      <w:r w:rsidRPr="001D737A">
        <w:rPr>
          <w:rFonts w:hint="eastAsia"/>
        </w:rPr>
        <w:t>2025</w:t>
      </w:r>
      <w:r w:rsidRPr="001D737A">
        <w:rPr>
          <w:rFonts w:hint="eastAsia"/>
        </w:rPr>
        <w:t>年，特朗普政府的关税政策正在导致经济衰退风险不断上升。</w:t>
      </w:r>
    </w:p>
    <w:p w14:paraId="5692D811" w14:textId="68B7647F" w:rsidR="001D737A" w:rsidRDefault="006208B3">
      <w:pPr>
        <w:pStyle w:val="10"/>
        <w:rPr>
          <w:rStyle w:val="af7"/>
          <w:noProof/>
        </w:rPr>
      </w:pPr>
      <w:hyperlink w:anchor="_Toc196364974" w:history="1">
        <w:r w:rsidR="001D737A" w:rsidRPr="00044597">
          <w:rPr>
            <w:rStyle w:val="af7"/>
            <w:rFonts w:hint="eastAsia"/>
            <w:noProof/>
          </w:rPr>
          <w:t>欧洲：不确定性中存在积极信号</w:t>
        </w:r>
        <w:r w:rsidR="001D737A">
          <w:rPr>
            <w:rFonts w:hint="eastAsia"/>
            <w:noProof/>
            <w:webHidden/>
          </w:rPr>
          <w:tab/>
        </w:r>
        <w:r w:rsidR="001D737A">
          <w:rPr>
            <w:rFonts w:hint="eastAsia"/>
            <w:noProof/>
            <w:webHidden/>
          </w:rPr>
          <w:fldChar w:fldCharType="begin"/>
        </w:r>
        <w:r w:rsidR="001D737A">
          <w:rPr>
            <w:rFonts w:hint="eastAsia"/>
            <w:noProof/>
            <w:webHidden/>
          </w:rPr>
          <w:instrText xml:space="preserve"> </w:instrText>
        </w:r>
        <w:r w:rsidR="001D737A">
          <w:rPr>
            <w:noProof/>
            <w:webHidden/>
          </w:rPr>
          <w:instrText>PAGEREF _Toc196364974 \h</w:instrText>
        </w:r>
        <w:r w:rsidR="001D737A">
          <w:rPr>
            <w:rFonts w:hint="eastAsia"/>
            <w:noProof/>
            <w:webHidden/>
          </w:rPr>
          <w:instrText xml:space="preserve"> </w:instrText>
        </w:r>
        <w:r w:rsidR="001D737A">
          <w:rPr>
            <w:rFonts w:hint="eastAsia"/>
            <w:noProof/>
            <w:webHidden/>
          </w:rPr>
        </w:r>
        <w:r w:rsidR="001D737A">
          <w:rPr>
            <w:rFonts w:hint="eastAsia"/>
            <w:noProof/>
            <w:webHidden/>
          </w:rPr>
          <w:fldChar w:fldCharType="separate"/>
        </w:r>
        <w:r w:rsidR="00530ED7">
          <w:rPr>
            <w:noProof/>
            <w:webHidden/>
          </w:rPr>
          <w:t>9</w:t>
        </w:r>
        <w:r w:rsidR="001D737A">
          <w:rPr>
            <w:rFonts w:hint="eastAsia"/>
            <w:noProof/>
            <w:webHidden/>
          </w:rPr>
          <w:fldChar w:fldCharType="end"/>
        </w:r>
      </w:hyperlink>
    </w:p>
    <w:p w14:paraId="2BE90FC8" w14:textId="6A72C54F" w:rsidR="001D737A" w:rsidRPr="001D737A" w:rsidRDefault="001D737A" w:rsidP="001D737A">
      <w:pPr>
        <w:pStyle w:val="20"/>
      </w:pPr>
      <w:r>
        <w:rPr>
          <w:rFonts w:hint="eastAsia"/>
        </w:rPr>
        <w:t>2</w:t>
      </w:r>
      <w:r w:rsidRPr="001D737A">
        <w:rPr>
          <w:rFonts w:hint="eastAsia"/>
        </w:rPr>
        <w:t>025</w:t>
      </w:r>
      <w:r w:rsidRPr="001D737A">
        <w:rPr>
          <w:rFonts w:hint="eastAsia"/>
        </w:rPr>
        <w:t>年</w:t>
      </w:r>
      <w:r w:rsidRPr="001D737A">
        <w:rPr>
          <w:rFonts w:hint="eastAsia"/>
        </w:rPr>
        <w:t>1</w:t>
      </w:r>
      <w:r w:rsidRPr="001D737A">
        <w:rPr>
          <w:rFonts w:hint="eastAsia"/>
        </w:rPr>
        <w:t>季度，欧元区经济活动有所提升，但整体仍呈现较为低迷的态势。综合</w:t>
      </w:r>
      <w:r w:rsidRPr="001D737A">
        <w:rPr>
          <w:rFonts w:hint="eastAsia"/>
        </w:rPr>
        <w:t>PMI</w:t>
      </w:r>
      <w:r w:rsidRPr="001D737A">
        <w:rPr>
          <w:rFonts w:hint="eastAsia"/>
        </w:rPr>
        <w:t>震荡中小幅提升，季度均值在连续两个季度之后重返荣枯线上方。其中，制造业景气程度有所改善，但仍在荣枯线附近徘徊，服务业</w:t>
      </w:r>
      <w:r w:rsidRPr="001D737A">
        <w:rPr>
          <w:rFonts w:hint="eastAsia"/>
        </w:rPr>
        <w:t>PMI</w:t>
      </w:r>
      <w:r w:rsidRPr="001D737A">
        <w:rPr>
          <w:rFonts w:hint="eastAsia"/>
        </w:rPr>
        <w:t>回到荣枯线上方，显示出消费已领先于制造业呈现出复苏趋势。与此同时，受美国关税威胁、德法政治、俄乌战争谈判波折不稳定等因素的影响，欧元区产能利用率仍未得到恢复，企业和居民对未来经济前景的信心被削弱，居民消费支出和企业投资均表现疲弱，国别出现分化。就业方面，欧元区劳动力市场表现稳定，失业率继续锚定在低位。对外贸易方面，欧元区在</w:t>
      </w:r>
      <w:r w:rsidRPr="001D737A">
        <w:rPr>
          <w:rFonts w:hint="eastAsia"/>
        </w:rPr>
        <w:t>1</w:t>
      </w:r>
      <w:r w:rsidRPr="001D737A">
        <w:rPr>
          <w:rFonts w:hint="eastAsia"/>
        </w:rPr>
        <w:t>月仍维持贸易顺差，但其顺差额度出现大幅缩减，其中与中国的贸易逆差扩大。通胀方面，欧元区通胀率整体出现可控趋势，今年通胀有望回归</w:t>
      </w:r>
      <w:r w:rsidRPr="001D737A">
        <w:rPr>
          <w:rFonts w:hint="eastAsia"/>
        </w:rPr>
        <w:t>2%</w:t>
      </w:r>
      <w:r w:rsidRPr="001D737A">
        <w:rPr>
          <w:rFonts w:hint="eastAsia"/>
        </w:rPr>
        <w:t>的目标，其中能源价格出现下降，但服务价格仍展现出较强粘性，同比增速仍处于高位。通胀控制为货币政策创造空间，欧洲央行在</w:t>
      </w:r>
      <w:r w:rsidRPr="001D737A">
        <w:rPr>
          <w:rFonts w:hint="eastAsia"/>
        </w:rPr>
        <w:t>1</w:t>
      </w:r>
      <w:r w:rsidRPr="001D737A">
        <w:rPr>
          <w:rFonts w:hint="eastAsia"/>
        </w:rPr>
        <w:t>月进行降息，将继续维持宽松政策。随着欧洲对美国采取报复性关税，未来欧洲经济增长仍存在不确定性。</w:t>
      </w:r>
    </w:p>
    <w:p w14:paraId="5A77DE77" w14:textId="6C1AF12D" w:rsidR="001D737A" w:rsidRDefault="006208B3">
      <w:pPr>
        <w:pStyle w:val="10"/>
        <w:rPr>
          <w:rStyle w:val="af7"/>
          <w:noProof/>
        </w:rPr>
      </w:pPr>
      <w:hyperlink w:anchor="_Toc196364975" w:history="1">
        <w:r w:rsidR="001D737A" w:rsidRPr="00044597">
          <w:rPr>
            <w:rStyle w:val="af7"/>
            <w:rFonts w:hint="eastAsia"/>
            <w:noProof/>
          </w:rPr>
          <w:t>日本：压力显现</w:t>
        </w:r>
        <w:r w:rsidR="001D737A">
          <w:rPr>
            <w:rFonts w:hint="eastAsia"/>
            <w:noProof/>
            <w:webHidden/>
          </w:rPr>
          <w:tab/>
        </w:r>
        <w:r w:rsidR="001D737A">
          <w:rPr>
            <w:rFonts w:hint="eastAsia"/>
            <w:noProof/>
            <w:webHidden/>
          </w:rPr>
          <w:fldChar w:fldCharType="begin"/>
        </w:r>
        <w:r w:rsidR="001D737A">
          <w:rPr>
            <w:rFonts w:hint="eastAsia"/>
            <w:noProof/>
            <w:webHidden/>
          </w:rPr>
          <w:instrText xml:space="preserve"> </w:instrText>
        </w:r>
        <w:r w:rsidR="001D737A">
          <w:rPr>
            <w:noProof/>
            <w:webHidden/>
          </w:rPr>
          <w:instrText>PAGEREF _Toc196364975 \h</w:instrText>
        </w:r>
        <w:r w:rsidR="001D737A">
          <w:rPr>
            <w:rFonts w:hint="eastAsia"/>
            <w:noProof/>
            <w:webHidden/>
          </w:rPr>
          <w:instrText xml:space="preserve"> </w:instrText>
        </w:r>
        <w:r w:rsidR="001D737A">
          <w:rPr>
            <w:rFonts w:hint="eastAsia"/>
            <w:noProof/>
            <w:webHidden/>
          </w:rPr>
        </w:r>
        <w:r w:rsidR="001D737A">
          <w:rPr>
            <w:rFonts w:hint="eastAsia"/>
            <w:noProof/>
            <w:webHidden/>
          </w:rPr>
          <w:fldChar w:fldCharType="separate"/>
        </w:r>
        <w:r w:rsidR="00530ED7">
          <w:rPr>
            <w:noProof/>
            <w:webHidden/>
          </w:rPr>
          <w:t>17</w:t>
        </w:r>
        <w:r w:rsidR="001D737A">
          <w:rPr>
            <w:rFonts w:hint="eastAsia"/>
            <w:noProof/>
            <w:webHidden/>
          </w:rPr>
          <w:fldChar w:fldCharType="end"/>
        </w:r>
      </w:hyperlink>
    </w:p>
    <w:p w14:paraId="33572E2E" w14:textId="5FF2389D" w:rsidR="001D737A" w:rsidRPr="001D737A" w:rsidRDefault="001D737A" w:rsidP="001D737A">
      <w:pPr>
        <w:pStyle w:val="20"/>
      </w:pPr>
      <w:r w:rsidRPr="001D737A">
        <w:rPr>
          <w:rFonts w:hint="eastAsia"/>
        </w:rPr>
        <w:t>2025</w:t>
      </w:r>
      <w:r w:rsidRPr="001D737A">
        <w:rPr>
          <w:rFonts w:hint="eastAsia"/>
        </w:rPr>
        <w:t>年</w:t>
      </w:r>
      <w:r w:rsidR="00032ADB">
        <w:rPr>
          <w:rFonts w:hint="eastAsia"/>
        </w:rPr>
        <w:t>1</w:t>
      </w:r>
      <w:r w:rsidRPr="001D737A">
        <w:rPr>
          <w:rFonts w:hint="eastAsia"/>
        </w:rPr>
        <w:t>季度，日本经济亮点有限。制造业</w:t>
      </w:r>
      <w:r w:rsidRPr="001D737A">
        <w:rPr>
          <w:rFonts w:hint="eastAsia"/>
        </w:rPr>
        <w:t>PMI</w:t>
      </w:r>
      <w:r w:rsidRPr="001D737A">
        <w:rPr>
          <w:rFonts w:hint="eastAsia"/>
        </w:rPr>
        <w:t>显著下滑，服务业</w:t>
      </w:r>
      <w:r w:rsidRPr="001D737A">
        <w:rPr>
          <w:rFonts w:hint="eastAsia"/>
        </w:rPr>
        <w:t>PMI</w:t>
      </w:r>
      <w:r w:rsidRPr="001D737A">
        <w:rPr>
          <w:rFonts w:hint="eastAsia"/>
        </w:rPr>
        <w:t>则有一定反弹。随着物价不断上升，日本民众的实际收入再次恶化，基本消化掉了</w:t>
      </w:r>
      <w:r w:rsidRPr="001D737A">
        <w:rPr>
          <w:rFonts w:hint="eastAsia"/>
        </w:rPr>
        <w:t>2024</w:t>
      </w:r>
      <w:r w:rsidRPr="001D737A">
        <w:rPr>
          <w:rFonts w:hint="eastAsia"/>
        </w:rPr>
        <w:t>年“春斗”的成果。实际收入的恶化也连累了消费，日本依然面临消费不足的情况，由于价格上涨的项目主要集中在食品和能源等刚需领域，日本民众的体感欠佳。日本央行在</w:t>
      </w:r>
      <w:r w:rsidRPr="001D737A">
        <w:rPr>
          <w:rFonts w:hint="eastAsia"/>
        </w:rPr>
        <w:t>1</w:t>
      </w:r>
      <w:r w:rsidRPr="001D737A">
        <w:rPr>
          <w:rFonts w:hint="eastAsia"/>
        </w:rPr>
        <w:t>月继续收紧货币政策，在</w:t>
      </w:r>
      <w:r w:rsidRPr="001D737A">
        <w:rPr>
          <w:rFonts w:hint="eastAsia"/>
        </w:rPr>
        <w:t>3</w:t>
      </w:r>
      <w:r w:rsidRPr="001D737A">
        <w:rPr>
          <w:rFonts w:hint="eastAsia"/>
        </w:rPr>
        <w:t>月则按兵不动。不过，</w:t>
      </w:r>
      <w:r w:rsidRPr="001D737A">
        <w:rPr>
          <w:rFonts w:hint="eastAsia"/>
        </w:rPr>
        <w:lastRenderedPageBreak/>
        <w:t>面对物价再次上升，以及复杂的国外经济环境，在第二季度“加息”未必可行。金融市场方面，日元对美元保持升值态势，日本股市随美国股市一起下调。预计日元的涨势和日本股市的跌势并未结束。后续金融市场动荡，日元升值，以及川普的贸易政策带来的影响需高度关注。</w:t>
      </w:r>
    </w:p>
    <w:p w14:paraId="439E5059" w14:textId="72657FAD" w:rsidR="001D737A" w:rsidRDefault="006208B3">
      <w:pPr>
        <w:pStyle w:val="10"/>
        <w:rPr>
          <w:rStyle w:val="af7"/>
          <w:noProof/>
        </w:rPr>
      </w:pPr>
      <w:hyperlink w:anchor="_Toc196364976" w:history="1">
        <w:r w:rsidR="001D737A" w:rsidRPr="00044597">
          <w:rPr>
            <w:rStyle w:val="af7"/>
            <w:rFonts w:hint="eastAsia"/>
            <w:noProof/>
          </w:rPr>
          <w:t>东盟韩国：脆弱性上升</w:t>
        </w:r>
        <w:r w:rsidR="001D737A">
          <w:rPr>
            <w:rFonts w:hint="eastAsia"/>
            <w:noProof/>
            <w:webHidden/>
          </w:rPr>
          <w:tab/>
        </w:r>
        <w:r w:rsidR="001D737A">
          <w:rPr>
            <w:rFonts w:hint="eastAsia"/>
            <w:noProof/>
            <w:webHidden/>
          </w:rPr>
          <w:fldChar w:fldCharType="begin"/>
        </w:r>
        <w:r w:rsidR="001D737A">
          <w:rPr>
            <w:rFonts w:hint="eastAsia"/>
            <w:noProof/>
            <w:webHidden/>
          </w:rPr>
          <w:instrText xml:space="preserve"> </w:instrText>
        </w:r>
        <w:r w:rsidR="001D737A">
          <w:rPr>
            <w:noProof/>
            <w:webHidden/>
          </w:rPr>
          <w:instrText>PAGEREF _Toc196364976 \h</w:instrText>
        </w:r>
        <w:r w:rsidR="001D737A">
          <w:rPr>
            <w:rFonts w:hint="eastAsia"/>
            <w:noProof/>
            <w:webHidden/>
          </w:rPr>
          <w:instrText xml:space="preserve"> </w:instrText>
        </w:r>
        <w:r w:rsidR="001D737A">
          <w:rPr>
            <w:rFonts w:hint="eastAsia"/>
            <w:noProof/>
            <w:webHidden/>
          </w:rPr>
        </w:r>
        <w:r w:rsidR="001D737A">
          <w:rPr>
            <w:rFonts w:hint="eastAsia"/>
            <w:noProof/>
            <w:webHidden/>
          </w:rPr>
          <w:fldChar w:fldCharType="separate"/>
        </w:r>
        <w:r w:rsidR="00530ED7">
          <w:rPr>
            <w:noProof/>
            <w:webHidden/>
          </w:rPr>
          <w:t>26</w:t>
        </w:r>
        <w:r w:rsidR="001D737A">
          <w:rPr>
            <w:rFonts w:hint="eastAsia"/>
            <w:noProof/>
            <w:webHidden/>
          </w:rPr>
          <w:fldChar w:fldCharType="end"/>
        </w:r>
      </w:hyperlink>
    </w:p>
    <w:p w14:paraId="674D0449" w14:textId="36687235" w:rsidR="001D737A" w:rsidRPr="001D737A" w:rsidRDefault="001D737A" w:rsidP="001D737A">
      <w:pPr>
        <w:pStyle w:val="20"/>
      </w:pPr>
      <w:r w:rsidRPr="001D737A">
        <w:rPr>
          <w:rFonts w:hint="eastAsia"/>
        </w:rPr>
        <w:t>2025</w:t>
      </w:r>
      <w:r w:rsidRPr="001D737A">
        <w:rPr>
          <w:rFonts w:hint="eastAsia"/>
        </w:rPr>
        <w:t>年</w:t>
      </w:r>
      <w:r w:rsidRPr="001D737A">
        <w:rPr>
          <w:rFonts w:hint="eastAsia"/>
        </w:rPr>
        <w:t>1</w:t>
      </w:r>
      <w:r w:rsidRPr="001D737A">
        <w:rPr>
          <w:rFonts w:hint="eastAsia"/>
        </w:rPr>
        <w:t>季度，东盟整体制造业</w:t>
      </w:r>
      <w:r w:rsidRPr="001D737A">
        <w:rPr>
          <w:rFonts w:hint="eastAsia"/>
        </w:rPr>
        <w:t>PMI</w:t>
      </w:r>
      <w:r w:rsidRPr="001D737A">
        <w:rPr>
          <w:rFonts w:hint="eastAsia"/>
        </w:rPr>
        <w:t>在荣枯线之上，整体波动企稳；印尼带动东盟整体</w:t>
      </w:r>
      <w:r w:rsidRPr="001D737A">
        <w:rPr>
          <w:rFonts w:hint="eastAsia"/>
        </w:rPr>
        <w:t>PMI</w:t>
      </w:r>
      <w:r w:rsidRPr="001D737A">
        <w:rPr>
          <w:rFonts w:hint="eastAsia"/>
        </w:rPr>
        <w:t>进入景气区间，区内前沿经济体</w:t>
      </w:r>
      <w:r w:rsidRPr="001D737A">
        <w:rPr>
          <w:rFonts w:hint="eastAsia"/>
        </w:rPr>
        <w:t>PMI</w:t>
      </w:r>
      <w:r w:rsidRPr="001D737A">
        <w:rPr>
          <w:rFonts w:hint="eastAsia"/>
        </w:rPr>
        <w:t>稳定在荣枯线附近；新加坡表现相对稳健，马来西亚仍处在荣枯线以下。区内通胀水平在本季度出现分化，前沿经济体通货膨胀有上行态势，内需经济体要警惕进入紧缩区间；美元指数趋弱背景下，区内货币和股票市场走势出现分化，其中印尼汇股双跌压力较大。展望第</w:t>
      </w:r>
      <w:r w:rsidRPr="001D737A">
        <w:rPr>
          <w:rFonts w:hint="eastAsia"/>
        </w:rPr>
        <w:t>2</w:t>
      </w:r>
      <w:r w:rsidRPr="001D737A">
        <w:rPr>
          <w:rFonts w:hint="eastAsia"/>
        </w:rPr>
        <w:t>季度，“对等关税”相关政策冲击下，区域经济体脆弱性上升，表现为区域金融市场波动风险和供应链重构风险加剧，应依托东盟、清迈倡议、区域贸易协定等平台机制，深化区域金融和区域合作。</w:t>
      </w:r>
    </w:p>
    <w:p w14:paraId="2B7D4D5C" w14:textId="3E4811C0" w:rsidR="001D737A" w:rsidRDefault="006208B3">
      <w:pPr>
        <w:pStyle w:val="10"/>
        <w:rPr>
          <w:rStyle w:val="af7"/>
          <w:noProof/>
        </w:rPr>
      </w:pPr>
      <w:hyperlink w:anchor="_Toc196364977" w:history="1">
        <w:r w:rsidR="001D737A" w:rsidRPr="00044597">
          <w:rPr>
            <w:rStyle w:val="af7"/>
            <w:rFonts w:eastAsia="宋体" w:hint="eastAsia"/>
            <w:noProof/>
          </w:rPr>
          <w:t>金砖国家：通胀与货币政策分化，对华贸易增速下降</w:t>
        </w:r>
        <w:r w:rsidR="001D737A">
          <w:rPr>
            <w:rFonts w:hint="eastAsia"/>
            <w:noProof/>
            <w:webHidden/>
          </w:rPr>
          <w:tab/>
        </w:r>
        <w:r w:rsidR="001D737A">
          <w:rPr>
            <w:rFonts w:hint="eastAsia"/>
            <w:noProof/>
            <w:webHidden/>
          </w:rPr>
          <w:fldChar w:fldCharType="begin"/>
        </w:r>
        <w:r w:rsidR="001D737A">
          <w:rPr>
            <w:rFonts w:hint="eastAsia"/>
            <w:noProof/>
            <w:webHidden/>
          </w:rPr>
          <w:instrText xml:space="preserve"> </w:instrText>
        </w:r>
        <w:r w:rsidR="001D737A">
          <w:rPr>
            <w:noProof/>
            <w:webHidden/>
          </w:rPr>
          <w:instrText>PAGEREF _Toc196364977 \h</w:instrText>
        </w:r>
        <w:r w:rsidR="001D737A">
          <w:rPr>
            <w:rFonts w:hint="eastAsia"/>
            <w:noProof/>
            <w:webHidden/>
          </w:rPr>
          <w:instrText xml:space="preserve"> </w:instrText>
        </w:r>
        <w:r w:rsidR="001D737A">
          <w:rPr>
            <w:rFonts w:hint="eastAsia"/>
            <w:noProof/>
            <w:webHidden/>
          </w:rPr>
        </w:r>
        <w:r w:rsidR="001D737A">
          <w:rPr>
            <w:rFonts w:hint="eastAsia"/>
            <w:noProof/>
            <w:webHidden/>
          </w:rPr>
          <w:fldChar w:fldCharType="separate"/>
        </w:r>
        <w:r w:rsidR="00530ED7">
          <w:rPr>
            <w:noProof/>
            <w:webHidden/>
          </w:rPr>
          <w:t>42</w:t>
        </w:r>
        <w:r w:rsidR="001D737A">
          <w:rPr>
            <w:rFonts w:hint="eastAsia"/>
            <w:noProof/>
            <w:webHidden/>
          </w:rPr>
          <w:fldChar w:fldCharType="end"/>
        </w:r>
      </w:hyperlink>
    </w:p>
    <w:p w14:paraId="35B75AA3" w14:textId="135EC997" w:rsidR="00DB2622" w:rsidRPr="00DB2622" w:rsidRDefault="009373B4" w:rsidP="00DB2622">
      <w:pPr>
        <w:pStyle w:val="20"/>
      </w:pPr>
      <w:r w:rsidRPr="009373B4">
        <w:rPr>
          <w:rFonts w:hint="eastAsia"/>
        </w:rPr>
        <w:t>2025</w:t>
      </w:r>
      <w:r w:rsidRPr="009373B4">
        <w:rPr>
          <w:rFonts w:hint="eastAsia"/>
        </w:rPr>
        <w:t>年</w:t>
      </w:r>
      <w:r w:rsidRPr="009373B4">
        <w:rPr>
          <w:rFonts w:hint="eastAsia"/>
        </w:rPr>
        <w:t>1</w:t>
      </w:r>
      <w:r w:rsidRPr="009373B4">
        <w:rPr>
          <w:rFonts w:hint="eastAsia"/>
        </w:rPr>
        <w:t>季度</w:t>
      </w:r>
      <w:r w:rsidR="00DB2622" w:rsidRPr="00DB2622">
        <w:rPr>
          <w:rFonts w:hint="eastAsia"/>
        </w:rPr>
        <w:t>，金砖四国经济增长总体延续上季度增长态势，印度经济保持稳步增长，巴西经济复苏动能继续转弱，南非经济增长依然疲弱，俄罗斯经济延续短期韧性。对华贸易方面，中国与金砖国家贸易增速较上季度进一步显著下降，占中国对外贸易比重小幅下降。其中，出口与进口同比增速均显著下滑。通胀方面，俄罗斯通胀继续上升，压力依然较大，南非通胀降至低位，印度通胀回落，巴西通胀进一步反弹，略超出目标区间。货币政策方面，俄罗斯央行按兵不动保持高利率，巴西央行大幅加息，印度央行小幅降息开启宽松进程，南非央行继续小幅降息。</w:t>
      </w:r>
    </w:p>
    <w:p w14:paraId="010D92E6" w14:textId="732395D3" w:rsidR="001D737A" w:rsidRDefault="006208B3">
      <w:pPr>
        <w:pStyle w:val="10"/>
        <w:rPr>
          <w:rStyle w:val="af7"/>
          <w:noProof/>
        </w:rPr>
      </w:pPr>
      <w:hyperlink w:anchor="_Toc196364978" w:history="1">
        <w:r w:rsidR="001D737A" w:rsidRPr="00044597">
          <w:rPr>
            <w:rStyle w:val="af7"/>
            <w:rFonts w:ascii="Times" w:eastAsia="宋体" w:hAnsi="Times" w:hint="eastAsia"/>
            <w:bCs/>
            <w:noProof/>
            <w:kern w:val="32"/>
          </w:rPr>
          <w:t>全球金融市场：美元资产急剧动荡</w:t>
        </w:r>
        <w:r w:rsidR="001D737A">
          <w:rPr>
            <w:rFonts w:hint="eastAsia"/>
            <w:noProof/>
            <w:webHidden/>
          </w:rPr>
          <w:tab/>
        </w:r>
        <w:r w:rsidR="001D737A">
          <w:rPr>
            <w:rFonts w:hint="eastAsia"/>
            <w:noProof/>
            <w:webHidden/>
          </w:rPr>
          <w:fldChar w:fldCharType="begin"/>
        </w:r>
        <w:r w:rsidR="001D737A">
          <w:rPr>
            <w:rFonts w:hint="eastAsia"/>
            <w:noProof/>
            <w:webHidden/>
          </w:rPr>
          <w:instrText xml:space="preserve"> </w:instrText>
        </w:r>
        <w:r w:rsidR="001D737A">
          <w:rPr>
            <w:noProof/>
            <w:webHidden/>
          </w:rPr>
          <w:instrText>PAGEREF _Toc196364978 \h</w:instrText>
        </w:r>
        <w:r w:rsidR="001D737A">
          <w:rPr>
            <w:rFonts w:hint="eastAsia"/>
            <w:noProof/>
            <w:webHidden/>
          </w:rPr>
          <w:instrText xml:space="preserve"> </w:instrText>
        </w:r>
        <w:r w:rsidR="001D737A">
          <w:rPr>
            <w:rFonts w:hint="eastAsia"/>
            <w:noProof/>
            <w:webHidden/>
          </w:rPr>
        </w:r>
        <w:r w:rsidR="001D737A">
          <w:rPr>
            <w:rFonts w:hint="eastAsia"/>
            <w:noProof/>
            <w:webHidden/>
          </w:rPr>
          <w:fldChar w:fldCharType="separate"/>
        </w:r>
        <w:r w:rsidR="00530ED7">
          <w:rPr>
            <w:noProof/>
            <w:webHidden/>
          </w:rPr>
          <w:t>49</w:t>
        </w:r>
        <w:r w:rsidR="001D737A">
          <w:rPr>
            <w:rFonts w:hint="eastAsia"/>
            <w:noProof/>
            <w:webHidden/>
          </w:rPr>
          <w:fldChar w:fldCharType="end"/>
        </w:r>
      </w:hyperlink>
    </w:p>
    <w:p w14:paraId="70F2AFFB" w14:textId="2CBF724D" w:rsidR="00DB2622" w:rsidRPr="00DB2622" w:rsidRDefault="00DB2622" w:rsidP="00DB2622">
      <w:pPr>
        <w:pStyle w:val="20"/>
      </w:pPr>
      <w:r w:rsidRPr="00DB2622">
        <w:rPr>
          <w:rFonts w:hint="eastAsia"/>
        </w:rPr>
        <w:t>2025</w:t>
      </w:r>
      <w:r w:rsidRPr="00DB2622">
        <w:rPr>
          <w:rFonts w:hint="eastAsia"/>
        </w:rPr>
        <w:t>年</w:t>
      </w:r>
      <w:r w:rsidRPr="00DB2622">
        <w:rPr>
          <w:rFonts w:hint="eastAsia"/>
        </w:rPr>
        <w:t>1</w:t>
      </w:r>
      <w:r w:rsidRPr="00DB2622">
        <w:rPr>
          <w:rFonts w:hint="eastAsia"/>
        </w:rPr>
        <w:t>季度，特朗普关税政策引发全球金融市场动荡，美股</w:t>
      </w:r>
      <w:r w:rsidRPr="00DB2622">
        <w:rPr>
          <w:rFonts w:hint="eastAsia"/>
        </w:rPr>
        <w:t>VIX</w:t>
      </w:r>
      <w:r w:rsidRPr="00DB2622">
        <w:rPr>
          <w:rFonts w:hint="eastAsia"/>
        </w:rPr>
        <w:t>指数升至</w:t>
      </w:r>
      <w:r w:rsidRPr="00DB2622">
        <w:rPr>
          <w:rFonts w:hint="eastAsia"/>
        </w:rPr>
        <w:t>50%</w:t>
      </w:r>
      <w:r w:rsidRPr="00DB2622">
        <w:rPr>
          <w:rFonts w:hint="eastAsia"/>
        </w:rPr>
        <w:t>以上。美元贬值，日元、欧元兑美元升值，人民币、印度卢比基本稳定。美股下跌，欧洲股市和新兴市场股市上涨。在特朗普关税政策冲击下，全球主要经济体股市波动明显加大。长期利率方面，美国十年期国债收益率在一季度下行，其他主要经济体长期利率上行。黄金价格和铜价大涨。但“对等关税”清单公布后，美债走势出现了迅速的逆转，十年期美债和高收益债收益率均出</w:t>
      </w:r>
      <w:r w:rsidRPr="00DB2622">
        <w:rPr>
          <w:rFonts w:hint="eastAsia"/>
        </w:rPr>
        <w:lastRenderedPageBreak/>
        <w:t>现明显上行。美元、美股、美债快速下跌，全球风险资产普遍下跌，美股、欧股一周内下跌</w:t>
      </w:r>
      <w:r w:rsidRPr="00DB2622">
        <w:rPr>
          <w:rFonts w:hint="eastAsia"/>
        </w:rPr>
        <w:t>10%</w:t>
      </w:r>
      <w:r w:rsidRPr="00DB2622">
        <w:rPr>
          <w:rFonts w:hint="eastAsia"/>
        </w:rPr>
        <w:t>，上证综指下跌</w:t>
      </w:r>
      <w:r w:rsidRPr="00DB2622">
        <w:rPr>
          <w:rFonts w:hint="eastAsia"/>
        </w:rPr>
        <w:t>6%</w:t>
      </w:r>
      <w:r w:rsidRPr="00DB2622">
        <w:rPr>
          <w:rFonts w:hint="eastAsia"/>
        </w:rPr>
        <w:t>，欧元、日元继续升值。黄金价格在平仓抛售压力下大幅下跌，但此轮资产价格急剧下跌还暂未导致美元流动性不足。</w:t>
      </w:r>
      <w:r w:rsidRPr="00DB2622">
        <w:rPr>
          <w:rFonts w:hint="eastAsia"/>
        </w:rPr>
        <w:t>TED</w:t>
      </w:r>
      <w:r w:rsidRPr="00DB2622">
        <w:rPr>
          <w:rFonts w:hint="eastAsia"/>
        </w:rPr>
        <w:t>利差有所抬升，但仍处在负值的较低区间。特朗普执政风格不确定性过高，美国金融市场波动加大，美国国债不再是“</w:t>
      </w:r>
      <w:r w:rsidRPr="00DB2622">
        <w:rPr>
          <w:rFonts w:hint="eastAsia"/>
        </w:rPr>
        <w:t>flight to safety</w:t>
      </w:r>
      <w:r w:rsidRPr="00DB2622">
        <w:rPr>
          <w:rFonts w:hint="eastAsia"/>
        </w:rPr>
        <w:t>”的首选，美国反而成为全球金融市场的风险源头，美股也或在震荡中下跌。</w:t>
      </w:r>
    </w:p>
    <w:p w14:paraId="00C9382E" w14:textId="6DBFE939" w:rsidR="001D737A" w:rsidRDefault="006208B3">
      <w:pPr>
        <w:pStyle w:val="10"/>
        <w:rPr>
          <w:rStyle w:val="af7"/>
          <w:noProof/>
        </w:rPr>
      </w:pPr>
      <w:hyperlink w:anchor="_Toc196364979" w:history="1">
        <w:r w:rsidR="001D737A" w:rsidRPr="00044597">
          <w:rPr>
            <w:rStyle w:val="af7"/>
            <w:rFonts w:hint="eastAsia"/>
            <w:noProof/>
          </w:rPr>
          <w:t>大宗商品市场：关税风险冲击需求，供给仍偏过剩</w:t>
        </w:r>
        <w:r w:rsidR="001D737A">
          <w:rPr>
            <w:rFonts w:hint="eastAsia"/>
            <w:noProof/>
            <w:webHidden/>
          </w:rPr>
          <w:tab/>
        </w:r>
        <w:r w:rsidR="001D737A">
          <w:rPr>
            <w:rFonts w:hint="eastAsia"/>
            <w:noProof/>
            <w:webHidden/>
          </w:rPr>
          <w:fldChar w:fldCharType="begin"/>
        </w:r>
        <w:r w:rsidR="001D737A">
          <w:rPr>
            <w:rFonts w:hint="eastAsia"/>
            <w:noProof/>
            <w:webHidden/>
          </w:rPr>
          <w:instrText xml:space="preserve"> </w:instrText>
        </w:r>
        <w:r w:rsidR="001D737A">
          <w:rPr>
            <w:noProof/>
            <w:webHidden/>
          </w:rPr>
          <w:instrText>PAGEREF _Toc196364979 \h</w:instrText>
        </w:r>
        <w:r w:rsidR="001D737A">
          <w:rPr>
            <w:rFonts w:hint="eastAsia"/>
            <w:noProof/>
            <w:webHidden/>
          </w:rPr>
          <w:instrText xml:space="preserve"> </w:instrText>
        </w:r>
        <w:r w:rsidR="001D737A">
          <w:rPr>
            <w:rFonts w:hint="eastAsia"/>
            <w:noProof/>
            <w:webHidden/>
          </w:rPr>
        </w:r>
        <w:r w:rsidR="001D737A">
          <w:rPr>
            <w:rFonts w:hint="eastAsia"/>
            <w:noProof/>
            <w:webHidden/>
          </w:rPr>
          <w:fldChar w:fldCharType="separate"/>
        </w:r>
        <w:r w:rsidR="00530ED7">
          <w:rPr>
            <w:noProof/>
            <w:webHidden/>
          </w:rPr>
          <w:t>63</w:t>
        </w:r>
        <w:r w:rsidR="001D737A">
          <w:rPr>
            <w:rFonts w:hint="eastAsia"/>
            <w:noProof/>
            <w:webHidden/>
          </w:rPr>
          <w:fldChar w:fldCharType="end"/>
        </w:r>
      </w:hyperlink>
    </w:p>
    <w:p w14:paraId="03C2901C" w14:textId="3FB82DEA" w:rsidR="00DB2622" w:rsidRPr="00DB2622" w:rsidRDefault="00DB2622" w:rsidP="00DB2622">
      <w:pPr>
        <w:pStyle w:val="20"/>
      </w:pPr>
      <w:r w:rsidRPr="00DB2622">
        <w:rPr>
          <w:rFonts w:hint="eastAsia"/>
        </w:rPr>
        <w:t>2025</w:t>
      </w:r>
      <w:r w:rsidRPr="00DB2622">
        <w:rPr>
          <w:rFonts w:hint="eastAsia"/>
        </w:rPr>
        <w:t>年</w:t>
      </w:r>
      <w:r w:rsidRPr="00DB2622">
        <w:rPr>
          <w:rFonts w:hint="eastAsia"/>
        </w:rPr>
        <w:t>1</w:t>
      </w:r>
      <w:r w:rsidRPr="00DB2622">
        <w:rPr>
          <w:rFonts w:hint="eastAsia"/>
        </w:rPr>
        <w:t>季度大宗商品价格震荡走弱，环比下跌</w:t>
      </w:r>
      <w:r w:rsidRPr="00DB2622">
        <w:rPr>
          <w:rFonts w:hint="eastAsia"/>
        </w:rPr>
        <w:t>10.2%</w:t>
      </w:r>
      <w:r w:rsidRPr="00DB2622">
        <w:rPr>
          <w:rFonts w:hint="eastAsia"/>
        </w:rPr>
        <w:t>。需求端受关税战预期和美国衰退风险提升冲击，较为疲弱。石油虽然季度均值高于上季度，但从年初至今震荡下行，中国进口反弹无法抵消美国增速降温和关税战带来的冲击。</w:t>
      </w:r>
      <w:r w:rsidRPr="00DB2622">
        <w:rPr>
          <w:rFonts w:hint="eastAsia"/>
        </w:rPr>
        <w:t>1</w:t>
      </w:r>
      <w:r w:rsidRPr="00DB2622">
        <w:rPr>
          <w:rFonts w:hint="eastAsia"/>
        </w:rPr>
        <w:t>季度金属价格先涨后跌，但表现出了需求的结构变化：整体来看，铜强于铝，铝强于铁矿石，体现了经济转型对金属品种需求结构的影响。同时，各类金属下游需求结构也释放出需求向“新质生产力”偏移的信号。</w:t>
      </w:r>
    </w:p>
    <w:p w14:paraId="50199D95" w14:textId="5171E605" w:rsidR="001D737A" w:rsidRDefault="006208B3">
      <w:pPr>
        <w:pStyle w:val="10"/>
        <w:rPr>
          <w:rStyle w:val="af7"/>
          <w:noProof/>
        </w:rPr>
      </w:pPr>
      <w:hyperlink w:anchor="_Toc196364983" w:history="1">
        <w:r w:rsidR="001D737A" w:rsidRPr="00044597">
          <w:rPr>
            <w:rStyle w:val="af7"/>
            <w:rFonts w:hint="eastAsia"/>
            <w:noProof/>
          </w:rPr>
          <w:t>外贸专题：美国关税政策冲击全球贸易，我国出口面临较大下行风险</w:t>
        </w:r>
        <w:r w:rsidR="001D737A">
          <w:rPr>
            <w:rFonts w:hint="eastAsia"/>
            <w:noProof/>
            <w:webHidden/>
          </w:rPr>
          <w:tab/>
        </w:r>
        <w:r w:rsidR="001D737A">
          <w:rPr>
            <w:rFonts w:hint="eastAsia"/>
            <w:noProof/>
            <w:webHidden/>
          </w:rPr>
          <w:fldChar w:fldCharType="begin"/>
        </w:r>
        <w:r w:rsidR="001D737A">
          <w:rPr>
            <w:rFonts w:hint="eastAsia"/>
            <w:noProof/>
            <w:webHidden/>
          </w:rPr>
          <w:instrText xml:space="preserve"> </w:instrText>
        </w:r>
        <w:r w:rsidR="001D737A">
          <w:rPr>
            <w:noProof/>
            <w:webHidden/>
          </w:rPr>
          <w:instrText>PAGEREF _Toc196364983 \h</w:instrText>
        </w:r>
        <w:r w:rsidR="001D737A">
          <w:rPr>
            <w:rFonts w:hint="eastAsia"/>
            <w:noProof/>
            <w:webHidden/>
          </w:rPr>
          <w:instrText xml:space="preserve"> </w:instrText>
        </w:r>
        <w:r w:rsidR="001D737A">
          <w:rPr>
            <w:rFonts w:hint="eastAsia"/>
            <w:noProof/>
            <w:webHidden/>
          </w:rPr>
        </w:r>
        <w:r w:rsidR="001D737A">
          <w:rPr>
            <w:rFonts w:hint="eastAsia"/>
            <w:noProof/>
            <w:webHidden/>
          </w:rPr>
          <w:fldChar w:fldCharType="separate"/>
        </w:r>
        <w:r w:rsidR="00530ED7">
          <w:rPr>
            <w:noProof/>
            <w:webHidden/>
          </w:rPr>
          <w:t>72</w:t>
        </w:r>
        <w:r w:rsidR="001D737A">
          <w:rPr>
            <w:rFonts w:hint="eastAsia"/>
            <w:noProof/>
            <w:webHidden/>
          </w:rPr>
          <w:fldChar w:fldCharType="end"/>
        </w:r>
      </w:hyperlink>
    </w:p>
    <w:p w14:paraId="09D00D7F" w14:textId="3DA1CEEA" w:rsidR="00DB2622" w:rsidRPr="00DB2622" w:rsidRDefault="00DB2622" w:rsidP="00DB2622">
      <w:pPr>
        <w:ind w:firstLine="480"/>
        <w:rPr>
          <w:noProof/>
          <w:lang w:eastAsia="zh-CN"/>
        </w:rPr>
      </w:pPr>
      <w:r w:rsidRPr="00DB2622">
        <w:rPr>
          <w:rFonts w:hint="eastAsia"/>
          <w:noProof/>
          <w:lang w:eastAsia="zh-CN"/>
        </w:rPr>
        <w:t>2025</w:t>
      </w:r>
      <w:r w:rsidRPr="00DB2622">
        <w:rPr>
          <w:rFonts w:hint="eastAsia"/>
          <w:noProof/>
          <w:lang w:eastAsia="zh-CN"/>
        </w:rPr>
        <w:t>年</w:t>
      </w:r>
      <w:r w:rsidRPr="00DB2622">
        <w:rPr>
          <w:rFonts w:hint="eastAsia"/>
          <w:noProof/>
          <w:lang w:eastAsia="zh-CN"/>
        </w:rPr>
        <w:t>1</w:t>
      </w:r>
      <w:r w:rsidRPr="00DB2622">
        <w:rPr>
          <w:rFonts w:hint="eastAsia"/>
          <w:noProof/>
          <w:lang w:eastAsia="zh-CN"/>
        </w:rPr>
        <w:t>季度，中国出口（美元）同比增长</w:t>
      </w:r>
      <w:r w:rsidRPr="00DB2622">
        <w:rPr>
          <w:rFonts w:hint="eastAsia"/>
          <w:noProof/>
          <w:lang w:eastAsia="zh-CN"/>
        </w:rPr>
        <w:t>5.7%</w:t>
      </w:r>
      <w:r w:rsidRPr="00DB2622">
        <w:rPr>
          <w:rFonts w:hint="eastAsia"/>
          <w:noProof/>
          <w:lang w:eastAsia="zh-CN"/>
        </w:rPr>
        <w:t>，较上季度下降</w:t>
      </w:r>
      <w:r w:rsidRPr="00DB2622">
        <w:rPr>
          <w:rFonts w:hint="eastAsia"/>
          <w:noProof/>
          <w:lang w:eastAsia="zh-CN"/>
        </w:rPr>
        <w:t>4.2</w:t>
      </w:r>
      <w:r w:rsidRPr="00DB2622">
        <w:rPr>
          <w:rFonts w:hint="eastAsia"/>
          <w:noProof/>
          <w:lang w:eastAsia="zh-CN"/>
        </w:rPr>
        <w:t>个百分点；进口同比下降</w:t>
      </w:r>
      <w:r w:rsidRPr="00DB2622">
        <w:rPr>
          <w:rFonts w:hint="eastAsia"/>
          <w:noProof/>
          <w:lang w:eastAsia="zh-CN"/>
        </w:rPr>
        <w:t>7.0%</w:t>
      </w:r>
      <w:r w:rsidRPr="00DB2622">
        <w:rPr>
          <w:rFonts w:hint="eastAsia"/>
          <w:noProof/>
          <w:lang w:eastAsia="zh-CN"/>
        </w:rPr>
        <w:t>，降幅较上季度扩大</w:t>
      </w:r>
      <w:r w:rsidRPr="00DB2622">
        <w:rPr>
          <w:rFonts w:hint="eastAsia"/>
          <w:noProof/>
          <w:lang w:eastAsia="zh-CN"/>
        </w:rPr>
        <w:t>5.3</w:t>
      </w:r>
      <w:r w:rsidRPr="00DB2622">
        <w:rPr>
          <w:rFonts w:hint="eastAsia"/>
          <w:noProof/>
          <w:lang w:eastAsia="zh-CN"/>
        </w:rPr>
        <w:t>个百分点；货物贸易顺差总额为</w:t>
      </w:r>
      <w:r w:rsidRPr="00DB2622">
        <w:rPr>
          <w:rFonts w:hint="eastAsia"/>
          <w:noProof/>
          <w:lang w:eastAsia="zh-CN"/>
        </w:rPr>
        <w:t>2730</w:t>
      </w:r>
      <w:r w:rsidRPr="00DB2622">
        <w:rPr>
          <w:rFonts w:hint="eastAsia"/>
          <w:noProof/>
          <w:lang w:eastAsia="zh-CN"/>
        </w:rPr>
        <w:t>亿美元，同比提高</w:t>
      </w:r>
      <w:r w:rsidRPr="00DB2622">
        <w:rPr>
          <w:rFonts w:hint="eastAsia"/>
          <w:noProof/>
          <w:lang w:eastAsia="zh-CN"/>
        </w:rPr>
        <w:t>898</w:t>
      </w:r>
      <w:r w:rsidRPr="00DB2622">
        <w:rPr>
          <w:rFonts w:hint="eastAsia"/>
          <w:noProof/>
          <w:lang w:eastAsia="zh-CN"/>
        </w:rPr>
        <w:t>亿美元。</w:t>
      </w:r>
      <w:r w:rsidRPr="00DB2622">
        <w:rPr>
          <w:rFonts w:hint="eastAsia"/>
          <w:noProof/>
          <w:lang w:eastAsia="zh-CN"/>
        </w:rPr>
        <w:t>1-2</w:t>
      </w:r>
      <w:r w:rsidRPr="00DB2622">
        <w:rPr>
          <w:rFonts w:hint="eastAsia"/>
          <w:noProof/>
          <w:lang w:eastAsia="zh-CN"/>
        </w:rPr>
        <w:t>月，服务贸易逆差为</w:t>
      </w:r>
      <w:r w:rsidRPr="00DB2622">
        <w:rPr>
          <w:rFonts w:hint="eastAsia"/>
          <w:noProof/>
          <w:lang w:eastAsia="zh-CN"/>
        </w:rPr>
        <w:t>391</w:t>
      </w:r>
      <w:r w:rsidRPr="00DB2622">
        <w:rPr>
          <w:rFonts w:hint="eastAsia"/>
          <w:noProof/>
          <w:lang w:eastAsia="zh-CN"/>
        </w:rPr>
        <w:t>亿美元，与去年同期基本持平。</w:t>
      </w:r>
      <w:r w:rsidRPr="00DB2622">
        <w:rPr>
          <w:rFonts w:hint="eastAsia"/>
          <w:noProof/>
          <w:lang w:eastAsia="zh-CN"/>
        </w:rPr>
        <w:t>1</w:t>
      </w:r>
      <w:r w:rsidRPr="00DB2622">
        <w:rPr>
          <w:rFonts w:hint="eastAsia"/>
          <w:noProof/>
          <w:lang w:eastAsia="zh-CN"/>
        </w:rPr>
        <w:t>季度经常账户顺差占</w:t>
      </w:r>
      <w:r w:rsidRPr="00DB2622">
        <w:rPr>
          <w:rFonts w:hint="eastAsia"/>
          <w:noProof/>
          <w:lang w:eastAsia="zh-CN"/>
        </w:rPr>
        <w:t>GDP</w:t>
      </w:r>
      <w:r w:rsidRPr="00DB2622">
        <w:rPr>
          <w:rFonts w:hint="eastAsia"/>
          <w:noProof/>
          <w:lang w:eastAsia="zh-CN"/>
        </w:rPr>
        <w:t>比重预估在</w:t>
      </w:r>
      <w:r w:rsidRPr="00DB2622">
        <w:rPr>
          <w:rFonts w:hint="eastAsia"/>
          <w:noProof/>
          <w:lang w:eastAsia="zh-CN"/>
        </w:rPr>
        <w:t>2.8%</w:t>
      </w:r>
      <w:r w:rsidRPr="00DB2622">
        <w:rPr>
          <w:rFonts w:hint="eastAsia"/>
          <w:noProof/>
          <w:lang w:eastAsia="zh-CN"/>
        </w:rPr>
        <w:t>左右。从原因看，拖累我国出口增长的因素包括美国关税政策、全球经济前景恶化，支撑因素则包括主要经济体货币宽松效应、我国相对价格优势以及抢出口效应。当前，美国对除加拿大和墨西哥外的几乎所有国家（地区）均征收</w:t>
      </w:r>
      <w:r w:rsidRPr="00DB2622">
        <w:rPr>
          <w:rFonts w:hint="eastAsia"/>
          <w:noProof/>
          <w:lang w:eastAsia="zh-CN"/>
        </w:rPr>
        <w:t>10%</w:t>
      </w:r>
      <w:r w:rsidRPr="00DB2622">
        <w:rPr>
          <w:rFonts w:hint="eastAsia"/>
          <w:noProof/>
          <w:lang w:eastAsia="zh-CN"/>
        </w:rPr>
        <w:t>的基础关税，针对自我国进口商品的加征关税频次最多、幅度最大。美国激进的关税政策大幅提高全球贸易政策不确定性，显著增加全球产业链运行成本，进而拖累全球贸易和宏观经济增长。受此影响，叠加</w:t>
      </w:r>
      <w:r w:rsidRPr="00DB2622">
        <w:rPr>
          <w:rFonts w:hint="eastAsia"/>
          <w:noProof/>
          <w:lang w:eastAsia="zh-CN"/>
        </w:rPr>
        <w:t>2024</w:t>
      </w:r>
      <w:r w:rsidRPr="00DB2622">
        <w:rPr>
          <w:rFonts w:hint="eastAsia"/>
          <w:noProof/>
          <w:lang w:eastAsia="zh-CN"/>
        </w:rPr>
        <w:t>年基期较高的因素，预计</w:t>
      </w:r>
      <w:r w:rsidRPr="00DB2622">
        <w:rPr>
          <w:rFonts w:hint="eastAsia"/>
          <w:noProof/>
          <w:lang w:eastAsia="zh-CN"/>
        </w:rPr>
        <w:t>2025</w:t>
      </w:r>
      <w:r w:rsidRPr="00DB2622">
        <w:rPr>
          <w:rFonts w:hint="eastAsia"/>
          <w:noProof/>
          <w:lang w:eastAsia="zh-CN"/>
        </w:rPr>
        <w:t>年我国出口面临较大下行风险。美国对外经贸政策是影响我国出口走势的关键因素。</w:t>
      </w:r>
    </w:p>
    <w:p w14:paraId="7AFEC5C6" w14:textId="77777777" w:rsidR="000725D1" w:rsidRDefault="000725D1">
      <w:pPr>
        <w:ind w:firstLine="480"/>
        <w:rPr>
          <w:lang w:eastAsia="zh-CN"/>
        </w:rPr>
      </w:pPr>
      <w:r>
        <w:rPr>
          <w:lang w:eastAsia="zh-CN"/>
        </w:rPr>
        <w:fldChar w:fldCharType="end"/>
      </w:r>
      <w:r>
        <w:rPr>
          <w:lang w:eastAsia="zh-CN"/>
        </w:rPr>
        <w:br w:type="page"/>
      </w:r>
    </w:p>
    <w:bookmarkEnd w:id="4"/>
    <w:bookmarkEnd w:id="5"/>
    <w:bookmarkEnd w:id="6"/>
    <w:bookmarkEnd w:id="7"/>
    <w:bookmarkEnd w:id="8"/>
    <w:bookmarkEnd w:id="9"/>
    <w:bookmarkEnd w:id="10"/>
    <w:bookmarkEnd w:id="11"/>
    <w:bookmarkEnd w:id="12"/>
    <w:p w14:paraId="119B3312" w14:textId="113E342B" w:rsidR="000725D1" w:rsidRPr="00507888" w:rsidRDefault="000725D1" w:rsidP="000725D1">
      <w:pPr>
        <w:pStyle w:val="ad"/>
        <w:jc w:val="center"/>
        <w:rPr>
          <w:sz w:val="28"/>
          <w:szCs w:val="28"/>
          <w:lang w:eastAsia="zh-CN"/>
        </w:rPr>
      </w:pPr>
      <w:r w:rsidRPr="00507888">
        <w:rPr>
          <w:rFonts w:hint="eastAsia"/>
          <w:sz w:val="28"/>
          <w:szCs w:val="28"/>
          <w:lang w:eastAsia="zh-CN"/>
        </w:rPr>
        <w:lastRenderedPageBreak/>
        <w:t>图表目录</w:t>
      </w:r>
    </w:p>
    <w:p w14:paraId="756C5605" w14:textId="09D45C09" w:rsidR="007F3993" w:rsidRDefault="001E11C8">
      <w:pPr>
        <w:pStyle w:val="ad"/>
        <w:rPr>
          <w:rFonts w:asciiTheme="minorHAnsi" w:eastAsiaTheme="minorEastAsia" w:hAnsiTheme="minorHAnsi" w:cstheme="minorBidi"/>
          <w:noProof/>
          <w:sz w:val="22"/>
          <w:lang w:eastAsia="zh-CN" w:bidi="ar-SA"/>
          <w14:ligatures w14:val="standardContextual"/>
        </w:rPr>
      </w:pPr>
      <w:r>
        <w:rPr>
          <w:lang w:eastAsia="zh-CN"/>
        </w:rPr>
        <w:fldChar w:fldCharType="begin"/>
      </w:r>
      <w:r>
        <w:rPr>
          <w:lang w:eastAsia="zh-CN"/>
        </w:rPr>
        <w:instrText xml:space="preserve"> TOC \h \z \c "</w:instrText>
      </w:r>
      <w:r>
        <w:rPr>
          <w:lang w:eastAsia="zh-CN"/>
        </w:rPr>
        <w:instrText>图表</w:instrText>
      </w:r>
      <w:r>
        <w:rPr>
          <w:lang w:eastAsia="zh-CN"/>
        </w:rPr>
        <w:instrText xml:space="preserve">" </w:instrText>
      </w:r>
      <w:r>
        <w:rPr>
          <w:lang w:eastAsia="zh-CN"/>
        </w:rPr>
        <w:fldChar w:fldCharType="separate"/>
      </w:r>
      <w:hyperlink w:anchor="_Toc196399412" w:history="1">
        <w:r w:rsidR="007F3993" w:rsidRPr="0008528A">
          <w:rPr>
            <w:rStyle w:val="af7"/>
            <w:rFonts w:hint="eastAsia"/>
            <w:noProof/>
          </w:rPr>
          <w:t>图表</w:t>
        </w:r>
        <w:r w:rsidR="007F3993" w:rsidRPr="0008528A">
          <w:rPr>
            <w:rStyle w:val="af7"/>
            <w:rFonts w:hint="eastAsia"/>
            <w:noProof/>
          </w:rPr>
          <w:t xml:space="preserve"> 1  </w:t>
        </w:r>
        <w:r w:rsidR="007F3993" w:rsidRPr="0008528A">
          <w:rPr>
            <w:rStyle w:val="af7"/>
            <w:rFonts w:hint="eastAsia"/>
            <w:noProof/>
          </w:rPr>
          <w:t>美国制造业和非制造业</w:t>
        </w:r>
        <w:r w:rsidR="007F3993" w:rsidRPr="0008528A">
          <w:rPr>
            <w:rStyle w:val="af7"/>
            <w:rFonts w:hint="eastAsia"/>
            <w:noProof/>
          </w:rPr>
          <w:t>PMI</w:t>
        </w:r>
        <w:r w:rsidR="007F3993" w:rsidRPr="0008528A">
          <w:rPr>
            <w:rStyle w:val="af7"/>
            <w:rFonts w:hint="eastAsia"/>
            <w:noProof/>
          </w:rPr>
          <w:t>（</w:t>
        </w:r>
        <w:r w:rsidR="007F3993" w:rsidRPr="0008528A">
          <w:rPr>
            <w:rStyle w:val="af7"/>
            <w:rFonts w:hint="eastAsia"/>
            <w:noProof/>
          </w:rPr>
          <w:t>ISM</w:t>
        </w:r>
        <w:r w:rsidR="007F3993" w:rsidRPr="0008528A">
          <w:rPr>
            <w:rStyle w:val="af7"/>
            <w:rFonts w:hint="eastAsia"/>
            <w:noProof/>
          </w:rPr>
          <w:t>）</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_Toc196399412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1</w:t>
        </w:r>
        <w:r w:rsidR="007F3993">
          <w:rPr>
            <w:rFonts w:hint="eastAsia"/>
            <w:noProof/>
            <w:webHidden/>
          </w:rPr>
          <w:fldChar w:fldCharType="end"/>
        </w:r>
      </w:hyperlink>
    </w:p>
    <w:p w14:paraId="582CEF7B" w14:textId="2B6E89A2"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13" w:history="1">
        <w:r w:rsidR="007F3993" w:rsidRPr="0008528A">
          <w:rPr>
            <w:rStyle w:val="af7"/>
            <w:rFonts w:hint="eastAsia"/>
            <w:noProof/>
          </w:rPr>
          <w:t>图表</w:t>
        </w:r>
        <w:r w:rsidR="007F3993" w:rsidRPr="0008528A">
          <w:rPr>
            <w:rStyle w:val="af7"/>
            <w:rFonts w:hint="eastAsia"/>
            <w:noProof/>
          </w:rPr>
          <w:t xml:space="preserve"> 2  </w:t>
        </w:r>
        <w:r w:rsidR="007F3993" w:rsidRPr="0008528A">
          <w:rPr>
            <w:rStyle w:val="af7"/>
            <w:rFonts w:hint="eastAsia"/>
            <w:noProof/>
          </w:rPr>
          <w:t>美国个人收入与消费支出</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_Toc196399413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2</w:t>
        </w:r>
        <w:r w:rsidR="007F3993">
          <w:rPr>
            <w:rFonts w:hint="eastAsia"/>
            <w:noProof/>
            <w:webHidden/>
          </w:rPr>
          <w:fldChar w:fldCharType="end"/>
        </w:r>
      </w:hyperlink>
    </w:p>
    <w:p w14:paraId="4EEC30A7" w14:textId="65A8F09A"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14" w:history="1">
        <w:r w:rsidR="007F3993" w:rsidRPr="0008528A">
          <w:rPr>
            <w:rStyle w:val="af7"/>
            <w:rFonts w:hint="eastAsia"/>
            <w:noProof/>
          </w:rPr>
          <w:t>图表</w:t>
        </w:r>
        <w:r w:rsidR="007F3993" w:rsidRPr="0008528A">
          <w:rPr>
            <w:rStyle w:val="af7"/>
            <w:rFonts w:hint="eastAsia"/>
            <w:noProof/>
          </w:rPr>
          <w:t xml:space="preserve"> 3  </w:t>
        </w:r>
        <w:r w:rsidR="007F3993" w:rsidRPr="0008528A">
          <w:rPr>
            <w:rStyle w:val="af7"/>
            <w:rFonts w:hint="eastAsia"/>
            <w:noProof/>
          </w:rPr>
          <w:t>美国新屋开工和企业库存周期</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_Toc196399414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3</w:t>
        </w:r>
        <w:r w:rsidR="007F3993">
          <w:rPr>
            <w:rFonts w:hint="eastAsia"/>
            <w:noProof/>
            <w:webHidden/>
          </w:rPr>
          <w:fldChar w:fldCharType="end"/>
        </w:r>
      </w:hyperlink>
    </w:p>
    <w:p w14:paraId="561350E1" w14:textId="691A8417"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15" w:history="1">
        <w:r w:rsidR="007F3993" w:rsidRPr="0008528A">
          <w:rPr>
            <w:rStyle w:val="af7"/>
            <w:rFonts w:hint="eastAsia"/>
            <w:noProof/>
          </w:rPr>
          <w:t>图表</w:t>
        </w:r>
        <w:r w:rsidR="007F3993" w:rsidRPr="0008528A">
          <w:rPr>
            <w:rStyle w:val="af7"/>
            <w:rFonts w:hint="eastAsia"/>
            <w:noProof/>
          </w:rPr>
          <w:t xml:space="preserve"> 4  </w:t>
        </w:r>
        <w:r w:rsidR="007F3993" w:rsidRPr="0008528A">
          <w:rPr>
            <w:rStyle w:val="af7"/>
            <w:rFonts w:hint="eastAsia"/>
            <w:noProof/>
          </w:rPr>
          <w:t>美国对外贸易</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_Toc196399415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4</w:t>
        </w:r>
        <w:r w:rsidR="007F3993">
          <w:rPr>
            <w:rFonts w:hint="eastAsia"/>
            <w:noProof/>
            <w:webHidden/>
          </w:rPr>
          <w:fldChar w:fldCharType="end"/>
        </w:r>
      </w:hyperlink>
    </w:p>
    <w:p w14:paraId="3E12BC41" w14:textId="76952A63"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16" w:history="1">
        <w:r w:rsidR="007F3993" w:rsidRPr="0008528A">
          <w:rPr>
            <w:rStyle w:val="af7"/>
            <w:rFonts w:hint="eastAsia"/>
            <w:noProof/>
          </w:rPr>
          <w:t>图表</w:t>
        </w:r>
        <w:r w:rsidR="007F3993" w:rsidRPr="0008528A">
          <w:rPr>
            <w:rStyle w:val="af7"/>
            <w:rFonts w:hint="eastAsia"/>
            <w:noProof/>
          </w:rPr>
          <w:t xml:space="preserve"> 5  </w:t>
        </w:r>
        <w:r w:rsidR="007F3993" w:rsidRPr="0008528A">
          <w:rPr>
            <w:rStyle w:val="af7"/>
            <w:rFonts w:hint="eastAsia"/>
            <w:noProof/>
          </w:rPr>
          <w:t>美国劳动力市场</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_Toc196399416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5</w:t>
        </w:r>
        <w:r w:rsidR="007F3993">
          <w:rPr>
            <w:rFonts w:hint="eastAsia"/>
            <w:noProof/>
            <w:webHidden/>
          </w:rPr>
          <w:fldChar w:fldCharType="end"/>
        </w:r>
      </w:hyperlink>
    </w:p>
    <w:p w14:paraId="6FCCCE65" w14:textId="2311C99D"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17" w:history="1">
        <w:r w:rsidR="007F3993" w:rsidRPr="0008528A">
          <w:rPr>
            <w:rStyle w:val="af7"/>
            <w:rFonts w:hint="eastAsia"/>
            <w:noProof/>
          </w:rPr>
          <w:t>图表</w:t>
        </w:r>
        <w:r w:rsidR="007F3993" w:rsidRPr="0008528A">
          <w:rPr>
            <w:rStyle w:val="af7"/>
            <w:rFonts w:hint="eastAsia"/>
            <w:noProof/>
          </w:rPr>
          <w:t xml:space="preserve"> 6  </w:t>
        </w:r>
        <w:r w:rsidR="007F3993" w:rsidRPr="0008528A">
          <w:rPr>
            <w:rStyle w:val="af7"/>
            <w:rFonts w:hint="eastAsia"/>
            <w:noProof/>
          </w:rPr>
          <w:t>美国通货膨胀</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_Toc196399417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5</w:t>
        </w:r>
        <w:r w:rsidR="007F3993">
          <w:rPr>
            <w:rFonts w:hint="eastAsia"/>
            <w:noProof/>
            <w:webHidden/>
          </w:rPr>
          <w:fldChar w:fldCharType="end"/>
        </w:r>
      </w:hyperlink>
    </w:p>
    <w:p w14:paraId="1F16EF28" w14:textId="7D4947D5"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18" w:history="1">
        <w:r w:rsidR="007F3993" w:rsidRPr="0008528A">
          <w:rPr>
            <w:rStyle w:val="af7"/>
            <w:rFonts w:hint="eastAsia"/>
            <w:noProof/>
          </w:rPr>
          <w:t>图表</w:t>
        </w:r>
        <w:r w:rsidR="007F3993" w:rsidRPr="0008528A">
          <w:rPr>
            <w:rStyle w:val="af7"/>
            <w:rFonts w:hint="eastAsia"/>
            <w:noProof/>
          </w:rPr>
          <w:t xml:space="preserve"> 7  </w:t>
        </w:r>
        <w:r w:rsidR="007F3993" w:rsidRPr="0008528A">
          <w:rPr>
            <w:rStyle w:val="af7"/>
            <w:rFonts w:hint="eastAsia"/>
            <w:noProof/>
          </w:rPr>
          <w:t>美国经济运行状况：高频数据</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_Toc196399418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8</w:t>
        </w:r>
        <w:r w:rsidR="007F3993">
          <w:rPr>
            <w:rFonts w:hint="eastAsia"/>
            <w:noProof/>
            <w:webHidden/>
          </w:rPr>
          <w:fldChar w:fldCharType="end"/>
        </w:r>
      </w:hyperlink>
    </w:p>
    <w:p w14:paraId="4DE18BC0" w14:textId="12FD29E7"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19" w:history="1">
        <w:r w:rsidR="007F3993" w:rsidRPr="0008528A">
          <w:rPr>
            <w:rStyle w:val="af7"/>
            <w:rFonts w:hint="eastAsia"/>
            <w:noProof/>
          </w:rPr>
          <w:t>图表</w:t>
        </w:r>
        <w:r w:rsidR="007F3993" w:rsidRPr="0008528A">
          <w:rPr>
            <w:rStyle w:val="af7"/>
            <w:rFonts w:hint="eastAsia"/>
            <w:noProof/>
          </w:rPr>
          <w:t xml:space="preserve"> 8  PMI</w:t>
        </w:r>
        <w:r w:rsidR="007F3993" w:rsidRPr="0008528A">
          <w:rPr>
            <w:rStyle w:val="af7"/>
            <w:rFonts w:hint="eastAsia"/>
            <w:noProof/>
          </w:rPr>
          <w:t>震荡趋弱</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_Toc196399419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10</w:t>
        </w:r>
        <w:r w:rsidR="007F3993">
          <w:rPr>
            <w:rFonts w:hint="eastAsia"/>
            <w:noProof/>
            <w:webHidden/>
          </w:rPr>
          <w:fldChar w:fldCharType="end"/>
        </w:r>
      </w:hyperlink>
    </w:p>
    <w:p w14:paraId="60BB23C2" w14:textId="66F262A8"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20" w:history="1">
        <w:r w:rsidR="007F3993" w:rsidRPr="0008528A">
          <w:rPr>
            <w:rStyle w:val="af7"/>
            <w:rFonts w:hint="eastAsia"/>
            <w:noProof/>
          </w:rPr>
          <w:t>图表</w:t>
        </w:r>
        <w:r w:rsidR="007F3993" w:rsidRPr="0008528A">
          <w:rPr>
            <w:rStyle w:val="af7"/>
            <w:rFonts w:hint="eastAsia"/>
            <w:noProof/>
          </w:rPr>
          <w:t xml:space="preserve"> 9  </w:t>
        </w:r>
        <w:r w:rsidR="007F3993" w:rsidRPr="0008528A">
          <w:rPr>
            <w:rStyle w:val="af7"/>
            <w:rFonts w:hint="eastAsia"/>
            <w:noProof/>
          </w:rPr>
          <w:t>通胀回升至目标上方</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_Toc196399420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11</w:t>
        </w:r>
        <w:r w:rsidR="007F3993">
          <w:rPr>
            <w:rFonts w:hint="eastAsia"/>
            <w:noProof/>
            <w:webHidden/>
          </w:rPr>
          <w:fldChar w:fldCharType="end"/>
        </w:r>
      </w:hyperlink>
    </w:p>
    <w:p w14:paraId="0657AF9C" w14:textId="048DBA07"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21" w:history="1">
        <w:r w:rsidR="007F3993" w:rsidRPr="0008528A">
          <w:rPr>
            <w:rStyle w:val="af7"/>
            <w:rFonts w:hint="eastAsia"/>
            <w:noProof/>
          </w:rPr>
          <w:t>图表</w:t>
        </w:r>
        <w:r w:rsidR="007F3993" w:rsidRPr="0008528A">
          <w:rPr>
            <w:rStyle w:val="af7"/>
            <w:rFonts w:hint="eastAsia"/>
            <w:noProof/>
          </w:rPr>
          <w:t xml:space="preserve"> 10  </w:t>
        </w:r>
        <w:r w:rsidR="007F3993" w:rsidRPr="0008528A">
          <w:rPr>
            <w:rStyle w:val="af7"/>
            <w:rFonts w:hint="eastAsia"/>
            <w:noProof/>
          </w:rPr>
          <w:t>失业率继续稳定在低位</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_Toc196399421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12</w:t>
        </w:r>
        <w:r w:rsidR="007F3993">
          <w:rPr>
            <w:rFonts w:hint="eastAsia"/>
            <w:noProof/>
            <w:webHidden/>
          </w:rPr>
          <w:fldChar w:fldCharType="end"/>
        </w:r>
      </w:hyperlink>
    </w:p>
    <w:p w14:paraId="6CF896E3" w14:textId="76504E09"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22" w:history="1">
        <w:r w:rsidR="007F3993" w:rsidRPr="0008528A">
          <w:rPr>
            <w:rStyle w:val="af7"/>
            <w:rFonts w:hint="eastAsia"/>
            <w:noProof/>
          </w:rPr>
          <w:t>图表</w:t>
        </w:r>
        <w:r w:rsidR="007F3993" w:rsidRPr="0008528A">
          <w:rPr>
            <w:rStyle w:val="af7"/>
            <w:rFonts w:hint="eastAsia"/>
            <w:noProof/>
          </w:rPr>
          <w:t xml:space="preserve"> 11  </w:t>
        </w:r>
        <w:r w:rsidR="007F3993" w:rsidRPr="0008528A">
          <w:rPr>
            <w:rStyle w:val="af7"/>
            <w:rFonts w:hint="eastAsia"/>
            <w:noProof/>
          </w:rPr>
          <w:t>消费者信心持续下滑</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_Toc196399422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13</w:t>
        </w:r>
        <w:r w:rsidR="007F3993">
          <w:rPr>
            <w:rFonts w:hint="eastAsia"/>
            <w:noProof/>
            <w:webHidden/>
          </w:rPr>
          <w:fldChar w:fldCharType="end"/>
        </w:r>
      </w:hyperlink>
    </w:p>
    <w:p w14:paraId="17C16A8B" w14:textId="702052DC"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23" w:history="1">
        <w:r w:rsidR="007F3993" w:rsidRPr="0008528A">
          <w:rPr>
            <w:rStyle w:val="af7"/>
            <w:rFonts w:hint="eastAsia"/>
            <w:noProof/>
          </w:rPr>
          <w:t>图表</w:t>
        </w:r>
        <w:r w:rsidR="007F3993" w:rsidRPr="0008528A">
          <w:rPr>
            <w:rStyle w:val="af7"/>
            <w:rFonts w:hint="eastAsia"/>
            <w:noProof/>
          </w:rPr>
          <w:t xml:space="preserve"> 12  </w:t>
        </w:r>
        <w:r w:rsidR="007F3993" w:rsidRPr="0008528A">
          <w:rPr>
            <w:rStyle w:val="af7"/>
            <w:rFonts w:hint="eastAsia"/>
            <w:noProof/>
          </w:rPr>
          <w:t>企业投资波动</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_Toc196399423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13</w:t>
        </w:r>
        <w:r w:rsidR="007F3993">
          <w:rPr>
            <w:rFonts w:hint="eastAsia"/>
            <w:noProof/>
            <w:webHidden/>
          </w:rPr>
          <w:fldChar w:fldCharType="end"/>
        </w:r>
      </w:hyperlink>
    </w:p>
    <w:p w14:paraId="72211582" w14:textId="5D493EDF"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24" w:history="1">
        <w:r w:rsidR="007F3993" w:rsidRPr="0008528A">
          <w:rPr>
            <w:rStyle w:val="af7"/>
            <w:rFonts w:hint="eastAsia"/>
            <w:noProof/>
          </w:rPr>
          <w:t>图表</w:t>
        </w:r>
        <w:r w:rsidR="007F3993" w:rsidRPr="0008528A">
          <w:rPr>
            <w:rStyle w:val="af7"/>
            <w:rFonts w:hint="eastAsia"/>
            <w:noProof/>
          </w:rPr>
          <w:t xml:space="preserve"> 13  </w:t>
        </w:r>
        <w:r w:rsidR="007F3993" w:rsidRPr="0008528A">
          <w:rPr>
            <w:rStyle w:val="af7"/>
            <w:rFonts w:hint="eastAsia"/>
            <w:noProof/>
          </w:rPr>
          <w:t>贸易顺差收缩</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_Toc196399424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14</w:t>
        </w:r>
        <w:r w:rsidR="007F3993">
          <w:rPr>
            <w:rFonts w:hint="eastAsia"/>
            <w:noProof/>
            <w:webHidden/>
          </w:rPr>
          <w:fldChar w:fldCharType="end"/>
        </w:r>
      </w:hyperlink>
    </w:p>
    <w:p w14:paraId="7A431336" w14:textId="6D9AF082"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25" w:history="1">
        <w:r w:rsidR="007F3993" w:rsidRPr="0008528A">
          <w:rPr>
            <w:rStyle w:val="af7"/>
            <w:rFonts w:hint="eastAsia"/>
            <w:noProof/>
          </w:rPr>
          <w:t>图表</w:t>
        </w:r>
        <w:r w:rsidR="007F3993" w:rsidRPr="0008528A">
          <w:rPr>
            <w:rStyle w:val="af7"/>
            <w:rFonts w:hint="eastAsia"/>
            <w:noProof/>
          </w:rPr>
          <w:t xml:space="preserve"> 14  </w:t>
        </w:r>
        <w:r w:rsidR="007F3993" w:rsidRPr="0008528A">
          <w:rPr>
            <w:rStyle w:val="af7"/>
            <w:rFonts w:hint="eastAsia"/>
            <w:noProof/>
          </w:rPr>
          <w:t>制造业</w:t>
        </w:r>
        <w:r w:rsidR="007F3993" w:rsidRPr="0008528A">
          <w:rPr>
            <w:rStyle w:val="af7"/>
            <w:rFonts w:hint="eastAsia"/>
            <w:noProof/>
          </w:rPr>
          <w:t>PMI</w:t>
        </w:r>
        <w:r w:rsidR="007F3993" w:rsidRPr="0008528A">
          <w:rPr>
            <w:rStyle w:val="af7"/>
            <w:rFonts w:hint="eastAsia"/>
            <w:noProof/>
          </w:rPr>
          <w:t>下落，服务业</w:t>
        </w:r>
        <w:r w:rsidR="007F3993" w:rsidRPr="0008528A">
          <w:rPr>
            <w:rStyle w:val="af7"/>
            <w:rFonts w:hint="eastAsia"/>
            <w:noProof/>
          </w:rPr>
          <w:t>PMI</w:t>
        </w:r>
        <w:r w:rsidR="007F3993" w:rsidRPr="0008528A">
          <w:rPr>
            <w:rStyle w:val="af7"/>
            <w:rFonts w:hint="eastAsia"/>
            <w:noProof/>
          </w:rPr>
          <w:t>回升，就业稳定</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_Toc196399425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18</w:t>
        </w:r>
        <w:r w:rsidR="007F3993">
          <w:rPr>
            <w:rFonts w:hint="eastAsia"/>
            <w:noProof/>
            <w:webHidden/>
          </w:rPr>
          <w:fldChar w:fldCharType="end"/>
        </w:r>
      </w:hyperlink>
    </w:p>
    <w:p w14:paraId="7A44E989" w14:textId="4A61485D"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26" w:history="1">
        <w:r w:rsidR="007F3993" w:rsidRPr="0008528A">
          <w:rPr>
            <w:rStyle w:val="af7"/>
            <w:rFonts w:hint="eastAsia"/>
            <w:noProof/>
          </w:rPr>
          <w:t>图表</w:t>
        </w:r>
        <w:r w:rsidR="007F3993" w:rsidRPr="0008528A">
          <w:rPr>
            <w:rStyle w:val="af7"/>
            <w:rFonts w:hint="eastAsia"/>
            <w:noProof/>
          </w:rPr>
          <w:t xml:space="preserve"> 15  </w:t>
        </w:r>
        <w:r w:rsidR="007F3993" w:rsidRPr="0008528A">
          <w:rPr>
            <w:rStyle w:val="af7"/>
            <w:rFonts w:hint="eastAsia"/>
            <w:noProof/>
          </w:rPr>
          <w:t>消费实际同比增速滑落，机械订单金额结构性明显</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_Toc196399426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20</w:t>
        </w:r>
        <w:r w:rsidR="007F3993">
          <w:rPr>
            <w:rFonts w:hint="eastAsia"/>
            <w:noProof/>
            <w:webHidden/>
          </w:rPr>
          <w:fldChar w:fldCharType="end"/>
        </w:r>
      </w:hyperlink>
    </w:p>
    <w:p w14:paraId="40C034C4" w14:textId="60CEBB4F"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27" w:history="1">
        <w:r w:rsidR="007F3993" w:rsidRPr="0008528A">
          <w:rPr>
            <w:rStyle w:val="af7"/>
            <w:rFonts w:hint="eastAsia"/>
            <w:noProof/>
          </w:rPr>
          <w:t>图表</w:t>
        </w:r>
        <w:r w:rsidR="007F3993" w:rsidRPr="0008528A">
          <w:rPr>
            <w:rStyle w:val="af7"/>
            <w:rFonts w:hint="eastAsia"/>
            <w:noProof/>
          </w:rPr>
          <w:t xml:space="preserve"> 16  2025</w:t>
        </w:r>
        <w:r w:rsidR="007F3993" w:rsidRPr="0008528A">
          <w:rPr>
            <w:rStyle w:val="af7"/>
            <w:rFonts w:hint="eastAsia"/>
            <w:noProof/>
          </w:rPr>
          <w:t>年第一季度日本商品贸易逆差在</w:t>
        </w:r>
        <w:r w:rsidR="007F3993" w:rsidRPr="0008528A">
          <w:rPr>
            <w:rStyle w:val="af7"/>
            <w:rFonts w:hint="eastAsia"/>
            <w:noProof/>
          </w:rPr>
          <w:t>1</w:t>
        </w:r>
        <w:r w:rsidR="007F3993" w:rsidRPr="0008528A">
          <w:rPr>
            <w:rStyle w:val="af7"/>
            <w:rFonts w:hint="eastAsia"/>
            <w:noProof/>
          </w:rPr>
          <w:t>月份出现急剧扩大，随后转为顺差</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_Toc196399427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21</w:t>
        </w:r>
        <w:r w:rsidR="007F3993">
          <w:rPr>
            <w:rFonts w:hint="eastAsia"/>
            <w:noProof/>
            <w:webHidden/>
          </w:rPr>
          <w:fldChar w:fldCharType="end"/>
        </w:r>
      </w:hyperlink>
    </w:p>
    <w:p w14:paraId="28B510C1" w14:textId="477361F5"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28" w:history="1">
        <w:r w:rsidR="007F3993" w:rsidRPr="0008528A">
          <w:rPr>
            <w:rStyle w:val="af7"/>
            <w:rFonts w:hint="eastAsia"/>
            <w:noProof/>
          </w:rPr>
          <w:t>图表</w:t>
        </w:r>
        <w:r w:rsidR="007F3993" w:rsidRPr="0008528A">
          <w:rPr>
            <w:rStyle w:val="af7"/>
            <w:rFonts w:hint="eastAsia"/>
            <w:noProof/>
          </w:rPr>
          <w:t xml:space="preserve"> 17  CPI</w:t>
        </w:r>
        <w:r w:rsidR="007F3993" w:rsidRPr="0008528A">
          <w:rPr>
            <w:rStyle w:val="af7"/>
            <w:rFonts w:hint="eastAsia"/>
            <w:noProof/>
          </w:rPr>
          <w:t>和</w:t>
        </w:r>
        <w:r w:rsidR="007F3993" w:rsidRPr="0008528A">
          <w:rPr>
            <w:rStyle w:val="af7"/>
            <w:rFonts w:hint="eastAsia"/>
            <w:noProof/>
          </w:rPr>
          <w:t>PPI</w:t>
        </w:r>
        <w:r w:rsidR="007F3993" w:rsidRPr="0008528A">
          <w:rPr>
            <w:rStyle w:val="af7"/>
            <w:rFonts w:hint="eastAsia"/>
            <w:noProof/>
          </w:rPr>
          <w:t>均显著上升</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_Toc196399428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23</w:t>
        </w:r>
        <w:r w:rsidR="007F3993">
          <w:rPr>
            <w:rFonts w:hint="eastAsia"/>
            <w:noProof/>
            <w:webHidden/>
          </w:rPr>
          <w:fldChar w:fldCharType="end"/>
        </w:r>
      </w:hyperlink>
    </w:p>
    <w:p w14:paraId="455095E1" w14:textId="7D0DBCCB"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29" w:history="1">
        <w:r w:rsidR="007F3993" w:rsidRPr="0008528A">
          <w:rPr>
            <w:rStyle w:val="af7"/>
            <w:rFonts w:hint="eastAsia"/>
            <w:noProof/>
          </w:rPr>
          <w:t>图表</w:t>
        </w:r>
        <w:r w:rsidR="007F3993" w:rsidRPr="0008528A">
          <w:rPr>
            <w:rStyle w:val="af7"/>
            <w:rFonts w:hint="eastAsia"/>
            <w:noProof/>
          </w:rPr>
          <w:t xml:space="preserve"> 18  </w:t>
        </w:r>
        <w:r w:rsidR="007F3993" w:rsidRPr="0008528A">
          <w:rPr>
            <w:rStyle w:val="af7"/>
            <w:rFonts w:hint="eastAsia"/>
            <w:noProof/>
          </w:rPr>
          <w:t>日本股市下跌，日元升值</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_Toc196399429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24</w:t>
        </w:r>
        <w:r w:rsidR="007F3993">
          <w:rPr>
            <w:rFonts w:hint="eastAsia"/>
            <w:noProof/>
            <w:webHidden/>
          </w:rPr>
          <w:fldChar w:fldCharType="end"/>
        </w:r>
      </w:hyperlink>
    </w:p>
    <w:p w14:paraId="3F92A371" w14:textId="053F6214"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30" w:history="1">
        <w:r w:rsidR="007F3993" w:rsidRPr="0008528A">
          <w:rPr>
            <w:rStyle w:val="af7"/>
            <w:rFonts w:hint="eastAsia"/>
            <w:noProof/>
          </w:rPr>
          <w:t>图表</w:t>
        </w:r>
        <w:r w:rsidR="007F3993" w:rsidRPr="0008528A">
          <w:rPr>
            <w:rStyle w:val="af7"/>
            <w:rFonts w:hint="eastAsia"/>
            <w:noProof/>
          </w:rPr>
          <w:t xml:space="preserve"> 19  10</w:t>
        </w:r>
        <w:r w:rsidR="007F3993" w:rsidRPr="0008528A">
          <w:rPr>
            <w:rStyle w:val="af7"/>
            <w:rFonts w:hint="eastAsia"/>
            <w:noProof/>
          </w:rPr>
          <w:t>年期国债收益率持续上行</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_Toc196399430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25</w:t>
        </w:r>
        <w:r w:rsidR="007F3993">
          <w:rPr>
            <w:rFonts w:hint="eastAsia"/>
            <w:noProof/>
            <w:webHidden/>
          </w:rPr>
          <w:fldChar w:fldCharType="end"/>
        </w:r>
      </w:hyperlink>
    </w:p>
    <w:p w14:paraId="7795038F" w14:textId="4B10D616"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31" w:history="1">
        <w:r w:rsidR="007F3993" w:rsidRPr="0008528A">
          <w:rPr>
            <w:rStyle w:val="af7"/>
            <w:rFonts w:hint="eastAsia"/>
            <w:noProof/>
          </w:rPr>
          <w:t>图表</w:t>
        </w:r>
        <w:r w:rsidR="007F3993" w:rsidRPr="0008528A">
          <w:rPr>
            <w:rStyle w:val="af7"/>
            <w:rFonts w:hint="eastAsia"/>
            <w:noProof/>
          </w:rPr>
          <w:t xml:space="preserve"> 20  </w:t>
        </w:r>
        <w:r w:rsidR="007F3993" w:rsidRPr="0008528A">
          <w:rPr>
            <w:rStyle w:val="af7"/>
            <w:rFonts w:hint="eastAsia"/>
            <w:noProof/>
          </w:rPr>
          <w:t>东盟六国与韩国第</w:t>
        </w:r>
        <w:r w:rsidR="007F3993" w:rsidRPr="0008528A">
          <w:rPr>
            <w:rStyle w:val="af7"/>
            <w:rFonts w:hint="eastAsia"/>
            <w:noProof/>
          </w:rPr>
          <w:t>1</w:t>
        </w:r>
        <w:r w:rsidR="007F3993" w:rsidRPr="0008528A">
          <w:rPr>
            <w:rStyle w:val="af7"/>
            <w:rFonts w:hint="eastAsia"/>
            <w:noProof/>
          </w:rPr>
          <w:t>季度制造业</w:t>
        </w:r>
        <w:r w:rsidR="007F3993" w:rsidRPr="0008528A">
          <w:rPr>
            <w:rStyle w:val="af7"/>
            <w:rFonts w:hint="eastAsia"/>
            <w:noProof/>
          </w:rPr>
          <w:t>PMI</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_Toc196399431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28</w:t>
        </w:r>
        <w:r w:rsidR="007F3993">
          <w:rPr>
            <w:rFonts w:hint="eastAsia"/>
            <w:noProof/>
            <w:webHidden/>
          </w:rPr>
          <w:fldChar w:fldCharType="end"/>
        </w:r>
      </w:hyperlink>
    </w:p>
    <w:p w14:paraId="2AB6792A" w14:textId="5C70C30D"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32" w:history="1">
        <w:r w:rsidR="007F3993" w:rsidRPr="0008528A">
          <w:rPr>
            <w:rStyle w:val="af7"/>
            <w:rFonts w:hint="eastAsia"/>
            <w:noProof/>
          </w:rPr>
          <w:t>图表</w:t>
        </w:r>
        <w:r w:rsidR="007F3993" w:rsidRPr="0008528A">
          <w:rPr>
            <w:rStyle w:val="af7"/>
            <w:rFonts w:hint="eastAsia"/>
            <w:noProof/>
          </w:rPr>
          <w:t xml:space="preserve"> 21  </w:t>
        </w:r>
        <w:r w:rsidR="007F3993" w:rsidRPr="0008528A">
          <w:rPr>
            <w:rStyle w:val="af7"/>
            <w:rFonts w:hint="eastAsia"/>
            <w:noProof/>
          </w:rPr>
          <w:t>区内通货膨胀出现分化</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_Toc196399432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29</w:t>
        </w:r>
        <w:r w:rsidR="007F3993">
          <w:rPr>
            <w:rFonts w:hint="eastAsia"/>
            <w:noProof/>
            <w:webHidden/>
          </w:rPr>
          <w:fldChar w:fldCharType="end"/>
        </w:r>
      </w:hyperlink>
    </w:p>
    <w:p w14:paraId="35530F9C" w14:textId="75DFBF3D"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33" w:history="1">
        <w:r w:rsidR="007F3993" w:rsidRPr="0008528A">
          <w:rPr>
            <w:rStyle w:val="af7"/>
            <w:rFonts w:hint="eastAsia"/>
            <w:noProof/>
          </w:rPr>
          <w:t>图表</w:t>
        </w:r>
        <w:r w:rsidR="007F3993" w:rsidRPr="0008528A">
          <w:rPr>
            <w:rStyle w:val="af7"/>
            <w:rFonts w:hint="eastAsia"/>
            <w:noProof/>
          </w:rPr>
          <w:t xml:space="preserve"> 22  </w:t>
        </w:r>
        <w:r w:rsidR="007F3993" w:rsidRPr="0008528A">
          <w:rPr>
            <w:rStyle w:val="af7"/>
            <w:rFonts w:hint="eastAsia"/>
            <w:noProof/>
          </w:rPr>
          <w:t>区内货币走势出现分化</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_Toc196399433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31</w:t>
        </w:r>
        <w:r w:rsidR="007F3993">
          <w:rPr>
            <w:rFonts w:hint="eastAsia"/>
            <w:noProof/>
            <w:webHidden/>
          </w:rPr>
          <w:fldChar w:fldCharType="end"/>
        </w:r>
      </w:hyperlink>
    </w:p>
    <w:p w14:paraId="4E8A94DC" w14:textId="750BFC1F"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34" w:history="1">
        <w:r w:rsidR="007F3993" w:rsidRPr="0008528A">
          <w:rPr>
            <w:rStyle w:val="af7"/>
            <w:rFonts w:hint="eastAsia"/>
            <w:noProof/>
          </w:rPr>
          <w:t>图表</w:t>
        </w:r>
        <w:r w:rsidR="007F3993" w:rsidRPr="0008528A">
          <w:rPr>
            <w:rStyle w:val="af7"/>
            <w:rFonts w:hint="eastAsia"/>
            <w:noProof/>
          </w:rPr>
          <w:t xml:space="preserve"> 23  </w:t>
        </w:r>
        <w:r w:rsidR="007F3993" w:rsidRPr="0008528A">
          <w:rPr>
            <w:rStyle w:val="af7"/>
            <w:rFonts w:hint="eastAsia"/>
            <w:noProof/>
          </w:rPr>
          <w:t>区内金融市场出现分化</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_Toc196399434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31</w:t>
        </w:r>
        <w:r w:rsidR="007F3993">
          <w:rPr>
            <w:rFonts w:hint="eastAsia"/>
            <w:noProof/>
            <w:webHidden/>
          </w:rPr>
          <w:fldChar w:fldCharType="end"/>
        </w:r>
      </w:hyperlink>
    </w:p>
    <w:p w14:paraId="357D96D0" w14:textId="50C2A7D7"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35" w:history="1">
        <w:r w:rsidR="007F3993" w:rsidRPr="0008528A">
          <w:rPr>
            <w:rStyle w:val="af7"/>
            <w:rFonts w:hint="eastAsia"/>
            <w:noProof/>
          </w:rPr>
          <w:t>图表</w:t>
        </w:r>
        <w:r w:rsidR="007F3993" w:rsidRPr="0008528A">
          <w:rPr>
            <w:rStyle w:val="af7"/>
            <w:rFonts w:hint="eastAsia"/>
            <w:noProof/>
          </w:rPr>
          <w:t xml:space="preserve"> 24  </w:t>
        </w:r>
        <w:r w:rsidR="007F3993" w:rsidRPr="0008528A">
          <w:rPr>
            <w:rStyle w:val="af7"/>
            <w:rFonts w:hint="eastAsia"/>
            <w:noProof/>
          </w:rPr>
          <w:t>东盟和韩国经济增长率</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_Toc196399435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34</w:t>
        </w:r>
        <w:r w:rsidR="007F3993">
          <w:rPr>
            <w:rFonts w:hint="eastAsia"/>
            <w:noProof/>
            <w:webHidden/>
          </w:rPr>
          <w:fldChar w:fldCharType="end"/>
        </w:r>
      </w:hyperlink>
    </w:p>
    <w:p w14:paraId="2E0F69B4" w14:textId="60FD0FAE"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36" w:history="1">
        <w:r w:rsidR="007F3993" w:rsidRPr="0008528A">
          <w:rPr>
            <w:rStyle w:val="af7"/>
            <w:rFonts w:hint="eastAsia"/>
            <w:noProof/>
          </w:rPr>
          <w:t>图表</w:t>
        </w:r>
        <w:r w:rsidR="007F3993" w:rsidRPr="0008528A">
          <w:rPr>
            <w:rStyle w:val="af7"/>
            <w:rFonts w:hint="eastAsia"/>
            <w:noProof/>
          </w:rPr>
          <w:t xml:space="preserve"> 25  </w:t>
        </w:r>
        <w:r w:rsidR="007F3993" w:rsidRPr="0008528A">
          <w:rPr>
            <w:rStyle w:val="af7"/>
            <w:rFonts w:hint="eastAsia"/>
            <w:noProof/>
          </w:rPr>
          <w:t>区内经济体通货膨胀水平下行</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_Toc196399436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35</w:t>
        </w:r>
        <w:r w:rsidR="007F3993">
          <w:rPr>
            <w:rFonts w:hint="eastAsia"/>
            <w:noProof/>
            <w:webHidden/>
          </w:rPr>
          <w:fldChar w:fldCharType="end"/>
        </w:r>
      </w:hyperlink>
    </w:p>
    <w:p w14:paraId="2056E473" w14:textId="6F26D639"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37" w:history="1">
        <w:r w:rsidR="007F3993" w:rsidRPr="0008528A">
          <w:rPr>
            <w:rStyle w:val="af7"/>
            <w:rFonts w:hint="eastAsia"/>
            <w:noProof/>
          </w:rPr>
          <w:t>图表</w:t>
        </w:r>
        <w:r w:rsidR="007F3993" w:rsidRPr="0008528A">
          <w:rPr>
            <w:rStyle w:val="af7"/>
            <w:rFonts w:hint="eastAsia"/>
            <w:noProof/>
          </w:rPr>
          <w:t xml:space="preserve"> 26  </w:t>
        </w:r>
        <w:r w:rsidR="007F3993" w:rsidRPr="0008528A">
          <w:rPr>
            <w:rStyle w:val="af7"/>
            <w:rFonts w:hint="eastAsia"/>
            <w:noProof/>
          </w:rPr>
          <w:t>区内经济体经常账户分化</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_Toc196399437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36</w:t>
        </w:r>
        <w:r w:rsidR="007F3993">
          <w:rPr>
            <w:rFonts w:hint="eastAsia"/>
            <w:noProof/>
            <w:webHidden/>
          </w:rPr>
          <w:fldChar w:fldCharType="end"/>
        </w:r>
      </w:hyperlink>
    </w:p>
    <w:p w14:paraId="4086E33F" w14:textId="3DE71C64"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38" w:history="1">
        <w:r w:rsidR="007F3993" w:rsidRPr="0008528A">
          <w:rPr>
            <w:rStyle w:val="af7"/>
            <w:rFonts w:hint="eastAsia"/>
            <w:noProof/>
          </w:rPr>
          <w:t>图表</w:t>
        </w:r>
        <w:r w:rsidR="007F3993" w:rsidRPr="0008528A">
          <w:rPr>
            <w:rStyle w:val="af7"/>
            <w:rFonts w:hint="eastAsia"/>
            <w:noProof/>
          </w:rPr>
          <w:t xml:space="preserve"> 27  </w:t>
        </w:r>
        <w:r w:rsidR="007F3993" w:rsidRPr="0008528A">
          <w:rPr>
            <w:rStyle w:val="af7"/>
            <w:rFonts w:hint="eastAsia"/>
            <w:noProof/>
          </w:rPr>
          <w:t>区内货币在</w:t>
        </w:r>
        <w:r w:rsidR="007F3993" w:rsidRPr="0008528A">
          <w:rPr>
            <w:rStyle w:val="af7"/>
            <w:rFonts w:hint="eastAsia"/>
            <w:noProof/>
          </w:rPr>
          <w:t>2024</w:t>
        </w:r>
        <w:r w:rsidR="007F3993" w:rsidRPr="0008528A">
          <w:rPr>
            <w:rStyle w:val="af7"/>
            <w:rFonts w:hint="eastAsia"/>
            <w:noProof/>
          </w:rPr>
          <w:t>年总体贬值</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_Toc196399438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37</w:t>
        </w:r>
        <w:r w:rsidR="007F3993">
          <w:rPr>
            <w:rFonts w:hint="eastAsia"/>
            <w:noProof/>
            <w:webHidden/>
          </w:rPr>
          <w:fldChar w:fldCharType="end"/>
        </w:r>
      </w:hyperlink>
    </w:p>
    <w:p w14:paraId="11C8CF11" w14:textId="355F8E6C"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39" w:history="1">
        <w:r w:rsidR="007F3993" w:rsidRPr="0008528A">
          <w:rPr>
            <w:rStyle w:val="af7"/>
            <w:rFonts w:hint="eastAsia"/>
            <w:noProof/>
          </w:rPr>
          <w:t>图表</w:t>
        </w:r>
        <w:r w:rsidR="007F3993" w:rsidRPr="0008528A">
          <w:rPr>
            <w:rStyle w:val="af7"/>
            <w:rFonts w:hint="eastAsia"/>
            <w:noProof/>
          </w:rPr>
          <w:t xml:space="preserve"> 28  2024</w:t>
        </w:r>
        <w:r w:rsidR="007F3993" w:rsidRPr="0008528A">
          <w:rPr>
            <w:rStyle w:val="af7"/>
            <w:rFonts w:hint="eastAsia"/>
            <w:noProof/>
          </w:rPr>
          <w:t>年区内经济体景气水平触顶回落</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_Toc196399439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41</w:t>
        </w:r>
        <w:r w:rsidR="007F3993">
          <w:rPr>
            <w:rFonts w:hint="eastAsia"/>
            <w:noProof/>
            <w:webHidden/>
          </w:rPr>
          <w:fldChar w:fldCharType="end"/>
        </w:r>
      </w:hyperlink>
    </w:p>
    <w:p w14:paraId="5FBC7738" w14:textId="27B4E5C3"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40" w:history="1">
        <w:r w:rsidR="007F3993" w:rsidRPr="0008528A">
          <w:rPr>
            <w:rStyle w:val="af7"/>
            <w:rFonts w:hint="eastAsia"/>
            <w:noProof/>
          </w:rPr>
          <w:t>图表</w:t>
        </w:r>
        <w:r w:rsidR="007F3993" w:rsidRPr="0008528A">
          <w:rPr>
            <w:rStyle w:val="af7"/>
            <w:rFonts w:hint="eastAsia"/>
            <w:noProof/>
          </w:rPr>
          <w:t xml:space="preserve"> 29  </w:t>
        </w:r>
        <w:r w:rsidR="007F3993" w:rsidRPr="0008528A">
          <w:rPr>
            <w:rStyle w:val="af7"/>
            <w:rFonts w:hint="eastAsia"/>
            <w:noProof/>
          </w:rPr>
          <w:t>全球金融市场主要指标变动</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_Toc196399440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51</w:t>
        </w:r>
        <w:r w:rsidR="007F3993">
          <w:rPr>
            <w:rFonts w:hint="eastAsia"/>
            <w:noProof/>
            <w:webHidden/>
          </w:rPr>
          <w:fldChar w:fldCharType="end"/>
        </w:r>
      </w:hyperlink>
    </w:p>
    <w:p w14:paraId="5C369A73" w14:textId="47E4990E"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41" w:history="1">
        <w:r w:rsidR="007F3993" w:rsidRPr="0008528A">
          <w:rPr>
            <w:rStyle w:val="af7"/>
            <w:rFonts w:hint="eastAsia"/>
            <w:noProof/>
          </w:rPr>
          <w:t>图表</w:t>
        </w:r>
        <w:r w:rsidR="007F3993" w:rsidRPr="0008528A">
          <w:rPr>
            <w:rStyle w:val="af7"/>
            <w:rFonts w:hint="eastAsia"/>
            <w:noProof/>
          </w:rPr>
          <w:t xml:space="preserve"> 30  </w:t>
        </w:r>
        <w:r w:rsidR="007F3993" w:rsidRPr="0008528A">
          <w:rPr>
            <w:rStyle w:val="af7"/>
            <w:rFonts w:hint="eastAsia"/>
            <w:noProof/>
          </w:rPr>
          <w:t>特朗普政府征收全球对等关税后，主要资产均暴跌</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_Toc196399441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52</w:t>
        </w:r>
        <w:r w:rsidR="007F3993">
          <w:rPr>
            <w:rFonts w:hint="eastAsia"/>
            <w:noProof/>
            <w:webHidden/>
          </w:rPr>
          <w:fldChar w:fldCharType="end"/>
        </w:r>
      </w:hyperlink>
    </w:p>
    <w:p w14:paraId="35D01854" w14:textId="04D34E18"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42" w:history="1">
        <w:r w:rsidR="007F3993" w:rsidRPr="0008528A">
          <w:rPr>
            <w:rStyle w:val="af7"/>
            <w:rFonts w:hint="eastAsia"/>
            <w:noProof/>
          </w:rPr>
          <w:t>图表</w:t>
        </w:r>
        <w:r w:rsidR="007F3993" w:rsidRPr="0008528A">
          <w:rPr>
            <w:rStyle w:val="af7"/>
            <w:rFonts w:hint="eastAsia"/>
            <w:noProof/>
          </w:rPr>
          <w:t xml:space="preserve"> 31  </w:t>
        </w:r>
        <w:r w:rsidR="007F3993" w:rsidRPr="0008528A">
          <w:rPr>
            <w:rStyle w:val="af7"/>
            <w:rFonts w:hint="eastAsia"/>
            <w:noProof/>
          </w:rPr>
          <w:t>全球金融市场风险状况图</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_Toc196399442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53</w:t>
        </w:r>
        <w:r w:rsidR="007F3993">
          <w:rPr>
            <w:rFonts w:hint="eastAsia"/>
            <w:noProof/>
            <w:webHidden/>
          </w:rPr>
          <w:fldChar w:fldCharType="end"/>
        </w:r>
      </w:hyperlink>
    </w:p>
    <w:p w14:paraId="0B420D3C" w14:textId="5813C658"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43" w:history="1">
        <w:r w:rsidR="007F3993" w:rsidRPr="0008528A">
          <w:rPr>
            <w:rStyle w:val="af7"/>
            <w:rFonts w:hint="eastAsia"/>
            <w:noProof/>
          </w:rPr>
          <w:t>图表</w:t>
        </w:r>
        <w:r w:rsidR="007F3993" w:rsidRPr="0008528A">
          <w:rPr>
            <w:rStyle w:val="af7"/>
            <w:rFonts w:hint="eastAsia"/>
            <w:noProof/>
          </w:rPr>
          <w:t xml:space="preserve"> 32  </w:t>
        </w:r>
        <w:r w:rsidR="007F3993" w:rsidRPr="0008528A">
          <w:rPr>
            <w:rStyle w:val="af7"/>
            <w:rFonts w:hint="eastAsia"/>
            <w:noProof/>
          </w:rPr>
          <w:t>主要发达和新兴经济体季度汇率波动幅度（</w:t>
        </w:r>
        <w:r w:rsidR="007F3993" w:rsidRPr="0008528A">
          <w:rPr>
            <w:rStyle w:val="af7"/>
            <w:rFonts w:hint="eastAsia"/>
            <w:noProof/>
          </w:rPr>
          <w:t>2025</w:t>
        </w:r>
        <w:r w:rsidR="007F3993" w:rsidRPr="0008528A">
          <w:rPr>
            <w:rStyle w:val="af7"/>
            <w:rFonts w:hint="eastAsia"/>
            <w:noProof/>
          </w:rPr>
          <w:t>年一季度）</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_Toc196399443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54</w:t>
        </w:r>
        <w:r w:rsidR="007F3993">
          <w:rPr>
            <w:rFonts w:hint="eastAsia"/>
            <w:noProof/>
            <w:webHidden/>
          </w:rPr>
          <w:fldChar w:fldCharType="end"/>
        </w:r>
      </w:hyperlink>
    </w:p>
    <w:p w14:paraId="00026B8D" w14:textId="4C2CEC0D"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44" w:history="1">
        <w:r w:rsidR="007F3993" w:rsidRPr="0008528A">
          <w:rPr>
            <w:rStyle w:val="af7"/>
            <w:rFonts w:hint="eastAsia"/>
            <w:noProof/>
          </w:rPr>
          <w:t>图表</w:t>
        </w:r>
        <w:r w:rsidR="007F3993" w:rsidRPr="0008528A">
          <w:rPr>
            <w:rStyle w:val="af7"/>
            <w:rFonts w:hint="eastAsia"/>
            <w:noProof/>
          </w:rPr>
          <w:t xml:space="preserve"> 33  </w:t>
        </w:r>
        <w:r w:rsidR="007F3993" w:rsidRPr="0008528A">
          <w:rPr>
            <w:rStyle w:val="af7"/>
            <w:rFonts w:hint="eastAsia"/>
            <w:noProof/>
          </w:rPr>
          <w:t>全球主要发达与新兴经济体股市季度涨跌幅（</w:t>
        </w:r>
        <w:r w:rsidR="007F3993" w:rsidRPr="0008528A">
          <w:rPr>
            <w:rStyle w:val="af7"/>
            <w:rFonts w:hint="eastAsia"/>
            <w:noProof/>
          </w:rPr>
          <w:t>2025</w:t>
        </w:r>
        <w:r w:rsidR="007F3993" w:rsidRPr="0008528A">
          <w:rPr>
            <w:rStyle w:val="af7"/>
            <w:rFonts w:hint="eastAsia"/>
            <w:noProof/>
          </w:rPr>
          <w:t>年</w:t>
        </w:r>
        <w:r w:rsidR="007F3993" w:rsidRPr="0008528A">
          <w:rPr>
            <w:rStyle w:val="af7"/>
            <w:rFonts w:hint="eastAsia"/>
            <w:noProof/>
          </w:rPr>
          <w:t>1</w:t>
        </w:r>
        <w:r w:rsidR="007F3993" w:rsidRPr="0008528A">
          <w:rPr>
            <w:rStyle w:val="af7"/>
            <w:rFonts w:hint="eastAsia"/>
            <w:noProof/>
          </w:rPr>
          <w:t>季度）</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_Toc196399444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55</w:t>
        </w:r>
        <w:r w:rsidR="007F3993">
          <w:rPr>
            <w:rFonts w:hint="eastAsia"/>
            <w:noProof/>
            <w:webHidden/>
          </w:rPr>
          <w:fldChar w:fldCharType="end"/>
        </w:r>
      </w:hyperlink>
    </w:p>
    <w:p w14:paraId="77E4AEE6" w14:textId="302EE3C5"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45" w:history="1">
        <w:r w:rsidR="007F3993" w:rsidRPr="0008528A">
          <w:rPr>
            <w:rStyle w:val="af7"/>
            <w:rFonts w:hint="eastAsia"/>
            <w:noProof/>
          </w:rPr>
          <w:t>图表</w:t>
        </w:r>
        <w:r w:rsidR="007F3993" w:rsidRPr="0008528A">
          <w:rPr>
            <w:rStyle w:val="af7"/>
            <w:rFonts w:hint="eastAsia"/>
            <w:noProof/>
          </w:rPr>
          <w:t xml:space="preserve"> 34  </w:t>
        </w:r>
        <w:r w:rsidR="007F3993" w:rsidRPr="0008528A">
          <w:rPr>
            <w:rStyle w:val="af7"/>
            <w:rFonts w:hint="eastAsia"/>
            <w:noProof/>
          </w:rPr>
          <w:t>全球主要发达与新兴经济体股市季内波动（</w:t>
        </w:r>
        <w:r w:rsidR="007F3993" w:rsidRPr="0008528A">
          <w:rPr>
            <w:rStyle w:val="af7"/>
            <w:rFonts w:hint="eastAsia"/>
            <w:noProof/>
          </w:rPr>
          <w:t xml:space="preserve">2025 </w:t>
        </w:r>
        <w:r w:rsidR="007F3993" w:rsidRPr="0008528A">
          <w:rPr>
            <w:rStyle w:val="af7"/>
            <w:rFonts w:hint="eastAsia"/>
            <w:noProof/>
          </w:rPr>
          <w:t>年</w:t>
        </w:r>
        <w:r w:rsidR="007F3993" w:rsidRPr="0008528A">
          <w:rPr>
            <w:rStyle w:val="af7"/>
            <w:rFonts w:hint="eastAsia"/>
            <w:noProof/>
          </w:rPr>
          <w:t xml:space="preserve"> 1</w:t>
        </w:r>
        <w:r w:rsidR="007F3993" w:rsidRPr="0008528A">
          <w:rPr>
            <w:rStyle w:val="af7"/>
            <w:rFonts w:hint="eastAsia"/>
            <w:noProof/>
          </w:rPr>
          <w:t>季度）</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_Toc196399445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55</w:t>
        </w:r>
        <w:r w:rsidR="007F3993">
          <w:rPr>
            <w:rFonts w:hint="eastAsia"/>
            <w:noProof/>
            <w:webHidden/>
          </w:rPr>
          <w:fldChar w:fldCharType="end"/>
        </w:r>
      </w:hyperlink>
    </w:p>
    <w:p w14:paraId="1B16B3FB" w14:textId="1028064E"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46" w:history="1">
        <w:r w:rsidR="007F3993" w:rsidRPr="0008528A">
          <w:rPr>
            <w:rStyle w:val="af7"/>
            <w:rFonts w:hint="eastAsia"/>
            <w:noProof/>
          </w:rPr>
          <w:t>图表</w:t>
        </w:r>
        <w:r w:rsidR="007F3993" w:rsidRPr="0008528A">
          <w:rPr>
            <w:rStyle w:val="af7"/>
            <w:rFonts w:hint="eastAsia"/>
            <w:noProof/>
          </w:rPr>
          <w:t xml:space="preserve"> 35  </w:t>
        </w:r>
        <w:r w:rsidR="007F3993" w:rsidRPr="0008528A">
          <w:rPr>
            <w:rStyle w:val="af7"/>
            <w:rFonts w:hint="eastAsia"/>
            <w:noProof/>
          </w:rPr>
          <w:t>全球主要发达与新兴经济体货币市场走势一览</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_Toc196399446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57</w:t>
        </w:r>
        <w:r w:rsidR="007F3993">
          <w:rPr>
            <w:rFonts w:hint="eastAsia"/>
            <w:noProof/>
            <w:webHidden/>
          </w:rPr>
          <w:fldChar w:fldCharType="end"/>
        </w:r>
      </w:hyperlink>
    </w:p>
    <w:p w14:paraId="5103605A" w14:textId="49271821"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47" w:history="1">
        <w:r w:rsidR="007F3993" w:rsidRPr="0008528A">
          <w:rPr>
            <w:rStyle w:val="af7"/>
            <w:rFonts w:hint="eastAsia"/>
            <w:noProof/>
          </w:rPr>
          <w:t>图表</w:t>
        </w:r>
        <w:r w:rsidR="007F3993" w:rsidRPr="0008528A">
          <w:rPr>
            <w:rStyle w:val="af7"/>
            <w:rFonts w:hint="eastAsia"/>
            <w:noProof/>
          </w:rPr>
          <w:t xml:space="preserve"> 36</w:t>
        </w:r>
        <w:r w:rsidR="007F3993" w:rsidRPr="0008528A">
          <w:rPr>
            <w:rStyle w:val="af7"/>
            <w:rFonts w:ascii="Times" w:hAnsi="Times" w:hint="eastAsia"/>
            <w:noProof/>
          </w:rPr>
          <w:t xml:space="preserve">  </w:t>
        </w:r>
        <w:r w:rsidR="007F3993" w:rsidRPr="0008528A">
          <w:rPr>
            <w:rStyle w:val="af7"/>
            <w:rFonts w:ascii="Times" w:hAnsi="Times" w:hint="eastAsia"/>
            <w:noProof/>
          </w:rPr>
          <w:t>全球主要发达与新兴经济体长期国债市场走势一览</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_Toc196399447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57</w:t>
        </w:r>
        <w:r w:rsidR="007F3993">
          <w:rPr>
            <w:rFonts w:hint="eastAsia"/>
            <w:noProof/>
            <w:webHidden/>
          </w:rPr>
          <w:fldChar w:fldCharType="end"/>
        </w:r>
      </w:hyperlink>
    </w:p>
    <w:p w14:paraId="09943111" w14:textId="48E4710D"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48" w:history="1">
        <w:r w:rsidR="007F3993" w:rsidRPr="0008528A">
          <w:rPr>
            <w:rStyle w:val="af7"/>
            <w:rFonts w:hint="eastAsia"/>
            <w:noProof/>
          </w:rPr>
          <w:t>图表</w:t>
        </w:r>
        <w:r w:rsidR="007F3993" w:rsidRPr="0008528A">
          <w:rPr>
            <w:rStyle w:val="af7"/>
            <w:rFonts w:hint="eastAsia"/>
            <w:noProof/>
          </w:rPr>
          <w:t xml:space="preserve"> 37  </w:t>
        </w:r>
        <w:r w:rsidR="007F3993" w:rsidRPr="0008528A">
          <w:rPr>
            <w:rStyle w:val="af7"/>
            <w:rFonts w:hint="eastAsia"/>
            <w:noProof/>
          </w:rPr>
          <w:t>银行代客收付款分项结构</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_Toc196399448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60</w:t>
        </w:r>
        <w:r w:rsidR="007F3993">
          <w:rPr>
            <w:rFonts w:hint="eastAsia"/>
            <w:noProof/>
            <w:webHidden/>
          </w:rPr>
          <w:fldChar w:fldCharType="end"/>
        </w:r>
      </w:hyperlink>
    </w:p>
    <w:p w14:paraId="152B20E3" w14:textId="52524978"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49" w:history="1">
        <w:r w:rsidR="007F3993" w:rsidRPr="0008528A">
          <w:rPr>
            <w:rStyle w:val="af7"/>
            <w:rFonts w:hint="eastAsia"/>
            <w:noProof/>
          </w:rPr>
          <w:t>图表</w:t>
        </w:r>
        <w:r w:rsidR="007F3993" w:rsidRPr="0008528A">
          <w:rPr>
            <w:rStyle w:val="af7"/>
            <w:rFonts w:hint="eastAsia"/>
            <w:noProof/>
          </w:rPr>
          <w:t xml:space="preserve"> 38  3</w:t>
        </w:r>
        <w:r w:rsidR="007F3993" w:rsidRPr="0008528A">
          <w:rPr>
            <w:rStyle w:val="af7"/>
            <w:rFonts w:hint="eastAsia"/>
            <w:noProof/>
          </w:rPr>
          <w:t>季度</w:t>
        </w:r>
        <w:r w:rsidR="007F3993" w:rsidRPr="0008528A">
          <w:rPr>
            <w:rStyle w:val="af7"/>
            <w:rFonts w:hint="eastAsia"/>
            <w:noProof/>
          </w:rPr>
          <w:t>CEEM</w:t>
        </w:r>
        <w:r w:rsidR="007F3993" w:rsidRPr="0008528A">
          <w:rPr>
            <w:rStyle w:val="af7"/>
            <w:rFonts w:hint="eastAsia"/>
            <w:noProof/>
          </w:rPr>
          <w:t>大宗商品指数显著反弹</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_Toc196399449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64</w:t>
        </w:r>
        <w:r w:rsidR="007F3993">
          <w:rPr>
            <w:rFonts w:hint="eastAsia"/>
            <w:noProof/>
            <w:webHidden/>
          </w:rPr>
          <w:fldChar w:fldCharType="end"/>
        </w:r>
      </w:hyperlink>
    </w:p>
    <w:p w14:paraId="3299516C" w14:textId="6291A471"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50" w:history="1">
        <w:r w:rsidR="007F3993" w:rsidRPr="0008528A">
          <w:rPr>
            <w:rStyle w:val="af7"/>
            <w:rFonts w:hint="eastAsia"/>
            <w:noProof/>
          </w:rPr>
          <w:t>图表</w:t>
        </w:r>
        <w:r w:rsidR="007F3993" w:rsidRPr="0008528A">
          <w:rPr>
            <w:rStyle w:val="af7"/>
            <w:rFonts w:hint="eastAsia"/>
            <w:noProof/>
          </w:rPr>
          <w:t xml:space="preserve"> 39  3</w:t>
        </w:r>
        <w:r w:rsidR="007F3993" w:rsidRPr="0008528A">
          <w:rPr>
            <w:rStyle w:val="af7"/>
            <w:rFonts w:hint="eastAsia"/>
            <w:noProof/>
          </w:rPr>
          <w:t>季度除煤炭以外主要商品反弹</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_Toc196399450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64</w:t>
        </w:r>
        <w:r w:rsidR="007F3993">
          <w:rPr>
            <w:rFonts w:hint="eastAsia"/>
            <w:noProof/>
            <w:webHidden/>
          </w:rPr>
          <w:fldChar w:fldCharType="end"/>
        </w:r>
      </w:hyperlink>
    </w:p>
    <w:p w14:paraId="3ED57579" w14:textId="2B237A34"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51" w:history="1">
        <w:r w:rsidR="007F3993" w:rsidRPr="0008528A">
          <w:rPr>
            <w:rStyle w:val="af7"/>
            <w:rFonts w:hint="eastAsia"/>
            <w:noProof/>
          </w:rPr>
          <w:t>图表</w:t>
        </w:r>
        <w:r w:rsidR="007F3993" w:rsidRPr="0008528A">
          <w:rPr>
            <w:rStyle w:val="af7"/>
            <w:rFonts w:hint="eastAsia"/>
            <w:noProof/>
          </w:rPr>
          <w:t xml:space="preserve"> 40  1</w:t>
        </w:r>
        <w:r w:rsidR="007F3993" w:rsidRPr="0008528A">
          <w:rPr>
            <w:rStyle w:val="af7"/>
            <w:rFonts w:hint="eastAsia"/>
            <w:noProof/>
          </w:rPr>
          <w:t>季度全球油价震荡走弱，需求侧不断被关税战负面冲击</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_Toc196399451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65</w:t>
        </w:r>
        <w:r w:rsidR="007F3993">
          <w:rPr>
            <w:rFonts w:hint="eastAsia"/>
            <w:noProof/>
            <w:webHidden/>
          </w:rPr>
          <w:fldChar w:fldCharType="end"/>
        </w:r>
      </w:hyperlink>
    </w:p>
    <w:p w14:paraId="1E08899C" w14:textId="153B54A6"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52" w:history="1">
        <w:r w:rsidR="007F3993" w:rsidRPr="0008528A">
          <w:rPr>
            <w:rStyle w:val="af7"/>
            <w:rFonts w:hint="eastAsia"/>
            <w:noProof/>
          </w:rPr>
          <w:t>图表</w:t>
        </w:r>
        <w:r w:rsidR="007F3993" w:rsidRPr="0008528A">
          <w:rPr>
            <w:rStyle w:val="af7"/>
            <w:rFonts w:hint="eastAsia"/>
            <w:noProof/>
          </w:rPr>
          <w:t xml:space="preserve"> 41  EC</w:t>
        </w:r>
        <w:r w:rsidR="007F3993" w:rsidRPr="0008528A">
          <w:rPr>
            <w:rStyle w:val="af7"/>
            <w:rFonts w:hint="eastAsia"/>
            <w:noProof/>
          </w:rPr>
          <w:t>产量逐步回升，部分产油国产出已超配额</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_Toc196399452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65</w:t>
        </w:r>
        <w:r w:rsidR="007F3993">
          <w:rPr>
            <w:rFonts w:hint="eastAsia"/>
            <w:noProof/>
            <w:webHidden/>
          </w:rPr>
          <w:fldChar w:fldCharType="end"/>
        </w:r>
      </w:hyperlink>
    </w:p>
    <w:p w14:paraId="4893F9AB" w14:textId="2EE8F497"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53" w:history="1">
        <w:r w:rsidR="007F3993" w:rsidRPr="0008528A">
          <w:rPr>
            <w:rStyle w:val="af7"/>
            <w:rFonts w:hint="eastAsia"/>
            <w:noProof/>
          </w:rPr>
          <w:t>图表</w:t>
        </w:r>
        <w:r w:rsidR="007F3993" w:rsidRPr="0008528A">
          <w:rPr>
            <w:rStyle w:val="af7"/>
            <w:rFonts w:hint="eastAsia"/>
            <w:noProof/>
          </w:rPr>
          <w:t xml:space="preserve"> 42  1</w:t>
        </w:r>
        <w:r w:rsidR="007F3993" w:rsidRPr="0008528A">
          <w:rPr>
            <w:rStyle w:val="af7"/>
            <w:rFonts w:hint="eastAsia"/>
            <w:noProof/>
          </w:rPr>
          <w:t>季度经济开局良好，中国原油总进口反弹</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_Toc196399453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66</w:t>
        </w:r>
        <w:r w:rsidR="007F3993">
          <w:rPr>
            <w:rFonts w:hint="eastAsia"/>
            <w:noProof/>
            <w:webHidden/>
          </w:rPr>
          <w:fldChar w:fldCharType="end"/>
        </w:r>
      </w:hyperlink>
    </w:p>
    <w:p w14:paraId="6FDDE059" w14:textId="1643FA95"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54" w:history="1">
        <w:r w:rsidR="007F3993" w:rsidRPr="0008528A">
          <w:rPr>
            <w:rStyle w:val="af7"/>
            <w:rFonts w:hint="eastAsia"/>
            <w:noProof/>
          </w:rPr>
          <w:t>图表</w:t>
        </w:r>
        <w:r w:rsidR="007F3993" w:rsidRPr="0008528A">
          <w:rPr>
            <w:rStyle w:val="af7"/>
            <w:rFonts w:hint="eastAsia"/>
            <w:noProof/>
          </w:rPr>
          <w:t xml:space="preserve"> 43  </w:t>
        </w:r>
        <w:r w:rsidR="007F3993" w:rsidRPr="0008528A">
          <w:rPr>
            <w:rStyle w:val="af7"/>
            <w:rFonts w:hint="eastAsia"/>
            <w:noProof/>
          </w:rPr>
          <w:t>美国原油净进口继续探底，但本土产出已开始走平</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_Toc196399454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66</w:t>
        </w:r>
        <w:r w:rsidR="007F3993">
          <w:rPr>
            <w:rFonts w:hint="eastAsia"/>
            <w:noProof/>
            <w:webHidden/>
          </w:rPr>
          <w:fldChar w:fldCharType="end"/>
        </w:r>
      </w:hyperlink>
    </w:p>
    <w:p w14:paraId="2DF49E42" w14:textId="5D850233"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55" w:history="1">
        <w:r w:rsidR="007F3993" w:rsidRPr="0008528A">
          <w:rPr>
            <w:rStyle w:val="af7"/>
            <w:rFonts w:hint="eastAsia"/>
            <w:noProof/>
          </w:rPr>
          <w:t>图表</w:t>
        </w:r>
        <w:r w:rsidR="007F3993" w:rsidRPr="0008528A">
          <w:rPr>
            <w:rStyle w:val="af7"/>
            <w:rFonts w:hint="eastAsia"/>
            <w:noProof/>
          </w:rPr>
          <w:t xml:space="preserve"> 44  </w:t>
        </w:r>
        <w:r w:rsidR="007F3993" w:rsidRPr="0008528A">
          <w:rPr>
            <w:rStyle w:val="af7"/>
            <w:rFonts w:hint="eastAsia"/>
            <w:noProof/>
          </w:rPr>
          <w:t>欧美炼油厂开工率回落</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_Toc196399455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66</w:t>
        </w:r>
        <w:r w:rsidR="007F3993">
          <w:rPr>
            <w:rFonts w:hint="eastAsia"/>
            <w:noProof/>
            <w:webHidden/>
          </w:rPr>
          <w:fldChar w:fldCharType="end"/>
        </w:r>
      </w:hyperlink>
    </w:p>
    <w:p w14:paraId="1C68216C" w14:textId="1C9623E3"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56" w:history="1">
        <w:r w:rsidR="007F3993" w:rsidRPr="0008528A">
          <w:rPr>
            <w:rStyle w:val="af7"/>
            <w:rFonts w:hint="eastAsia"/>
            <w:noProof/>
          </w:rPr>
          <w:t>图表</w:t>
        </w:r>
        <w:r w:rsidR="007F3993" w:rsidRPr="0008528A">
          <w:rPr>
            <w:rStyle w:val="af7"/>
            <w:rFonts w:hint="eastAsia"/>
            <w:noProof/>
          </w:rPr>
          <w:t xml:space="preserve"> 45  </w:t>
        </w:r>
        <w:r w:rsidR="007F3993" w:rsidRPr="0008528A">
          <w:rPr>
            <w:rStyle w:val="af7"/>
            <w:rFonts w:hint="eastAsia"/>
            <w:noProof/>
          </w:rPr>
          <w:t>美国商业原油库存近期净增长为主</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_Toc196399456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66</w:t>
        </w:r>
        <w:r w:rsidR="007F3993">
          <w:rPr>
            <w:rFonts w:hint="eastAsia"/>
            <w:noProof/>
            <w:webHidden/>
          </w:rPr>
          <w:fldChar w:fldCharType="end"/>
        </w:r>
      </w:hyperlink>
    </w:p>
    <w:p w14:paraId="61D6DEBC" w14:textId="558F713C"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57" w:history="1">
        <w:r w:rsidR="007F3993" w:rsidRPr="0008528A">
          <w:rPr>
            <w:rStyle w:val="af7"/>
            <w:rFonts w:hint="eastAsia"/>
            <w:noProof/>
          </w:rPr>
          <w:t>图表</w:t>
        </w:r>
        <w:r w:rsidR="007F3993" w:rsidRPr="0008528A">
          <w:rPr>
            <w:rStyle w:val="af7"/>
            <w:rFonts w:hint="eastAsia"/>
            <w:noProof/>
          </w:rPr>
          <w:t xml:space="preserve"> 46  LME</w:t>
        </w:r>
        <w:r w:rsidR="007F3993" w:rsidRPr="0008528A">
          <w:rPr>
            <w:rStyle w:val="af7"/>
            <w:rFonts w:hint="eastAsia"/>
            <w:noProof/>
          </w:rPr>
          <w:t>铜铝价格先涨后跌</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_Toc196399457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67</w:t>
        </w:r>
        <w:r w:rsidR="007F3993">
          <w:rPr>
            <w:rFonts w:hint="eastAsia"/>
            <w:noProof/>
            <w:webHidden/>
          </w:rPr>
          <w:fldChar w:fldCharType="end"/>
        </w:r>
      </w:hyperlink>
    </w:p>
    <w:p w14:paraId="0B2BBC79" w14:textId="11EB9FD3"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58" w:history="1">
        <w:r w:rsidR="007F3993" w:rsidRPr="0008528A">
          <w:rPr>
            <w:rStyle w:val="af7"/>
            <w:rFonts w:hint="eastAsia"/>
            <w:noProof/>
          </w:rPr>
          <w:t>图表</w:t>
        </w:r>
        <w:r w:rsidR="007F3993" w:rsidRPr="0008528A">
          <w:rPr>
            <w:rStyle w:val="af7"/>
            <w:rFonts w:hint="eastAsia"/>
            <w:noProof/>
          </w:rPr>
          <w:t xml:space="preserve"> 47  </w:t>
        </w:r>
        <w:r w:rsidR="007F3993" w:rsidRPr="0008528A">
          <w:rPr>
            <w:rStyle w:val="af7"/>
            <w:rFonts w:hint="eastAsia"/>
            <w:noProof/>
          </w:rPr>
          <w:t>全球铜库存压力缓解</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_Toc196399458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67</w:t>
        </w:r>
        <w:r w:rsidR="007F3993">
          <w:rPr>
            <w:rFonts w:hint="eastAsia"/>
            <w:noProof/>
            <w:webHidden/>
          </w:rPr>
          <w:fldChar w:fldCharType="end"/>
        </w:r>
      </w:hyperlink>
    </w:p>
    <w:p w14:paraId="27EA3032" w14:textId="34337640"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59" w:history="1">
        <w:r w:rsidR="007F3993" w:rsidRPr="0008528A">
          <w:rPr>
            <w:rStyle w:val="af7"/>
            <w:rFonts w:hint="eastAsia"/>
            <w:noProof/>
          </w:rPr>
          <w:t>图表</w:t>
        </w:r>
        <w:r w:rsidR="007F3993" w:rsidRPr="0008528A">
          <w:rPr>
            <w:rStyle w:val="af7"/>
            <w:rFonts w:hint="eastAsia"/>
            <w:noProof/>
          </w:rPr>
          <w:t xml:space="preserve"> 48  </w:t>
        </w:r>
        <w:r w:rsidR="007F3993" w:rsidRPr="0008528A">
          <w:rPr>
            <w:rStyle w:val="af7"/>
            <w:rFonts w:hint="eastAsia"/>
            <w:noProof/>
          </w:rPr>
          <w:t>国际铁矿石价格先涨后跌</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_Toc196399459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67</w:t>
        </w:r>
        <w:r w:rsidR="007F3993">
          <w:rPr>
            <w:rFonts w:hint="eastAsia"/>
            <w:noProof/>
            <w:webHidden/>
          </w:rPr>
          <w:fldChar w:fldCharType="end"/>
        </w:r>
      </w:hyperlink>
    </w:p>
    <w:p w14:paraId="5E47B784" w14:textId="4932D1AB"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60" w:history="1">
        <w:r w:rsidR="007F3993" w:rsidRPr="0008528A">
          <w:rPr>
            <w:rStyle w:val="af7"/>
            <w:rFonts w:hint="eastAsia"/>
            <w:noProof/>
          </w:rPr>
          <w:t>图表</w:t>
        </w:r>
        <w:r w:rsidR="007F3993" w:rsidRPr="0008528A">
          <w:rPr>
            <w:rStyle w:val="af7"/>
            <w:rFonts w:hint="eastAsia"/>
            <w:noProof/>
          </w:rPr>
          <w:t xml:space="preserve"> 49  </w:t>
        </w:r>
        <w:r w:rsidR="007F3993" w:rsidRPr="0008528A">
          <w:rPr>
            <w:rStyle w:val="af7"/>
            <w:rFonts w:hint="eastAsia"/>
            <w:noProof/>
          </w:rPr>
          <w:t>预估</w:t>
        </w:r>
        <w:r w:rsidR="007F3993" w:rsidRPr="0008528A">
          <w:rPr>
            <w:rStyle w:val="af7"/>
            <w:rFonts w:hint="eastAsia"/>
            <w:noProof/>
          </w:rPr>
          <w:t>4</w:t>
        </w:r>
        <w:r w:rsidR="007F3993" w:rsidRPr="0008528A">
          <w:rPr>
            <w:rStyle w:val="af7"/>
            <w:rFonts w:hint="eastAsia"/>
            <w:noProof/>
          </w:rPr>
          <w:t>季度全球贸易表现将跟随全球经济景气程度改善</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_Toc196399460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73</w:t>
        </w:r>
        <w:r w:rsidR="007F3993">
          <w:rPr>
            <w:rFonts w:hint="eastAsia"/>
            <w:noProof/>
            <w:webHidden/>
          </w:rPr>
          <w:fldChar w:fldCharType="end"/>
        </w:r>
      </w:hyperlink>
    </w:p>
    <w:p w14:paraId="00583C7E" w14:textId="1B013548"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61" w:history="1">
        <w:r w:rsidR="007F3993" w:rsidRPr="0008528A">
          <w:rPr>
            <w:rStyle w:val="af7"/>
            <w:rFonts w:hint="eastAsia"/>
            <w:noProof/>
          </w:rPr>
          <w:t>图表</w:t>
        </w:r>
        <w:r w:rsidR="007F3993" w:rsidRPr="0008528A">
          <w:rPr>
            <w:rStyle w:val="af7"/>
            <w:rFonts w:hint="eastAsia"/>
            <w:noProof/>
          </w:rPr>
          <w:t xml:space="preserve"> 50  </w:t>
        </w:r>
        <w:r w:rsidR="007F3993" w:rsidRPr="0008528A">
          <w:rPr>
            <w:rStyle w:val="af7"/>
            <w:rFonts w:hint="eastAsia"/>
            <w:noProof/>
          </w:rPr>
          <w:t>中国出口增速的地区和产品分布</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_Toc196399461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74</w:t>
        </w:r>
        <w:r w:rsidR="007F3993">
          <w:rPr>
            <w:rFonts w:hint="eastAsia"/>
            <w:noProof/>
            <w:webHidden/>
          </w:rPr>
          <w:fldChar w:fldCharType="end"/>
        </w:r>
      </w:hyperlink>
    </w:p>
    <w:p w14:paraId="541552B6" w14:textId="156E3A93"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62" w:history="1">
        <w:r w:rsidR="007F3993" w:rsidRPr="0008528A">
          <w:rPr>
            <w:rStyle w:val="af7"/>
            <w:rFonts w:hint="eastAsia"/>
            <w:noProof/>
          </w:rPr>
          <w:t>图表</w:t>
        </w:r>
        <w:r w:rsidR="007F3993" w:rsidRPr="0008528A">
          <w:rPr>
            <w:rStyle w:val="af7"/>
            <w:rFonts w:hint="eastAsia"/>
            <w:noProof/>
          </w:rPr>
          <w:t xml:space="preserve"> 51  </w:t>
        </w:r>
        <w:r w:rsidR="007F3993" w:rsidRPr="0008528A">
          <w:rPr>
            <w:rStyle w:val="af7"/>
            <w:rFonts w:hint="eastAsia"/>
            <w:noProof/>
          </w:rPr>
          <w:t>预估</w:t>
        </w:r>
        <w:r w:rsidR="007F3993" w:rsidRPr="0008528A">
          <w:rPr>
            <w:rStyle w:val="af7"/>
            <w:rFonts w:hint="eastAsia"/>
            <w:noProof/>
          </w:rPr>
          <w:t>1</w:t>
        </w:r>
        <w:r w:rsidR="007F3993" w:rsidRPr="0008528A">
          <w:rPr>
            <w:rStyle w:val="af7"/>
            <w:rFonts w:hint="eastAsia"/>
            <w:noProof/>
          </w:rPr>
          <w:t>季度全球进口需求仍能维持小幅正增长</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_Toc196399462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75</w:t>
        </w:r>
        <w:r w:rsidR="007F3993">
          <w:rPr>
            <w:rFonts w:hint="eastAsia"/>
            <w:noProof/>
            <w:webHidden/>
          </w:rPr>
          <w:fldChar w:fldCharType="end"/>
        </w:r>
      </w:hyperlink>
    </w:p>
    <w:p w14:paraId="5112FF03" w14:textId="197D9D23"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63" w:history="1">
        <w:r w:rsidR="007F3993" w:rsidRPr="0008528A">
          <w:rPr>
            <w:rStyle w:val="af7"/>
            <w:rFonts w:hint="eastAsia"/>
            <w:noProof/>
          </w:rPr>
          <w:t>图表</w:t>
        </w:r>
        <w:r w:rsidR="007F3993" w:rsidRPr="0008528A">
          <w:rPr>
            <w:rStyle w:val="af7"/>
            <w:rFonts w:hint="eastAsia"/>
            <w:noProof/>
          </w:rPr>
          <w:t xml:space="preserve"> 52  </w:t>
        </w:r>
        <w:r w:rsidR="007F3993" w:rsidRPr="0008528A">
          <w:rPr>
            <w:rStyle w:val="af7"/>
            <w:rFonts w:hint="eastAsia"/>
            <w:noProof/>
          </w:rPr>
          <w:t>预估</w:t>
        </w:r>
        <w:r w:rsidR="007F3993" w:rsidRPr="0008528A">
          <w:rPr>
            <w:rStyle w:val="af7"/>
            <w:rFonts w:hint="eastAsia"/>
            <w:noProof/>
          </w:rPr>
          <w:t>1</w:t>
        </w:r>
        <w:r w:rsidR="007F3993" w:rsidRPr="0008528A">
          <w:rPr>
            <w:rStyle w:val="af7"/>
            <w:rFonts w:hint="eastAsia"/>
            <w:noProof/>
          </w:rPr>
          <w:t>季度中国出口产品市场份额同比回升</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_Toc196399463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76</w:t>
        </w:r>
        <w:r w:rsidR="007F3993">
          <w:rPr>
            <w:rFonts w:hint="eastAsia"/>
            <w:noProof/>
            <w:webHidden/>
          </w:rPr>
          <w:fldChar w:fldCharType="end"/>
        </w:r>
      </w:hyperlink>
    </w:p>
    <w:p w14:paraId="60CDF7B8" w14:textId="7EB510F8"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64" w:history="1">
        <w:r w:rsidR="007F3993" w:rsidRPr="0008528A">
          <w:rPr>
            <w:rStyle w:val="af7"/>
            <w:rFonts w:hint="eastAsia"/>
            <w:noProof/>
          </w:rPr>
          <w:t>图表</w:t>
        </w:r>
        <w:r w:rsidR="007F3993" w:rsidRPr="0008528A">
          <w:rPr>
            <w:rStyle w:val="af7"/>
            <w:rFonts w:hint="eastAsia"/>
            <w:noProof/>
          </w:rPr>
          <w:t xml:space="preserve"> 53  </w:t>
        </w:r>
        <w:r w:rsidR="007F3993" w:rsidRPr="0008528A">
          <w:rPr>
            <w:rStyle w:val="af7"/>
            <w:rFonts w:hint="eastAsia"/>
            <w:noProof/>
          </w:rPr>
          <w:t>中国进口增速的贸易方式和产品分布</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_Toc196399464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77</w:t>
        </w:r>
        <w:r w:rsidR="007F3993">
          <w:rPr>
            <w:rFonts w:hint="eastAsia"/>
            <w:noProof/>
            <w:webHidden/>
          </w:rPr>
          <w:fldChar w:fldCharType="end"/>
        </w:r>
      </w:hyperlink>
    </w:p>
    <w:p w14:paraId="58A541AF" w14:textId="0622AE53"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65" w:history="1">
        <w:r w:rsidR="007F3993" w:rsidRPr="0008528A">
          <w:rPr>
            <w:rStyle w:val="af7"/>
            <w:rFonts w:hint="eastAsia"/>
            <w:noProof/>
          </w:rPr>
          <w:t>图表</w:t>
        </w:r>
        <w:r w:rsidR="007F3993" w:rsidRPr="0008528A">
          <w:rPr>
            <w:rStyle w:val="af7"/>
            <w:rFonts w:hint="eastAsia"/>
            <w:noProof/>
          </w:rPr>
          <w:t xml:space="preserve"> 54  </w:t>
        </w:r>
        <w:r w:rsidR="007F3993" w:rsidRPr="0008528A">
          <w:rPr>
            <w:rStyle w:val="af7"/>
            <w:rFonts w:hint="eastAsia"/>
            <w:noProof/>
          </w:rPr>
          <w:t>中国货物贸易顺差和服务贸易逆差</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_Toc196399465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78</w:t>
        </w:r>
        <w:r w:rsidR="007F3993">
          <w:rPr>
            <w:rFonts w:hint="eastAsia"/>
            <w:noProof/>
            <w:webHidden/>
          </w:rPr>
          <w:fldChar w:fldCharType="end"/>
        </w:r>
      </w:hyperlink>
    </w:p>
    <w:p w14:paraId="56D5A95E" w14:textId="6C93A25F"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66" w:history="1">
        <w:r w:rsidR="007F3993" w:rsidRPr="0008528A">
          <w:rPr>
            <w:rStyle w:val="af7"/>
            <w:rFonts w:hint="eastAsia"/>
            <w:noProof/>
          </w:rPr>
          <w:t>图表</w:t>
        </w:r>
        <w:r w:rsidR="007F3993" w:rsidRPr="0008528A">
          <w:rPr>
            <w:rStyle w:val="af7"/>
            <w:rFonts w:hint="eastAsia"/>
            <w:noProof/>
          </w:rPr>
          <w:t xml:space="preserve"> 55  2025</w:t>
        </w:r>
        <w:r w:rsidR="007F3993" w:rsidRPr="0008528A">
          <w:rPr>
            <w:rStyle w:val="af7"/>
            <w:rFonts w:hint="eastAsia"/>
            <w:noProof/>
          </w:rPr>
          <w:t>年美国关税政策及目标经济体反应</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_Toc196399466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80</w:t>
        </w:r>
        <w:r w:rsidR="007F3993">
          <w:rPr>
            <w:rFonts w:hint="eastAsia"/>
            <w:noProof/>
            <w:webHidden/>
          </w:rPr>
          <w:fldChar w:fldCharType="end"/>
        </w:r>
      </w:hyperlink>
    </w:p>
    <w:p w14:paraId="5DCF7056" w14:textId="1B903B32"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67" w:history="1">
        <w:r w:rsidR="007F3993" w:rsidRPr="0008528A">
          <w:rPr>
            <w:rStyle w:val="af7"/>
            <w:rFonts w:hint="eastAsia"/>
            <w:noProof/>
          </w:rPr>
          <w:t>图表</w:t>
        </w:r>
        <w:r w:rsidR="007F3993" w:rsidRPr="0008528A">
          <w:rPr>
            <w:rStyle w:val="af7"/>
            <w:rFonts w:hint="eastAsia"/>
            <w:noProof/>
          </w:rPr>
          <w:t xml:space="preserve"> 56  </w:t>
        </w:r>
        <w:r w:rsidR="007F3993" w:rsidRPr="0008528A">
          <w:rPr>
            <w:rStyle w:val="af7"/>
            <w:rFonts w:hint="eastAsia"/>
            <w:noProof/>
          </w:rPr>
          <w:t>美国关税政策的经济影响分析</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_Toc196399467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82</w:t>
        </w:r>
        <w:r w:rsidR="007F3993">
          <w:rPr>
            <w:rFonts w:hint="eastAsia"/>
            <w:noProof/>
            <w:webHidden/>
          </w:rPr>
          <w:fldChar w:fldCharType="end"/>
        </w:r>
      </w:hyperlink>
    </w:p>
    <w:p w14:paraId="7A157060" w14:textId="175A7090"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68" w:history="1">
        <w:r w:rsidR="007F3993" w:rsidRPr="0008528A">
          <w:rPr>
            <w:rStyle w:val="af7"/>
            <w:rFonts w:hint="eastAsia"/>
            <w:noProof/>
          </w:rPr>
          <w:t>图表</w:t>
        </w:r>
        <w:r w:rsidR="007F3993" w:rsidRPr="0008528A">
          <w:rPr>
            <w:rStyle w:val="af7"/>
            <w:rFonts w:hint="eastAsia"/>
            <w:noProof/>
          </w:rPr>
          <w:t xml:space="preserve"> 57  </w:t>
        </w:r>
        <w:r w:rsidR="007F3993" w:rsidRPr="0008528A">
          <w:rPr>
            <w:rStyle w:val="af7"/>
            <w:rFonts w:hint="eastAsia"/>
            <w:noProof/>
          </w:rPr>
          <w:t>全球及主要经济体制造业</w:t>
        </w:r>
        <w:r w:rsidR="007F3993" w:rsidRPr="0008528A">
          <w:rPr>
            <w:rStyle w:val="af7"/>
            <w:rFonts w:hint="eastAsia"/>
            <w:noProof/>
          </w:rPr>
          <w:t>PMI</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_Toc196399468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84</w:t>
        </w:r>
        <w:r w:rsidR="007F3993">
          <w:rPr>
            <w:rFonts w:hint="eastAsia"/>
            <w:noProof/>
            <w:webHidden/>
          </w:rPr>
          <w:fldChar w:fldCharType="end"/>
        </w:r>
      </w:hyperlink>
    </w:p>
    <w:p w14:paraId="23850A9D" w14:textId="36B59F3F" w:rsidR="007F3993" w:rsidRDefault="006208B3">
      <w:pPr>
        <w:pStyle w:val="ad"/>
        <w:rPr>
          <w:rFonts w:asciiTheme="minorHAnsi" w:eastAsiaTheme="minorEastAsia" w:hAnsiTheme="minorHAnsi" w:cstheme="minorBidi"/>
          <w:noProof/>
          <w:sz w:val="22"/>
          <w:lang w:eastAsia="zh-CN" w:bidi="ar-SA"/>
          <w14:ligatures w14:val="standardContextual"/>
        </w:rPr>
      </w:pPr>
      <w:hyperlink w:anchor="_Toc196399469" w:history="1">
        <w:r w:rsidR="007F3993" w:rsidRPr="0008528A">
          <w:rPr>
            <w:rStyle w:val="af7"/>
            <w:rFonts w:hint="eastAsia"/>
            <w:noProof/>
          </w:rPr>
          <w:t>图表</w:t>
        </w:r>
        <w:r w:rsidR="007F3993" w:rsidRPr="0008528A">
          <w:rPr>
            <w:rStyle w:val="af7"/>
            <w:rFonts w:hint="eastAsia"/>
            <w:noProof/>
          </w:rPr>
          <w:t xml:space="preserve"> 58  </w:t>
        </w:r>
        <w:r w:rsidR="007F3993" w:rsidRPr="0008528A">
          <w:rPr>
            <w:rStyle w:val="af7"/>
            <w:rFonts w:hint="eastAsia"/>
            <w:noProof/>
          </w:rPr>
          <w:t>中国外贸数据概览</w:t>
        </w:r>
        <w:r w:rsidR="007F3993">
          <w:rPr>
            <w:rFonts w:hint="eastAsia"/>
            <w:noProof/>
            <w:webHidden/>
          </w:rPr>
          <w:tab/>
        </w:r>
        <w:r w:rsidR="007F3993">
          <w:rPr>
            <w:rFonts w:hint="eastAsia"/>
            <w:noProof/>
            <w:webHidden/>
          </w:rPr>
          <w:fldChar w:fldCharType="begin"/>
        </w:r>
        <w:r w:rsidR="007F3993">
          <w:rPr>
            <w:rFonts w:hint="eastAsia"/>
            <w:noProof/>
            <w:webHidden/>
          </w:rPr>
          <w:instrText xml:space="preserve"> </w:instrText>
        </w:r>
        <w:r w:rsidR="007F3993">
          <w:rPr>
            <w:noProof/>
            <w:webHidden/>
          </w:rPr>
          <w:instrText>PAGEREF _Toc196399469 \h</w:instrText>
        </w:r>
        <w:r w:rsidR="007F3993">
          <w:rPr>
            <w:rFonts w:hint="eastAsia"/>
            <w:noProof/>
            <w:webHidden/>
          </w:rPr>
          <w:instrText xml:space="preserve"> </w:instrText>
        </w:r>
        <w:r w:rsidR="007F3993">
          <w:rPr>
            <w:rFonts w:hint="eastAsia"/>
            <w:noProof/>
            <w:webHidden/>
          </w:rPr>
        </w:r>
        <w:r w:rsidR="007F3993">
          <w:rPr>
            <w:rFonts w:hint="eastAsia"/>
            <w:noProof/>
            <w:webHidden/>
          </w:rPr>
          <w:fldChar w:fldCharType="separate"/>
        </w:r>
        <w:r w:rsidR="00530ED7">
          <w:rPr>
            <w:noProof/>
            <w:webHidden/>
          </w:rPr>
          <w:t>84</w:t>
        </w:r>
        <w:r w:rsidR="007F3993">
          <w:rPr>
            <w:rFonts w:hint="eastAsia"/>
            <w:noProof/>
            <w:webHidden/>
          </w:rPr>
          <w:fldChar w:fldCharType="end"/>
        </w:r>
      </w:hyperlink>
    </w:p>
    <w:p w14:paraId="188B0034" w14:textId="41F4E6B4" w:rsidR="00CD310D" w:rsidRDefault="001E11C8">
      <w:pPr>
        <w:ind w:firstLine="480"/>
        <w:rPr>
          <w:lang w:eastAsia="zh-CN"/>
        </w:rPr>
        <w:sectPr w:rsidR="00CD310D">
          <w:headerReference w:type="default" r:id="rId17"/>
          <w:pgSz w:w="11906" w:h="16838"/>
          <w:pgMar w:top="1440" w:right="1800" w:bottom="1440" w:left="1800" w:header="851" w:footer="992" w:gutter="0"/>
          <w:pgNumType w:fmt="upperRoman" w:start="1"/>
          <w:cols w:space="425"/>
          <w:docGrid w:type="lines" w:linePitch="326"/>
        </w:sectPr>
      </w:pPr>
      <w:r>
        <w:rPr>
          <w:lang w:eastAsia="zh-CN"/>
        </w:rPr>
        <w:fldChar w:fldCharType="end"/>
      </w:r>
    </w:p>
    <w:tbl>
      <w:tblPr>
        <w:tblW w:w="9498" w:type="dxa"/>
        <w:tblInd w:w="-567" w:type="dxa"/>
        <w:tblLook w:val="04A0" w:firstRow="1" w:lastRow="0" w:firstColumn="1" w:lastColumn="0" w:noHBand="0" w:noVBand="1"/>
      </w:tblPr>
      <w:tblGrid>
        <w:gridCol w:w="1701"/>
        <w:gridCol w:w="284"/>
        <w:gridCol w:w="7513"/>
      </w:tblGrid>
      <w:tr w:rsidR="00384922" w14:paraId="5A76BDB2" w14:textId="77777777" w:rsidTr="00CA02FA">
        <w:tc>
          <w:tcPr>
            <w:tcW w:w="9498" w:type="dxa"/>
            <w:gridSpan w:val="3"/>
          </w:tcPr>
          <w:p w14:paraId="72239778" w14:textId="77777777" w:rsidR="00384922" w:rsidRDefault="00384922" w:rsidP="00B73978">
            <w:pPr>
              <w:pStyle w:val="1"/>
              <w:rPr>
                <w:b w:val="0"/>
                <w:bCs w:val="0"/>
                <w:color w:val="FF0000"/>
                <w:lang w:bidi="en-US"/>
              </w:rPr>
            </w:pPr>
            <w:bookmarkStart w:id="13" w:name="_Toc196364973"/>
            <w:r>
              <w:rPr>
                <w:rFonts w:hint="eastAsia"/>
                <w:lang w:bidi="en-US"/>
              </w:rPr>
              <w:lastRenderedPageBreak/>
              <w:t>美国经济：衰退风险上升</w:t>
            </w:r>
            <w:bookmarkEnd w:id="13"/>
          </w:p>
        </w:tc>
      </w:tr>
      <w:tr w:rsidR="00384922" w14:paraId="3B95D9A9" w14:textId="77777777" w:rsidTr="00CA02FA">
        <w:tc>
          <w:tcPr>
            <w:tcW w:w="9498" w:type="dxa"/>
            <w:gridSpan w:val="3"/>
          </w:tcPr>
          <w:p w14:paraId="09C73DAD" w14:textId="5818A82B" w:rsidR="00384922" w:rsidRDefault="00384922" w:rsidP="00C45009">
            <w:pPr>
              <w:ind w:firstLine="480"/>
              <w:rPr>
                <w:lang w:eastAsia="zh-CN"/>
              </w:rPr>
            </w:pPr>
            <w:r>
              <w:rPr>
                <w:rFonts w:hint="eastAsia"/>
                <w:lang w:eastAsia="zh-CN"/>
              </w:rPr>
              <w:t>2</w:t>
            </w:r>
            <w:r w:rsidRPr="00B73978">
              <w:rPr>
                <w:lang w:eastAsia="zh-CN"/>
              </w:rPr>
              <w:t>02</w:t>
            </w:r>
            <w:r w:rsidRPr="00B73978">
              <w:rPr>
                <w:rFonts w:hint="eastAsia"/>
                <w:lang w:eastAsia="zh-CN"/>
              </w:rPr>
              <w:t>5</w:t>
            </w:r>
            <w:r w:rsidRPr="00B73978">
              <w:rPr>
                <w:rFonts w:hint="eastAsia"/>
                <w:lang w:eastAsia="zh-CN"/>
              </w:rPr>
              <w:t>年</w:t>
            </w:r>
            <w:r w:rsidR="00107520">
              <w:rPr>
                <w:rFonts w:hint="eastAsia"/>
                <w:lang w:eastAsia="zh-CN"/>
              </w:rPr>
              <w:t>1</w:t>
            </w:r>
            <w:r w:rsidRPr="00B73978">
              <w:rPr>
                <w:rFonts w:hint="eastAsia"/>
                <w:lang w:eastAsia="zh-CN"/>
              </w:rPr>
              <w:t>季度，美国消费和私人投资继续正向拉动经济增长，但在关税政策冲击下，经济增长动能快速减弱。软数据（预期类调查数据）已大幅走弱，硬数据（消费、就业等指标）虽然尚未受到实质性冲击但风险明显上升，关税等政策的不确定性正导致企业投资放缓和消费者信心减弱。美联储在</w:t>
            </w:r>
            <w:r w:rsidRPr="00B73978">
              <w:rPr>
                <w:rFonts w:hint="eastAsia"/>
                <w:lang w:eastAsia="zh-CN"/>
              </w:rPr>
              <w:t>1</w:t>
            </w:r>
            <w:r w:rsidRPr="00B73978">
              <w:rPr>
                <w:rFonts w:hint="eastAsia"/>
                <w:lang w:eastAsia="zh-CN"/>
              </w:rPr>
              <w:t>月和</w:t>
            </w:r>
            <w:r w:rsidRPr="00B73978">
              <w:rPr>
                <w:rFonts w:hint="eastAsia"/>
                <w:lang w:eastAsia="zh-CN"/>
              </w:rPr>
              <w:t>3</w:t>
            </w:r>
            <w:r w:rsidRPr="00B73978">
              <w:rPr>
                <w:rFonts w:hint="eastAsia"/>
                <w:lang w:eastAsia="zh-CN"/>
              </w:rPr>
              <w:t>月议息会议皆维持利率水平不变，其货币政策很可能陷入“两难”困境，且特朗普多次扬言要解雇鲍威尔的职务，美联储的独立性面临严峻挑战。展望</w:t>
            </w:r>
            <w:r w:rsidRPr="00B73978">
              <w:rPr>
                <w:rFonts w:hint="eastAsia"/>
                <w:lang w:eastAsia="zh-CN"/>
              </w:rPr>
              <w:t>2025</w:t>
            </w:r>
            <w:r w:rsidRPr="00B73978">
              <w:rPr>
                <w:rFonts w:hint="eastAsia"/>
                <w:lang w:eastAsia="zh-CN"/>
              </w:rPr>
              <w:t>年，特朗普政府的关税政策正在导致经济衰退风险不断上升。</w:t>
            </w:r>
          </w:p>
        </w:tc>
      </w:tr>
      <w:tr w:rsidR="00384922" w14:paraId="05160BE5" w14:textId="77777777" w:rsidTr="00CA02FA">
        <w:trPr>
          <w:trHeight w:val="993"/>
        </w:trPr>
        <w:tc>
          <w:tcPr>
            <w:tcW w:w="1701" w:type="dxa"/>
            <w:vAlign w:val="center"/>
          </w:tcPr>
          <w:p w14:paraId="7ECBEAA1" w14:textId="19F358B7" w:rsidR="00384922" w:rsidRDefault="00384922" w:rsidP="00D12537">
            <w:pPr>
              <w:spacing w:beforeLines="50" w:before="163"/>
              <w:ind w:firstLine="562"/>
              <w:jc w:val="center"/>
              <w:rPr>
                <w:b/>
                <w:sz w:val="28"/>
                <w:szCs w:val="28"/>
                <w:lang w:eastAsia="zh-CN"/>
              </w:rPr>
            </w:pPr>
          </w:p>
          <w:p w14:paraId="6FF51234" w14:textId="77777777" w:rsidR="00384922" w:rsidRDefault="00384922" w:rsidP="00000FFC">
            <w:pPr>
              <w:ind w:firstLineChars="0" w:firstLine="0"/>
              <w:rPr>
                <w:b/>
                <w:lang w:eastAsia="zh-CN"/>
              </w:rPr>
            </w:pPr>
            <w:r w:rsidRPr="00C45009">
              <w:rPr>
                <w:rFonts w:ascii="Times" w:eastAsia="宋体" w:hAnsi="Times" w:hint="eastAsia"/>
                <w:b/>
                <w:lang w:eastAsia="zh-CN" w:bidi="ar-SA"/>
              </w:rPr>
              <w:t>1</w:t>
            </w:r>
            <w:r w:rsidRPr="00C45009">
              <w:rPr>
                <w:rFonts w:ascii="Times" w:eastAsia="宋体" w:hAnsi="Times" w:hint="eastAsia"/>
                <w:b/>
                <w:lang w:eastAsia="zh-CN" w:bidi="ar-SA"/>
              </w:rPr>
              <w:t>季度美国经济负增长。</w:t>
            </w:r>
          </w:p>
        </w:tc>
        <w:tc>
          <w:tcPr>
            <w:tcW w:w="284" w:type="dxa"/>
          </w:tcPr>
          <w:p w14:paraId="27C84E80" w14:textId="77777777" w:rsidR="00384922" w:rsidRDefault="00384922" w:rsidP="00D72849">
            <w:pPr>
              <w:keepNext/>
              <w:keepLines/>
              <w:spacing w:before="260" w:after="260"/>
              <w:ind w:firstLine="480"/>
              <w:rPr>
                <w:rFonts w:eastAsia="楷体_GB2312"/>
                <w:lang w:eastAsia="zh-CN"/>
              </w:rPr>
            </w:pPr>
          </w:p>
        </w:tc>
        <w:tc>
          <w:tcPr>
            <w:tcW w:w="7513" w:type="dxa"/>
          </w:tcPr>
          <w:p w14:paraId="4A7856D9" w14:textId="77777777" w:rsidR="00384922" w:rsidRDefault="00384922" w:rsidP="00B73978">
            <w:pPr>
              <w:spacing w:beforeLines="50" w:before="163"/>
              <w:ind w:firstLineChars="0" w:firstLine="0"/>
              <w:rPr>
                <w:kern w:val="0"/>
                <w:lang w:eastAsia="zh-CN"/>
              </w:rPr>
            </w:pPr>
            <w:r>
              <w:rPr>
                <w:b/>
                <w:sz w:val="28"/>
                <w:szCs w:val="28"/>
                <w:lang w:eastAsia="zh-CN"/>
              </w:rPr>
              <w:t>一、</w:t>
            </w:r>
            <w:r>
              <w:rPr>
                <w:rFonts w:hint="eastAsia"/>
                <w:b/>
                <w:sz w:val="28"/>
                <w:szCs w:val="28"/>
                <w:lang w:eastAsia="zh-CN"/>
              </w:rPr>
              <w:t>经济运行形势</w:t>
            </w:r>
          </w:p>
          <w:p w14:paraId="05A88E37" w14:textId="77777777" w:rsidR="00384922" w:rsidRDefault="00384922" w:rsidP="00D72849">
            <w:pPr>
              <w:ind w:firstLine="482"/>
              <w:rPr>
                <w:kern w:val="0"/>
                <w:lang w:eastAsia="zh-CN"/>
              </w:rPr>
            </w:pPr>
            <w:r>
              <w:rPr>
                <w:rFonts w:hint="eastAsia"/>
                <w:b/>
                <w:kern w:val="0"/>
                <w:lang w:eastAsia="zh-CN"/>
              </w:rPr>
              <w:t>制造业</w:t>
            </w:r>
            <w:r>
              <w:rPr>
                <w:rFonts w:hint="eastAsia"/>
                <w:b/>
                <w:kern w:val="0"/>
                <w:lang w:eastAsia="zh-CN"/>
              </w:rPr>
              <w:t>P</w:t>
            </w:r>
            <w:r>
              <w:rPr>
                <w:b/>
                <w:kern w:val="0"/>
                <w:lang w:eastAsia="zh-CN"/>
              </w:rPr>
              <w:t>MI</w:t>
            </w:r>
            <w:r>
              <w:rPr>
                <w:rFonts w:hint="eastAsia"/>
                <w:b/>
                <w:kern w:val="0"/>
                <w:lang w:eastAsia="zh-CN"/>
              </w:rPr>
              <w:t>再现萎缩，非制造业</w:t>
            </w:r>
            <w:r>
              <w:rPr>
                <w:rFonts w:hint="eastAsia"/>
                <w:b/>
                <w:kern w:val="0"/>
                <w:lang w:eastAsia="zh-CN"/>
              </w:rPr>
              <w:t>P</w:t>
            </w:r>
            <w:r>
              <w:rPr>
                <w:b/>
                <w:kern w:val="0"/>
                <w:lang w:eastAsia="zh-CN"/>
              </w:rPr>
              <w:t>MI</w:t>
            </w:r>
            <w:r>
              <w:rPr>
                <w:rFonts w:hint="eastAsia"/>
                <w:b/>
                <w:kern w:val="0"/>
                <w:lang w:eastAsia="zh-CN"/>
              </w:rPr>
              <w:t>濒临衰退。</w:t>
            </w:r>
            <w:r>
              <w:rPr>
                <w:rFonts w:hint="eastAsia"/>
                <w:kern w:val="0"/>
                <w:lang w:eastAsia="zh-CN"/>
              </w:rPr>
              <w:t>制造业</w:t>
            </w:r>
            <w:r>
              <w:rPr>
                <w:rFonts w:hint="eastAsia"/>
                <w:kern w:val="0"/>
                <w:lang w:eastAsia="zh-CN"/>
              </w:rPr>
              <w:t>PMI</w:t>
            </w:r>
            <w:r>
              <w:rPr>
                <w:rFonts w:hint="eastAsia"/>
                <w:kern w:val="0"/>
                <w:lang w:eastAsia="zh-CN"/>
              </w:rPr>
              <w:t>在今年</w:t>
            </w:r>
            <w:r>
              <w:rPr>
                <w:rFonts w:hint="eastAsia"/>
                <w:kern w:val="0"/>
                <w:lang w:eastAsia="zh-CN"/>
              </w:rPr>
              <w:t>1</w:t>
            </w:r>
            <w:r>
              <w:rPr>
                <w:rFonts w:hint="eastAsia"/>
                <w:kern w:val="0"/>
                <w:lang w:eastAsia="zh-CN"/>
              </w:rPr>
              <w:t>月和</w:t>
            </w:r>
            <w:r>
              <w:rPr>
                <w:rFonts w:hint="eastAsia"/>
                <w:kern w:val="0"/>
                <w:lang w:eastAsia="zh-CN"/>
              </w:rPr>
              <w:t>2</w:t>
            </w:r>
            <w:r>
              <w:rPr>
                <w:rFonts w:hint="eastAsia"/>
                <w:kern w:val="0"/>
                <w:lang w:eastAsia="zh-CN"/>
              </w:rPr>
              <w:t>月上升至荣枯线之上后，</w:t>
            </w:r>
            <w:r>
              <w:rPr>
                <w:rFonts w:hint="eastAsia"/>
                <w:kern w:val="0"/>
                <w:lang w:eastAsia="zh-CN"/>
              </w:rPr>
              <w:t>3</w:t>
            </w:r>
            <w:r>
              <w:rPr>
                <w:rFonts w:hint="eastAsia"/>
                <w:kern w:val="0"/>
                <w:lang w:eastAsia="zh-CN"/>
              </w:rPr>
              <w:t>月再次陷入萎缩。其中，</w:t>
            </w:r>
            <w:r>
              <w:rPr>
                <w:rFonts w:hint="eastAsia"/>
                <w:kern w:val="0"/>
                <w:lang w:eastAsia="zh-CN"/>
              </w:rPr>
              <w:t>3</w:t>
            </w:r>
            <w:r>
              <w:rPr>
                <w:rFonts w:hint="eastAsia"/>
                <w:kern w:val="0"/>
                <w:lang w:eastAsia="zh-CN"/>
              </w:rPr>
              <w:t>月，新订单指数大幅降至</w:t>
            </w:r>
            <w:r>
              <w:rPr>
                <w:rFonts w:hint="eastAsia"/>
                <w:kern w:val="0"/>
                <w:lang w:eastAsia="zh-CN"/>
              </w:rPr>
              <w:t>45.2</w:t>
            </w:r>
            <w:r>
              <w:rPr>
                <w:rFonts w:hint="eastAsia"/>
                <w:kern w:val="0"/>
                <w:lang w:eastAsia="zh-CN"/>
              </w:rPr>
              <w:t>，就业指数大幅降至</w:t>
            </w:r>
            <w:r>
              <w:rPr>
                <w:rFonts w:hint="eastAsia"/>
                <w:kern w:val="0"/>
                <w:lang w:eastAsia="zh-CN"/>
              </w:rPr>
              <w:t>44.7</w:t>
            </w:r>
            <w:r>
              <w:rPr>
                <w:rFonts w:hint="eastAsia"/>
                <w:kern w:val="0"/>
                <w:lang w:eastAsia="zh-CN"/>
              </w:rPr>
              <w:t>。</w:t>
            </w:r>
            <w:r>
              <w:rPr>
                <w:rFonts w:hint="eastAsia"/>
                <w:kern w:val="0"/>
                <w:lang w:eastAsia="zh-CN"/>
              </w:rPr>
              <w:t>3</w:t>
            </w:r>
            <w:r>
              <w:rPr>
                <w:rFonts w:hint="eastAsia"/>
                <w:kern w:val="0"/>
                <w:lang w:eastAsia="zh-CN"/>
              </w:rPr>
              <w:t>月，非制造业</w:t>
            </w:r>
            <w:r>
              <w:rPr>
                <w:rFonts w:hint="eastAsia"/>
                <w:kern w:val="0"/>
                <w:lang w:eastAsia="zh-CN"/>
              </w:rPr>
              <w:t>PMI</w:t>
            </w:r>
            <w:r>
              <w:rPr>
                <w:rFonts w:hint="eastAsia"/>
                <w:kern w:val="0"/>
                <w:lang w:eastAsia="zh-CN"/>
              </w:rPr>
              <w:t>降至</w:t>
            </w:r>
            <w:r>
              <w:rPr>
                <w:rFonts w:hint="eastAsia"/>
                <w:kern w:val="0"/>
                <w:lang w:eastAsia="zh-CN"/>
              </w:rPr>
              <w:t>50.8</w:t>
            </w:r>
            <w:r>
              <w:rPr>
                <w:rFonts w:hint="eastAsia"/>
                <w:kern w:val="0"/>
                <w:lang w:eastAsia="zh-CN"/>
              </w:rPr>
              <w:t>，处于衰退临界点，反映近年来支持美国经济扩张的主要力量服务业也趋于疲软。</w:t>
            </w:r>
          </w:p>
          <w:p w14:paraId="2E647D1E" w14:textId="77777777" w:rsidR="00384922" w:rsidRDefault="00384922" w:rsidP="00D72849">
            <w:pPr>
              <w:ind w:firstLine="480"/>
              <w:rPr>
                <w:color w:val="FF0000"/>
                <w:kern w:val="0"/>
                <w:lang w:eastAsia="zh-CN"/>
              </w:rPr>
            </w:pPr>
          </w:p>
          <w:p w14:paraId="621A33D3" w14:textId="61E7FB1D" w:rsidR="00384922" w:rsidRPr="00C45009" w:rsidRDefault="00DB2622" w:rsidP="00D37774">
            <w:pPr>
              <w:pStyle w:val="a4"/>
            </w:pPr>
            <w:bookmarkStart w:id="14" w:name="_Toc196399412"/>
            <w:r>
              <w:rPr>
                <w:rFonts w:hint="eastAsia"/>
              </w:rPr>
              <w:t xml:space="preserve">图表 </w:t>
            </w:r>
            <w:r>
              <w:rPr>
                <w:rFonts w:hint="eastAsia"/>
              </w:rPr>
              <w:fldChar w:fldCharType="begin"/>
            </w:r>
            <w:r>
              <w:rPr>
                <w:rFonts w:hint="eastAsia"/>
              </w:rPr>
              <w:instrText xml:space="preserve"> SEQ 图表 \* ARABIC </w:instrText>
            </w:r>
            <w:r>
              <w:rPr>
                <w:rFonts w:hint="eastAsia"/>
              </w:rPr>
              <w:fldChar w:fldCharType="separate"/>
            </w:r>
            <w:r w:rsidR="00530ED7">
              <w:rPr>
                <w:rFonts w:hint="eastAsia"/>
                <w:noProof/>
              </w:rPr>
              <w:t>1</w:t>
            </w:r>
            <w:r>
              <w:rPr>
                <w:rFonts w:hint="eastAsia"/>
              </w:rPr>
              <w:fldChar w:fldCharType="end"/>
            </w:r>
            <w:r w:rsidR="00D37774" w:rsidRPr="00D37774">
              <w:t xml:space="preserve">  </w:t>
            </w:r>
            <w:r w:rsidR="00384922" w:rsidRPr="00C45009">
              <w:t>美国</w:t>
            </w:r>
            <w:r w:rsidR="00384922" w:rsidRPr="00C45009">
              <w:rPr>
                <w:rFonts w:hint="eastAsia"/>
              </w:rPr>
              <w:t>制造业和非制造业</w:t>
            </w:r>
            <w:r w:rsidR="00384922" w:rsidRPr="00C45009">
              <w:t>PMI</w:t>
            </w:r>
            <w:r w:rsidR="00384922" w:rsidRPr="00C45009">
              <w:rPr>
                <w:rFonts w:hint="eastAsia"/>
              </w:rPr>
              <w:t>（I</w:t>
            </w:r>
            <w:r w:rsidR="00384922" w:rsidRPr="00C45009">
              <w:t>SM</w:t>
            </w:r>
            <w:r w:rsidR="00384922" w:rsidRPr="00C45009">
              <w:rPr>
                <w:rFonts w:hint="eastAsia"/>
              </w:rPr>
              <w:t>）</w:t>
            </w:r>
            <w:bookmarkEnd w:id="14"/>
          </w:p>
          <w:p w14:paraId="22430CE8" w14:textId="77777777" w:rsidR="00384922" w:rsidRDefault="00384922" w:rsidP="00C45009">
            <w:pPr>
              <w:ind w:firstLineChars="0" w:firstLine="0"/>
              <w:jc w:val="center"/>
              <w:rPr>
                <w:color w:val="000000"/>
                <w:kern w:val="0"/>
              </w:rPr>
            </w:pPr>
            <w:r>
              <w:rPr>
                <w:noProof/>
                <w:color w:val="000000"/>
                <w:kern w:val="0"/>
                <w:lang w:eastAsia="zh-CN" w:bidi="ar-SA"/>
              </w:rPr>
              <w:drawing>
                <wp:inline distT="0" distB="0" distL="0" distR="0" wp14:anchorId="690C2199" wp14:editId="78EE67CD">
                  <wp:extent cx="4070350" cy="2519487"/>
                  <wp:effectExtent l="0" t="0" r="6350" b="0"/>
                  <wp:docPr id="66197528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975284" name="图片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4084936" cy="2528516"/>
                          </a:xfrm>
                          <a:prstGeom prst="rect">
                            <a:avLst/>
                          </a:prstGeom>
                          <a:noFill/>
                        </pic:spPr>
                      </pic:pic>
                    </a:graphicData>
                  </a:graphic>
                </wp:inline>
              </w:drawing>
            </w:r>
          </w:p>
          <w:p w14:paraId="0152DF4D" w14:textId="3D2D1722" w:rsidR="00384922" w:rsidRDefault="00384922" w:rsidP="00D72849">
            <w:pPr>
              <w:ind w:firstLine="482"/>
              <w:rPr>
                <w:kern w:val="0"/>
                <w:lang w:eastAsia="zh-CN"/>
              </w:rPr>
            </w:pPr>
            <w:r>
              <w:rPr>
                <w:rFonts w:hint="eastAsia"/>
                <w:b/>
                <w:bCs/>
                <w:kern w:val="0"/>
                <w:lang w:eastAsia="zh-CN"/>
              </w:rPr>
              <w:t>个人收入与支出仍具韧性。</w:t>
            </w:r>
            <w:r>
              <w:rPr>
                <w:rFonts w:hint="eastAsia"/>
                <w:kern w:val="0"/>
                <w:lang w:eastAsia="zh-CN"/>
              </w:rPr>
              <w:t>2025</w:t>
            </w:r>
            <w:r>
              <w:rPr>
                <w:rFonts w:hint="eastAsia"/>
                <w:kern w:val="0"/>
                <w:lang w:eastAsia="zh-CN"/>
              </w:rPr>
              <w:t>年</w:t>
            </w:r>
            <w:r>
              <w:rPr>
                <w:rFonts w:hint="eastAsia"/>
                <w:kern w:val="0"/>
                <w:lang w:eastAsia="zh-CN"/>
              </w:rPr>
              <w:t>1</w:t>
            </w:r>
            <w:r>
              <w:rPr>
                <w:rFonts w:hint="eastAsia"/>
                <w:kern w:val="0"/>
                <w:lang w:eastAsia="zh-CN"/>
              </w:rPr>
              <w:t>月至</w:t>
            </w:r>
            <w:bookmarkStart w:id="15" w:name="_GoBack"/>
            <w:bookmarkEnd w:id="15"/>
            <w:r>
              <w:rPr>
                <w:rFonts w:hint="eastAsia"/>
                <w:kern w:val="0"/>
                <w:lang w:eastAsia="zh-CN"/>
              </w:rPr>
              <w:t>2</w:t>
            </w:r>
            <w:r>
              <w:rPr>
                <w:rFonts w:hint="eastAsia"/>
                <w:kern w:val="0"/>
                <w:lang w:eastAsia="zh-CN"/>
              </w:rPr>
              <w:t>月美国个人收入同比增速分别为</w:t>
            </w:r>
            <w:r>
              <w:rPr>
                <w:rFonts w:hint="eastAsia"/>
                <w:kern w:val="0"/>
                <w:lang w:eastAsia="zh-CN"/>
              </w:rPr>
              <w:t>4.2%</w:t>
            </w:r>
            <w:r>
              <w:rPr>
                <w:rFonts w:hint="eastAsia"/>
                <w:kern w:val="0"/>
                <w:lang w:eastAsia="zh-CN"/>
              </w:rPr>
              <w:t>和</w:t>
            </w:r>
            <w:r>
              <w:rPr>
                <w:rFonts w:hint="eastAsia"/>
                <w:kern w:val="0"/>
                <w:lang w:eastAsia="zh-CN"/>
              </w:rPr>
              <w:t>4.6%</w:t>
            </w:r>
            <w:r>
              <w:rPr>
                <w:rFonts w:hint="eastAsia"/>
                <w:kern w:val="0"/>
                <w:lang w:eastAsia="zh-CN"/>
              </w:rPr>
              <w:t>；美国个人消费支出同比增速皆为</w:t>
            </w:r>
            <w:r>
              <w:rPr>
                <w:rFonts w:hint="eastAsia"/>
                <w:kern w:val="0"/>
                <w:lang w:eastAsia="zh-CN"/>
              </w:rPr>
              <w:t>5.4</w:t>
            </w:r>
            <w:r>
              <w:rPr>
                <w:kern w:val="0"/>
                <w:lang w:eastAsia="zh-CN"/>
              </w:rPr>
              <w:t>%</w:t>
            </w:r>
            <w:r>
              <w:rPr>
                <w:rFonts w:hint="eastAsia"/>
                <w:kern w:val="0"/>
                <w:lang w:eastAsia="zh-CN"/>
              </w:rPr>
              <w:t>和</w:t>
            </w:r>
            <w:r>
              <w:rPr>
                <w:rFonts w:hint="eastAsia"/>
                <w:kern w:val="0"/>
                <w:lang w:eastAsia="zh-CN"/>
              </w:rPr>
              <w:t>5.3%</w:t>
            </w:r>
            <w:r>
              <w:rPr>
                <w:rFonts w:hint="eastAsia"/>
                <w:kern w:val="0"/>
                <w:lang w:eastAsia="zh-CN"/>
              </w:rPr>
              <w:t>。</w:t>
            </w:r>
          </w:p>
          <w:p w14:paraId="634D373B" w14:textId="77777777" w:rsidR="00384922" w:rsidRDefault="00384922" w:rsidP="00D72849">
            <w:pPr>
              <w:ind w:firstLine="480"/>
              <w:rPr>
                <w:kern w:val="0"/>
                <w:lang w:eastAsia="zh-CN"/>
              </w:rPr>
            </w:pPr>
            <w:r>
              <w:rPr>
                <w:rFonts w:hint="eastAsia"/>
                <w:kern w:val="0"/>
                <w:lang w:eastAsia="zh-CN"/>
              </w:rPr>
              <w:lastRenderedPageBreak/>
              <w:t>1</w:t>
            </w:r>
            <w:r>
              <w:rPr>
                <w:rFonts w:hint="eastAsia"/>
                <w:kern w:val="0"/>
                <w:lang w:eastAsia="zh-CN"/>
              </w:rPr>
              <w:t>月至</w:t>
            </w:r>
            <w:r>
              <w:rPr>
                <w:rFonts w:hint="eastAsia"/>
                <w:kern w:val="0"/>
                <w:lang w:eastAsia="zh-CN"/>
              </w:rPr>
              <w:t>3</w:t>
            </w:r>
            <w:r>
              <w:rPr>
                <w:rFonts w:hint="eastAsia"/>
                <w:kern w:val="0"/>
                <w:lang w:eastAsia="zh-CN"/>
              </w:rPr>
              <w:t>月，美国轻型机动车总销量的折年数分别为</w:t>
            </w:r>
            <w:r>
              <w:rPr>
                <w:rFonts w:hint="eastAsia"/>
                <w:kern w:val="0"/>
                <w:lang w:eastAsia="zh-CN"/>
              </w:rPr>
              <w:t>1560</w:t>
            </w:r>
            <w:r>
              <w:rPr>
                <w:rFonts w:hint="eastAsia"/>
                <w:kern w:val="0"/>
                <w:lang w:eastAsia="zh-CN"/>
              </w:rPr>
              <w:t>万、</w:t>
            </w:r>
            <w:r>
              <w:rPr>
                <w:rFonts w:hint="eastAsia"/>
                <w:kern w:val="0"/>
                <w:lang w:eastAsia="zh-CN"/>
              </w:rPr>
              <w:t>1600</w:t>
            </w:r>
            <w:r>
              <w:rPr>
                <w:rFonts w:hint="eastAsia"/>
                <w:kern w:val="0"/>
                <w:lang w:eastAsia="zh-CN"/>
              </w:rPr>
              <w:t>万和</w:t>
            </w:r>
            <w:r>
              <w:rPr>
                <w:rFonts w:hint="eastAsia"/>
                <w:kern w:val="0"/>
                <w:lang w:eastAsia="zh-CN"/>
              </w:rPr>
              <w:t>1777</w:t>
            </w:r>
            <w:r>
              <w:rPr>
                <w:rFonts w:hint="eastAsia"/>
                <w:kern w:val="0"/>
                <w:lang w:eastAsia="zh-CN"/>
              </w:rPr>
              <w:t>万辆，环比增长率分别为</w:t>
            </w:r>
            <w:r>
              <w:rPr>
                <w:rFonts w:hint="eastAsia"/>
                <w:kern w:val="0"/>
                <w:lang w:eastAsia="zh-CN"/>
              </w:rPr>
              <w:t>-7.1%</w:t>
            </w:r>
            <w:r>
              <w:rPr>
                <w:rFonts w:hint="eastAsia"/>
                <w:kern w:val="0"/>
                <w:lang w:eastAsia="zh-CN"/>
              </w:rPr>
              <w:t>、</w:t>
            </w:r>
            <w:r>
              <w:rPr>
                <w:rFonts w:hint="eastAsia"/>
                <w:kern w:val="0"/>
                <w:lang w:eastAsia="zh-CN"/>
              </w:rPr>
              <w:t>2.6%</w:t>
            </w:r>
            <w:r>
              <w:rPr>
                <w:rFonts w:hint="eastAsia"/>
                <w:kern w:val="0"/>
                <w:lang w:eastAsia="zh-CN"/>
              </w:rPr>
              <w:t>和</w:t>
            </w:r>
            <w:r>
              <w:rPr>
                <w:rFonts w:hint="eastAsia"/>
                <w:kern w:val="0"/>
                <w:lang w:eastAsia="zh-CN"/>
              </w:rPr>
              <w:t>11.1%</w:t>
            </w:r>
            <w:r>
              <w:rPr>
                <w:rFonts w:hint="eastAsia"/>
                <w:kern w:val="0"/>
                <w:lang w:eastAsia="zh-CN"/>
              </w:rPr>
              <w:t>。与去年第四季度相比，美国汽车库存水平略有下降。沃德估算</w:t>
            </w:r>
            <w:r>
              <w:rPr>
                <w:rFonts w:hint="eastAsia"/>
                <w:kern w:val="0"/>
                <w:lang w:eastAsia="zh-CN"/>
              </w:rPr>
              <w:t>2</w:t>
            </w:r>
            <w:r>
              <w:rPr>
                <w:kern w:val="0"/>
                <w:lang w:eastAsia="zh-CN"/>
              </w:rPr>
              <w:t>02</w:t>
            </w:r>
            <w:r>
              <w:rPr>
                <w:rFonts w:hint="eastAsia"/>
                <w:kern w:val="0"/>
                <w:lang w:eastAsia="zh-CN"/>
              </w:rPr>
              <w:t>4</w:t>
            </w:r>
            <w:r>
              <w:rPr>
                <w:rFonts w:hint="eastAsia"/>
                <w:kern w:val="0"/>
                <w:lang w:eastAsia="zh-CN"/>
              </w:rPr>
              <w:t>年</w:t>
            </w:r>
            <w:r>
              <w:rPr>
                <w:rFonts w:hint="eastAsia"/>
                <w:kern w:val="0"/>
                <w:lang w:eastAsia="zh-CN"/>
              </w:rPr>
              <w:t>4</w:t>
            </w:r>
            <w:r>
              <w:rPr>
                <w:rFonts w:hint="eastAsia"/>
                <w:kern w:val="0"/>
                <w:lang w:eastAsia="zh-CN"/>
              </w:rPr>
              <w:t>季度美国汽车库存均值为</w:t>
            </w:r>
            <w:r>
              <w:rPr>
                <w:rFonts w:hint="eastAsia"/>
                <w:kern w:val="0"/>
                <w:lang w:eastAsia="zh-CN"/>
              </w:rPr>
              <w:t>25.3</w:t>
            </w:r>
            <w:r>
              <w:rPr>
                <w:rFonts w:hint="eastAsia"/>
                <w:kern w:val="0"/>
                <w:lang w:eastAsia="zh-CN"/>
              </w:rPr>
              <w:t>万辆，今年</w:t>
            </w:r>
            <w:r>
              <w:rPr>
                <w:rFonts w:hint="eastAsia"/>
                <w:kern w:val="0"/>
                <w:lang w:eastAsia="zh-CN"/>
              </w:rPr>
              <w:t>1</w:t>
            </w:r>
            <w:r>
              <w:rPr>
                <w:rFonts w:hint="eastAsia"/>
                <w:kern w:val="0"/>
                <w:lang w:eastAsia="zh-CN"/>
              </w:rPr>
              <w:t>月至</w:t>
            </w:r>
            <w:r>
              <w:rPr>
                <w:rFonts w:hint="eastAsia"/>
                <w:kern w:val="0"/>
                <w:lang w:eastAsia="zh-CN"/>
              </w:rPr>
              <w:t>2</w:t>
            </w:r>
            <w:r>
              <w:rPr>
                <w:rFonts w:hint="eastAsia"/>
                <w:kern w:val="0"/>
                <w:lang w:eastAsia="zh-CN"/>
              </w:rPr>
              <w:t>月分别降至</w:t>
            </w:r>
            <w:r>
              <w:rPr>
                <w:rFonts w:hint="eastAsia"/>
                <w:kern w:val="0"/>
                <w:lang w:eastAsia="zh-CN"/>
              </w:rPr>
              <w:t>24.5</w:t>
            </w:r>
            <w:r>
              <w:rPr>
                <w:rFonts w:hint="eastAsia"/>
                <w:kern w:val="0"/>
                <w:lang w:eastAsia="zh-CN"/>
              </w:rPr>
              <w:t>万和</w:t>
            </w:r>
            <w:r>
              <w:rPr>
                <w:rFonts w:hint="eastAsia"/>
                <w:kern w:val="0"/>
                <w:lang w:eastAsia="zh-CN"/>
              </w:rPr>
              <w:t>23.7</w:t>
            </w:r>
            <w:r>
              <w:rPr>
                <w:rFonts w:hint="eastAsia"/>
                <w:kern w:val="0"/>
                <w:lang w:eastAsia="zh-CN"/>
              </w:rPr>
              <w:t>万辆。</w:t>
            </w:r>
          </w:p>
          <w:p w14:paraId="244CBD5C" w14:textId="77777777" w:rsidR="00384922" w:rsidRDefault="00384922" w:rsidP="00D72849">
            <w:pPr>
              <w:ind w:firstLine="480"/>
              <w:rPr>
                <w:kern w:val="0"/>
                <w:lang w:eastAsia="zh-CN"/>
              </w:rPr>
            </w:pPr>
            <w:r>
              <w:rPr>
                <w:rFonts w:hint="eastAsia"/>
                <w:kern w:val="0"/>
                <w:lang w:eastAsia="zh-CN"/>
              </w:rPr>
              <w:t>1</w:t>
            </w:r>
            <w:r>
              <w:rPr>
                <w:rFonts w:hint="eastAsia"/>
                <w:kern w:val="0"/>
                <w:lang w:eastAsia="zh-CN"/>
              </w:rPr>
              <w:t>月至</w:t>
            </w:r>
            <w:r>
              <w:rPr>
                <w:rFonts w:hint="eastAsia"/>
                <w:kern w:val="0"/>
                <w:lang w:eastAsia="zh-CN"/>
              </w:rPr>
              <w:t>2</w:t>
            </w:r>
            <w:r>
              <w:rPr>
                <w:rFonts w:hint="eastAsia"/>
                <w:kern w:val="0"/>
                <w:lang w:eastAsia="zh-CN"/>
              </w:rPr>
              <w:t>月，美国零售销售额环比涨幅分别为</w:t>
            </w:r>
            <w:r>
              <w:rPr>
                <w:rFonts w:hint="eastAsia"/>
                <w:kern w:val="0"/>
                <w:lang w:eastAsia="zh-CN"/>
              </w:rPr>
              <w:t>-1.2</w:t>
            </w:r>
            <w:r>
              <w:rPr>
                <w:kern w:val="0"/>
                <w:lang w:eastAsia="zh-CN"/>
              </w:rPr>
              <w:t>%</w:t>
            </w:r>
            <w:r>
              <w:rPr>
                <w:rFonts w:hint="eastAsia"/>
                <w:kern w:val="0"/>
                <w:lang w:eastAsia="zh-CN"/>
              </w:rPr>
              <w:t>和</w:t>
            </w:r>
            <w:r>
              <w:rPr>
                <w:rFonts w:hint="eastAsia"/>
                <w:kern w:val="0"/>
                <w:lang w:eastAsia="zh-CN"/>
              </w:rPr>
              <w:t>0.2%</w:t>
            </w:r>
            <w:r>
              <w:rPr>
                <w:rFonts w:hint="eastAsia"/>
                <w:kern w:val="0"/>
                <w:lang w:eastAsia="zh-CN"/>
              </w:rPr>
              <w:t>；核心零售销售额环比涨幅分别为</w:t>
            </w:r>
            <w:r>
              <w:rPr>
                <w:rFonts w:hint="eastAsia"/>
                <w:kern w:val="0"/>
                <w:lang w:eastAsia="zh-CN"/>
              </w:rPr>
              <w:t>-0.8%</w:t>
            </w:r>
            <w:r>
              <w:rPr>
                <w:rFonts w:hint="eastAsia"/>
                <w:kern w:val="0"/>
                <w:lang w:eastAsia="zh-CN"/>
              </w:rPr>
              <w:t>和</w:t>
            </w:r>
            <w:r>
              <w:rPr>
                <w:rFonts w:hint="eastAsia"/>
                <w:kern w:val="0"/>
                <w:lang w:eastAsia="zh-CN"/>
              </w:rPr>
              <w:t>0.8%</w:t>
            </w:r>
            <w:r>
              <w:rPr>
                <w:rFonts w:hint="eastAsia"/>
                <w:kern w:val="0"/>
                <w:lang w:eastAsia="zh-CN"/>
              </w:rPr>
              <w:t>。与去年第四季度相比，美国零售销售增速明显放缓。</w:t>
            </w:r>
          </w:p>
          <w:p w14:paraId="2F093915" w14:textId="040E2CA8" w:rsidR="00384922" w:rsidRDefault="00DB2622" w:rsidP="00D37774">
            <w:pPr>
              <w:pStyle w:val="a4"/>
            </w:pPr>
            <w:bookmarkStart w:id="16" w:name="_Toc196399413"/>
            <w:r>
              <w:rPr>
                <w:rFonts w:hint="eastAsia"/>
              </w:rPr>
              <w:t xml:space="preserve">图表 </w:t>
            </w:r>
            <w:r>
              <w:rPr>
                <w:rFonts w:hint="eastAsia"/>
              </w:rPr>
              <w:fldChar w:fldCharType="begin"/>
            </w:r>
            <w:r>
              <w:rPr>
                <w:rFonts w:hint="eastAsia"/>
              </w:rPr>
              <w:instrText xml:space="preserve"> SEQ 图表 \* ARABIC </w:instrText>
            </w:r>
            <w:r>
              <w:rPr>
                <w:rFonts w:hint="eastAsia"/>
              </w:rPr>
              <w:fldChar w:fldCharType="separate"/>
            </w:r>
            <w:r w:rsidR="00530ED7">
              <w:rPr>
                <w:rFonts w:hint="eastAsia"/>
                <w:noProof/>
              </w:rPr>
              <w:t>2</w:t>
            </w:r>
            <w:r>
              <w:rPr>
                <w:rFonts w:hint="eastAsia"/>
              </w:rPr>
              <w:fldChar w:fldCharType="end"/>
            </w:r>
            <w:r w:rsidR="00384922">
              <w:t xml:space="preserve">  </w:t>
            </w:r>
            <w:r w:rsidR="00384922">
              <w:rPr>
                <w:rFonts w:hint="eastAsia"/>
              </w:rPr>
              <w:t>美国个人收入与消费支出</w:t>
            </w:r>
            <w:bookmarkEnd w:id="16"/>
          </w:p>
          <w:p w14:paraId="0FDF991F" w14:textId="77777777" w:rsidR="00384922" w:rsidRDefault="00384922" w:rsidP="00C45009">
            <w:pPr>
              <w:ind w:firstLineChars="83" w:firstLine="199"/>
              <w:jc w:val="center"/>
              <w:rPr>
                <w:color w:val="000000"/>
                <w:kern w:val="0"/>
              </w:rPr>
            </w:pPr>
            <w:r>
              <w:rPr>
                <w:noProof/>
                <w:color w:val="000000"/>
                <w:kern w:val="0"/>
                <w:lang w:eastAsia="zh-CN" w:bidi="ar-SA"/>
              </w:rPr>
              <w:drawing>
                <wp:inline distT="0" distB="0" distL="0" distR="0" wp14:anchorId="5A09B589" wp14:editId="1F32807E">
                  <wp:extent cx="4086565" cy="2519680"/>
                  <wp:effectExtent l="0" t="0" r="9525" b="0"/>
                  <wp:docPr id="148506338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063381" name="图片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4094234" cy="2524408"/>
                          </a:xfrm>
                          <a:prstGeom prst="rect">
                            <a:avLst/>
                          </a:prstGeom>
                          <a:noFill/>
                        </pic:spPr>
                      </pic:pic>
                    </a:graphicData>
                  </a:graphic>
                </wp:inline>
              </w:drawing>
            </w:r>
          </w:p>
          <w:p w14:paraId="10020079" w14:textId="77777777" w:rsidR="00384922" w:rsidRDefault="00384922" w:rsidP="00D72849">
            <w:pPr>
              <w:ind w:firstLine="480"/>
              <w:rPr>
                <w:kern w:val="0"/>
              </w:rPr>
            </w:pPr>
          </w:p>
          <w:p w14:paraId="37D8DD00" w14:textId="77777777" w:rsidR="00384922" w:rsidRDefault="00384922" w:rsidP="00D72849">
            <w:pPr>
              <w:ind w:firstLine="482"/>
              <w:rPr>
                <w:bCs/>
                <w:kern w:val="0"/>
                <w:lang w:eastAsia="zh-CN"/>
              </w:rPr>
            </w:pPr>
            <w:r>
              <w:rPr>
                <w:rFonts w:hint="eastAsia"/>
                <w:b/>
                <w:kern w:val="0"/>
                <w:lang w:eastAsia="zh-CN"/>
              </w:rPr>
              <w:t>房地产市场继续筑底，企业补库存速度放缓。</w:t>
            </w:r>
            <w:r>
              <w:rPr>
                <w:rFonts w:hint="eastAsia"/>
                <w:bCs/>
                <w:kern w:val="0"/>
                <w:lang w:eastAsia="zh-CN"/>
              </w:rPr>
              <w:t>1</w:t>
            </w:r>
            <w:r>
              <w:rPr>
                <w:rFonts w:hint="eastAsia"/>
                <w:bCs/>
                <w:kern w:val="0"/>
                <w:lang w:eastAsia="zh-CN"/>
              </w:rPr>
              <w:t>月至</w:t>
            </w:r>
            <w:r>
              <w:rPr>
                <w:rFonts w:hint="eastAsia"/>
                <w:bCs/>
                <w:kern w:val="0"/>
                <w:lang w:eastAsia="zh-CN"/>
              </w:rPr>
              <w:t>2</w:t>
            </w:r>
            <w:r>
              <w:rPr>
                <w:rFonts w:hint="eastAsia"/>
                <w:bCs/>
                <w:kern w:val="0"/>
                <w:lang w:eastAsia="zh-CN"/>
              </w:rPr>
              <w:t>月，美国新建住房销售环比增速分别为</w:t>
            </w:r>
            <w:r>
              <w:rPr>
                <w:rFonts w:hint="eastAsia"/>
                <w:bCs/>
                <w:kern w:val="0"/>
                <w:lang w:eastAsia="zh-CN"/>
              </w:rPr>
              <w:t>-6.9%</w:t>
            </w:r>
            <w:r>
              <w:rPr>
                <w:rFonts w:hint="eastAsia"/>
                <w:bCs/>
                <w:kern w:val="0"/>
                <w:lang w:eastAsia="zh-CN"/>
              </w:rPr>
              <w:t>和</w:t>
            </w:r>
            <w:r>
              <w:rPr>
                <w:rFonts w:hint="eastAsia"/>
                <w:bCs/>
                <w:kern w:val="0"/>
                <w:lang w:eastAsia="zh-CN"/>
              </w:rPr>
              <w:t>1.8%</w:t>
            </w:r>
            <w:r>
              <w:rPr>
                <w:rFonts w:hint="eastAsia"/>
                <w:bCs/>
                <w:kern w:val="0"/>
                <w:lang w:eastAsia="zh-CN"/>
              </w:rPr>
              <w:t>，成屋销售环比增速分别为</w:t>
            </w:r>
            <w:r>
              <w:rPr>
                <w:rFonts w:hint="eastAsia"/>
                <w:bCs/>
                <w:kern w:val="0"/>
                <w:lang w:eastAsia="zh-CN"/>
              </w:rPr>
              <w:t>-4.7%</w:t>
            </w:r>
            <w:r>
              <w:rPr>
                <w:rFonts w:hint="eastAsia"/>
                <w:bCs/>
                <w:kern w:val="0"/>
                <w:lang w:eastAsia="zh-CN"/>
              </w:rPr>
              <w:t>和</w:t>
            </w:r>
            <w:r>
              <w:rPr>
                <w:rFonts w:hint="eastAsia"/>
                <w:bCs/>
                <w:kern w:val="0"/>
                <w:lang w:eastAsia="zh-CN"/>
              </w:rPr>
              <w:t>4.2%</w:t>
            </w:r>
            <w:r>
              <w:rPr>
                <w:rFonts w:hint="eastAsia"/>
                <w:bCs/>
                <w:kern w:val="0"/>
                <w:lang w:eastAsia="zh-CN"/>
              </w:rPr>
              <w:t>，新屋开工环比增速分别为</w:t>
            </w:r>
            <w:r>
              <w:rPr>
                <w:rFonts w:hint="eastAsia"/>
                <w:bCs/>
                <w:kern w:val="0"/>
                <w:lang w:eastAsia="zh-CN"/>
              </w:rPr>
              <w:t>-11.5%</w:t>
            </w:r>
            <w:r>
              <w:rPr>
                <w:rFonts w:hint="eastAsia"/>
                <w:bCs/>
                <w:kern w:val="0"/>
                <w:lang w:eastAsia="zh-CN"/>
              </w:rPr>
              <w:t>和</w:t>
            </w:r>
            <w:r>
              <w:rPr>
                <w:rFonts w:hint="eastAsia"/>
                <w:bCs/>
                <w:kern w:val="0"/>
                <w:lang w:eastAsia="zh-CN"/>
              </w:rPr>
              <w:t>11.2%</w:t>
            </w:r>
            <w:r>
              <w:rPr>
                <w:rFonts w:hint="eastAsia"/>
                <w:bCs/>
                <w:kern w:val="0"/>
                <w:lang w:eastAsia="zh-CN"/>
              </w:rPr>
              <w:t>。美国新建住房销售价格继续震荡，</w:t>
            </w:r>
            <w:r>
              <w:rPr>
                <w:rFonts w:hint="eastAsia"/>
                <w:bCs/>
                <w:kern w:val="0"/>
                <w:lang w:eastAsia="zh-CN"/>
              </w:rPr>
              <w:t>2</w:t>
            </w:r>
            <w:r>
              <w:rPr>
                <w:rFonts w:hint="eastAsia"/>
                <w:bCs/>
                <w:kern w:val="0"/>
                <w:lang w:eastAsia="zh-CN"/>
              </w:rPr>
              <w:t>月中位价为</w:t>
            </w:r>
            <w:r>
              <w:rPr>
                <w:rFonts w:hint="eastAsia"/>
                <w:bCs/>
                <w:kern w:val="0"/>
                <w:lang w:eastAsia="zh-CN"/>
              </w:rPr>
              <w:t>41.4</w:t>
            </w:r>
            <w:r>
              <w:rPr>
                <w:rFonts w:hint="eastAsia"/>
                <w:bCs/>
                <w:kern w:val="0"/>
                <w:lang w:eastAsia="zh-CN"/>
              </w:rPr>
              <w:t>万美元</w:t>
            </w:r>
            <w:r>
              <w:rPr>
                <w:rFonts w:hint="eastAsia"/>
                <w:bCs/>
                <w:kern w:val="0"/>
                <w:lang w:eastAsia="zh-CN"/>
              </w:rPr>
              <w:t>/</w:t>
            </w:r>
            <w:r>
              <w:rPr>
                <w:rFonts w:hint="eastAsia"/>
                <w:bCs/>
                <w:kern w:val="0"/>
                <w:lang w:eastAsia="zh-CN"/>
              </w:rPr>
              <w:t>套，与去年</w:t>
            </w:r>
            <w:r>
              <w:rPr>
                <w:rFonts w:hint="eastAsia"/>
                <w:bCs/>
                <w:kern w:val="0"/>
                <w:lang w:eastAsia="zh-CN"/>
              </w:rPr>
              <w:t>4</w:t>
            </w:r>
            <w:r>
              <w:rPr>
                <w:rFonts w:hint="eastAsia"/>
                <w:bCs/>
                <w:kern w:val="0"/>
                <w:lang w:eastAsia="zh-CN"/>
              </w:rPr>
              <w:t>季度的均值</w:t>
            </w:r>
            <w:r>
              <w:rPr>
                <w:rFonts w:hint="eastAsia"/>
                <w:bCs/>
                <w:kern w:val="0"/>
                <w:lang w:eastAsia="zh-CN"/>
              </w:rPr>
              <w:t>41.5</w:t>
            </w:r>
            <w:r>
              <w:rPr>
                <w:rFonts w:hint="eastAsia"/>
                <w:bCs/>
                <w:kern w:val="0"/>
                <w:lang w:eastAsia="zh-CN"/>
              </w:rPr>
              <w:t>万美元持平；在建新屋略有下降，</w:t>
            </w:r>
            <w:r>
              <w:rPr>
                <w:rFonts w:hint="eastAsia"/>
                <w:bCs/>
                <w:kern w:val="0"/>
                <w:lang w:eastAsia="zh-CN"/>
              </w:rPr>
              <w:t>1</w:t>
            </w:r>
            <w:r>
              <w:rPr>
                <w:rFonts w:hint="eastAsia"/>
                <w:bCs/>
                <w:kern w:val="0"/>
                <w:lang w:eastAsia="zh-CN"/>
              </w:rPr>
              <w:t>月至</w:t>
            </w:r>
            <w:r>
              <w:rPr>
                <w:rFonts w:hint="eastAsia"/>
                <w:bCs/>
                <w:kern w:val="0"/>
                <w:lang w:eastAsia="zh-CN"/>
              </w:rPr>
              <w:t>2</w:t>
            </w:r>
            <w:r>
              <w:rPr>
                <w:rFonts w:hint="eastAsia"/>
                <w:bCs/>
                <w:kern w:val="0"/>
                <w:lang w:eastAsia="zh-CN"/>
              </w:rPr>
              <w:t>月的环比增速分别为</w:t>
            </w:r>
            <w:r>
              <w:rPr>
                <w:rFonts w:hint="eastAsia"/>
                <w:bCs/>
                <w:kern w:val="0"/>
                <w:lang w:eastAsia="zh-CN"/>
              </w:rPr>
              <w:t>-1.3%</w:t>
            </w:r>
            <w:r>
              <w:rPr>
                <w:rFonts w:hint="eastAsia"/>
                <w:bCs/>
                <w:kern w:val="0"/>
                <w:lang w:eastAsia="zh-CN"/>
              </w:rPr>
              <w:t>和</w:t>
            </w:r>
            <w:r>
              <w:rPr>
                <w:rFonts w:hint="eastAsia"/>
                <w:bCs/>
                <w:kern w:val="0"/>
                <w:lang w:eastAsia="zh-CN"/>
              </w:rPr>
              <w:t>0.1%</w:t>
            </w:r>
            <w:r>
              <w:rPr>
                <w:rFonts w:hint="eastAsia"/>
                <w:bCs/>
                <w:kern w:val="0"/>
                <w:lang w:eastAsia="zh-CN"/>
              </w:rPr>
              <w:t>；成屋库存维持在相对高位，</w:t>
            </w:r>
            <w:r>
              <w:rPr>
                <w:rFonts w:hint="eastAsia"/>
                <w:bCs/>
                <w:kern w:val="0"/>
                <w:lang w:eastAsia="zh-CN"/>
              </w:rPr>
              <w:t>1</w:t>
            </w:r>
            <w:r>
              <w:rPr>
                <w:rFonts w:hint="eastAsia"/>
                <w:bCs/>
                <w:kern w:val="0"/>
                <w:lang w:eastAsia="zh-CN"/>
              </w:rPr>
              <w:t>月至</w:t>
            </w:r>
            <w:r>
              <w:rPr>
                <w:rFonts w:hint="eastAsia"/>
                <w:bCs/>
                <w:kern w:val="0"/>
                <w:lang w:eastAsia="zh-CN"/>
              </w:rPr>
              <w:t>2</w:t>
            </w:r>
            <w:r>
              <w:rPr>
                <w:rFonts w:hint="eastAsia"/>
                <w:bCs/>
                <w:kern w:val="0"/>
                <w:lang w:eastAsia="zh-CN"/>
              </w:rPr>
              <w:t>月的成屋库存分别为</w:t>
            </w:r>
            <w:r>
              <w:rPr>
                <w:rFonts w:hint="eastAsia"/>
                <w:bCs/>
                <w:kern w:val="0"/>
                <w:lang w:eastAsia="zh-CN"/>
              </w:rPr>
              <w:t>118</w:t>
            </w:r>
            <w:r>
              <w:rPr>
                <w:rFonts w:hint="eastAsia"/>
                <w:bCs/>
                <w:kern w:val="0"/>
                <w:lang w:eastAsia="zh-CN"/>
              </w:rPr>
              <w:t>万和</w:t>
            </w:r>
            <w:r>
              <w:rPr>
                <w:rFonts w:hint="eastAsia"/>
                <w:bCs/>
                <w:kern w:val="0"/>
                <w:lang w:eastAsia="zh-CN"/>
              </w:rPr>
              <w:t>124</w:t>
            </w:r>
            <w:r>
              <w:rPr>
                <w:rFonts w:hint="eastAsia"/>
                <w:bCs/>
                <w:kern w:val="0"/>
                <w:lang w:eastAsia="zh-CN"/>
              </w:rPr>
              <w:t>万套，与去年第四季度的均值</w:t>
            </w:r>
            <w:r>
              <w:rPr>
                <w:rFonts w:hint="eastAsia"/>
                <w:bCs/>
                <w:kern w:val="0"/>
                <w:lang w:eastAsia="zh-CN"/>
              </w:rPr>
              <w:t>128</w:t>
            </w:r>
            <w:r>
              <w:rPr>
                <w:rFonts w:hint="eastAsia"/>
                <w:bCs/>
                <w:kern w:val="0"/>
                <w:lang w:eastAsia="zh-CN"/>
              </w:rPr>
              <w:t>万套大致相当。</w:t>
            </w:r>
          </w:p>
          <w:p w14:paraId="15A327F0" w14:textId="77777777" w:rsidR="00384922" w:rsidRDefault="00384922" w:rsidP="00D72849">
            <w:pPr>
              <w:ind w:firstLine="480"/>
              <w:rPr>
                <w:bCs/>
                <w:kern w:val="0"/>
                <w:lang w:eastAsia="zh-CN"/>
              </w:rPr>
            </w:pPr>
            <w:r>
              <w:rPr>
                <w:rFonts w:hint="eastAsia"/>
                <w:bCs/>
                <w:kern w:val="0"/>
                <w:lang w:eastAsia="zh-CN"/>
              </w:rPr>
              <w:t>2</w:t>
            </w:r>
            <w:r>
              <w:rPr>
                <w:bCs/>
                <w:kern w:val="0"/>
                <w:lang w:eastAsia="zh-CN"/>
              </w:rPr>
              <w:t>022</w:t>
            </w:r>
            <w:r>
              <w:rPr>
                <w:rFonts w:hint="eastAsia"/>
                <w:bCs/>
                <w:kern w:val="0"/>
                <w:lang w:eastAsia="zh-CN"/>
              </w:rPr>
              <w:t>年</w:t>
            </w:r>
            <w:r>
              <w:rPr>
                <w:rFonts w:hint="eastAsia"/>
                <w:bCs/>
                <w:kern w:val="0"/>
                <w:lang w:eastAsia="zh-CN"/>
              </w:rPr>
              <w:t>7</w:t>
            </w:r>
            <w:r>
              <w:rPr>
                <w:rFonts w:hint="eastAsia"/>
                <w:bCs/>
                <w:kern w:val="0"/>
                <w:lang w:eastAsia="zh-CN"/>
              </w:rPr>
              <w:t>月，美国企业库存同比增速达到峰值</w:t>
            </w:r>
            <w:r>
              <w:rPr>
                <w:rFonts w:hint="eastAsia"/>
                <w:bCs/>
                <w:kern w:val="0"/>
                <w:lang w:eastAsia="zh-CN"/>
              </w:rPr>
              <w:t>1</w:t>
            </w:r>
            <w:r>
              <w:rPr>
                <w:bCs/>
                <w:kern w:val="0"/>
                <w:lang w:eastAsia="zh-CN"/>
              </w:rPr>
              <w:t>8.5%</w:t>
            </w:r>
            <w:r>
              <w:rPr>
                <w:rFonts w:hint="eastAsia"/>
                <w:bCs/>
                <w:kern w:val="0"/>
                <w:lang w:eastAsia="zh-CN"/>
              </w:rPr>
              <w:t>，此后开始下降，步入去库存周期。</w:t>
            </w:r>
            <w:r>
              <w:rPr>
                <w:rFonts w:hint="eastAsia"/>
                <w:bCs/>
                <w:kern w:val="0"/>
                <w:lang w:eastAsia="zh-CN"/>
              </w:rPr>
              <w:t>2023</w:t>
            </w:r>
            <w:r>
              <w:rPr>
                <w:rFonts w:hint="eastAsia"/>
                <w:bCs/>
                <w:kern w:val="0"/>
                <w:lang w:eastAsia="zh-CN"/>
              </w:rPr>
              <w:t>年</w:t>
            </w:r>
            <w:r>
              <w:rPr>
                <w:rFonts w:hint="eastAsia"/>
                <w:bCs/>
                <w:kern w:val="0"/>
                <w:lang w:eastAsia="zh-CN"/>
              </w:rPr>
              <w:t>11</w:t>
            </w:r>
            <w:r>
              <w:rPr>
                <w:rFonts w:hint="eastAsia"/>
                <w:bCs/>
                <w:kern w:val="0"/>
                <w:lang w:eastAsia="zh-CN"/>
              </w:rPr>
              <w:t>月，美国企业库存同比增速跌至</w:t>
            </w:r>
            <w:r>
              <w:rPr>
                <w:rFonts w:hint="eastAsia"/>
                <w:bCs/>
                <w:kern w:val="0"/>
                <w:lang w:eastAsia="zh-CN"/>
              </w:rPr>
              <w:t>-</w:t>
            </w:r>
            <w:r>
              <w:rPr>
                <w:rFonts w:hint="eastAsia"/>
                <w:bCs/>
                <w:kern w:val="0"/>
                <w:lang w:eastAsia="zh-CN"/>
              </w:rPr>
              <w:lastRenderedPageBreak/>
              <w:t>0.1%</w:t>
            </w:r>
            <w:r>
              <w:rPr>
                <w:rFonts w:hint="eastAsia"/>
                <w:bCs/>
                <w:kern w:val="0"/>
                <w:lang w:eastAsia="zh-CN"/>
              </w:rPr>
              <w:t>，此后，开始缓慢回升，企业开启补库存周期。截至</w:t>
            </w:r>
            <w:r>
              <w:rPr>
                <w:rFonts w:hint="eastAsia"/>
                <w:bCs/>
                <w:kern w:val="0"/>
                <w:lang w:eastAsia="zh-CN"/>
              </w:rPr>
              <w:t>2025</w:t>
            </w:r>
            <w:r>
              <w:rPr>
                <w:rFonts w:hint="eastAsia"/>
                <w:bCs/>
                <w:kern w:val="0"/>
                <w:lang w:eastAsia="zh-CN"/>
              </w:rPr>
              <w:t>年</w:t>
            </w:r>
            <w:r>
              <w:rPr>
                <w:rFonts w:hint="eastAsia"/>
                <w:bCs/>
                <w:kern w:val="0"/>
                <w:lang w:eastAsia="zh-CN"/>
              </w:rPr>
              <w:t>1</w:t>
            </w:r>
            <w:r>
              <w:rPr>
                <w:rFonts w:hint="eastAsia"/>
                <w:bCs/>
                <w:kern w:val="0"/>
                <w:lang w:eastAsia="zh-CN"/>
              </w:rPr>
              <w:t>月，美国企业库存同比增速为</w:t>
            </w:r>
            <w:r>
              <w:rPr>
                <w:rFonts w:hint="eastAsia"/>
                <w:bCs/>
                <w:kern w:val="0"/>
                <w:lang w:eastAsia="zh-CN"/>
              </w:rPr>
              <w:t>2.3%</w:t>
            </w:r>
            <w:r>
              <w:rPr>
                <w:rFonts w:hint="eastAsia"/>
                <w:bCs/>
                <w:kern w:val="0"/>
                <w:lang w:eastAsia="zh-CN"/>
              </w:rPr>
              <w:t>，连续</w:t>
            </w:r>
            <w:r>
              <w:rPr>
                <w:rFonts w:hint="eastAsia"/>
                <w:bCs/>
                <w:kern w:val="0"/>
                <w:lang w:eastAsia="zh-CN"/>
              </w:rPr>
              <w:t>8</w:t>
            </w:r>
            <w:r>
              <w:rPr>
                <w:rFonts w:hint="eastAsia"/>
                <w:bCs/>
                <w:kern w:val="0"/>
                <w:lang w:eastAsia="zh-CN"/>
              </w:rPr>
              <w:t>个月震荡，补库存速度放缓。</w:t>
            </w:r>
          </w:p>
          <w:p w14:paraId="2F3FDAFC" w14:textId="77777777" w:rsidR="00384922" w:rsidRDefault="00384922" w:rsidP="00D72849">
            <w:pPr>
              <w:ind w:firstLine="480"/>
              <w:rPr>
                <w:kern w:val="0"/>
                <w:lang w:eastAsia="zh-CN"/>
              </w:rPr>
            </w:pPr>
          </w:p>
          <w:p w14:paraId="610F2F96" w14:textId="254BEC68" w:rsidR="00384922" w:rsidRPr="00B73978" w:rsidRDefault="00DB2622" w:rsidP="00D37774">
            <w:pPr>
              <w:pStyle w:val="a4"/>
              <w:rPr>
                <w:sz w:val="21"/>
              </w:rPr>
            </w:pPr>
            <w:bookmarkStart w:id="17" w:name="_Toc196399414"/>
            <w:r>
              <w:rPr>
                <w:rFonts w:hint="eastAsia"/>
              </w:rPr>
              <w:t xml:space="preserve">图表 </w:t>
            </w:r>
            <w:r>
              <w:rPr>
                <w:rFonts w:hint="eastAsia"/>
              </w:rPr>
              <w:fldChar w:fldCharType="begin"/>
            </w:r>
            <w:r>
              <w:rPr>
                <w:rFonts w:hint="eastAsia"/>
              </w:rPr>
              <w:instrText xml:space="preserve"> SEQ 图表 \* ARABIC </w:instrText>
            </w:r>
            <w:r>
              <w:rPr>
                <w:rFonts w:hint="eastAsia"/>
              </w:rPr>
              <w:fldChar w:fldCharType="separate"/>
            </w:r>
            <w:r w:rsidR="00530ED7">
              <w:rPr>
                <w:rFonts w:hint="eastAsia"/>
                <w:noProof/>
              </w:rPr>
              <w:t>3</w:t>
            </w:r>
            <w:r>
              <w:rPr>
                <w:rFonts w:hint="eastAsia"/>
              </w:rPr>
              <w:fldChar w:fldCharType="end"/>
            </w:r>
            <w:r w:rsidR="00384922" w:rsidRPr="00B73978">
              <w:t xml:space="preserve">  </w:t>
            </w:r>
            <w:r w:rsidR="00384922" w:rsidRPr="00B73978">
              <w:rPr>
                <w:rFonts w:hint="eastAsia"/>
              </w:rPr>
              <w:t>美国新屋开工和企业库存周期</w:t>
            </w:r>
            <w:bookmarkEnd w:id="17"/>
          </w:p>
          <w:p w14:paraId="1EA17652" w14:textId="77777777" w:rsidR="00384922" w:rsidRDefault="00384922" w:rsidP="00C45009">
            <w:pPr>
              <w:ind w:firstLineChars="83" w:firstLine="199"/>
              <w:jc w:val="center"/>
              <w:rPr>
                <w:color w:val="000000"/>
                <w:kern w:val="0"/>
              </w:rPr>
            </w:pPr>
            <w:r>
              <w:rPr>
                <w:noProof/>
                <w:color w:val="000000"/>
                <w:kern w:val="0"/>
                <w:lang w:eastAsia="zh-CN" w:bidi="ar-SA"/>
              </w:rPr>
              <w:drawing>
                <wp:inline distT="0" distB="0" distL="0" distR="0" wp14:anchorId="53EFF510" wp14:editId="32EA8241">
                  <wp:extent cx="4213013" cy="2519680"/>
                  <wp:effectExtent l="0" t="0" r="0" b="0"/>
                  <wp:docPr id="18078584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85848" name="图片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4214869" cy="2520790"/>
                          </a:xfrm>
                          <a:prstGeom prst="rect">
                            <a:avLst/>
                          </a:prstGeom>
                          <a:noFill/>
                        </pic:spPr>
                      </pic:pic>
                    </a:graphicData>
                  </a:graphic>
                </wp:inline>
              </w:drawing>
            </w:r>
          </w:p>
          <w:p w14:paraId="3344DFB0" w14:textId="77777777" w:rsidR="00384922" w:rsidRDefault="00384922" w:rsidP="00D72849">
            <w:pPr>
              <w:ind w:firstLine="480"/>
              <w:rPr>
                <w:color w:val="000000"/>
                <w:kern w:val="0"/>
              </w:rPr>
            </w:pPr>
          </w:p>
          <w:p w14:paraId="744629BE" w14:textId="77777777" w:rsidR="00384922" w:rsidRDefault="00384922" w:rsidP="00D72849">
            <w:pPr>
              <w:ind w:firstLine="482"/>
              <w:rPr>
                <w:bCs/>
                <w:kern w:val="0"/>
                <w:lang w:eastAsia="zh-CN"/>
              </w:rPr>
            </w:pPr>
            <w:r>
              <w:rPr>
                <w:rFonts w:hint="eastAsia"/>
                <w:b/>
                <w:kern w:val="0"/>
                <w:lang w:eastAsia="zh-CN"/>
              </w:rPr>
              <w:t>贸易逆差创纪录扩大。</w:t>
            </w:r>
            <w:r>
              <w:rPr>
                <w:rFonts w:hint="eastAsia"/>
                <w:bCs/>
                <w:kern w:val="0"/>
                <w:lang w:eastAsia="zh-CN"/>
              </w:rPr>
              <w:t>2025</w:t>
            </w:r>
            <w:r>
              <w:rPr>
                <w:rFonts w:hint="eastAsia"/>
                <w:bCs/>
                <w:kern w:val="0"/>
                <w:lang w:eastAsia="zh-CN"/>
              </w:rPr>
              <w:t>年</w:t>
            </w:r>
            <w:r>
              <w:rPr>
                <w:rFonts w:hint="eastAsia"/>
                <w:bCs/>
                <w:kern w:val="0"/>
                <w:lang w:eastAsia="zh-CN"/>
              </w:rPr>
              <w:t>1-2</w:t>
            </w:r>
            <w:r>
              <w:rPr>
                <w:rFonts w:hint="eastAsia"/>
                <w:bCs/>
                <w:kern w:val="0"/>
                <w:lang w:eastAsia="zh-CN"/>
              </w:rPr>
              <w:t>月，美国出口同比增速分别升至</w:t>
            </w:r>
            <w:r>
              <w:rPr>
                <w:rFonts w:hint="eastAsia"/>
                <w:bCs/>
                <w:kern w:val="0"/>
                <w:lang w:eastAsia="zh-CN"/>
              </w:rPr>
              <w:t>4.4%</w:t>
            </w:r>
            <w:r>
              <w:rPr>
                <w:rFonts w:hint="eastAsia"/>
                <w:bCs/>
                <w:kern w:val="0"/>
                <w:lang w:eastAsia="zh-CN"/>
              </w:rPr>
              <w:t>和</w:t>
            </w:r>
            <w:r>
              <w:rPr>
                <w:rFonts w:hint="eastAsia"/>
                <w:bCs/>
                <w:kern w:val="0"/>
                <w:lang w:eastAsia="zh-CN"/>
              </w:rPr>
              <w:t>4.8%</w:t>
            </w:r>
            <w:r>
              <w:rPr>
                <w:rFonts w:hint="eastAsia"/>
                <w:bCs/>
                <w:kern w:val="0"/>
                <w:lang w:eastAsia="zh-CN"/>
              </w:rPr>
              <w:t>，进口同比增速大幅上升至</w:t>
            </w:r>
            <w:r>
              <w:rPr>
                <w:rFonts w:hint="eastAsia"/>
                <w:bCs/>
                <w:kern w:val="0"/>
                <w:lang w:eastAsia="zh-CN"/>
              </w:rPr>
              <w:t>23%</w:t>
            </w:r>
            <w:r>
              <w:rPr>
                <w:rFonts w:hint="eastAsia"/>
                <w:bCs/>
                <w:kern w:val="0"/>
                <w:lang w:eastAsia="zh-CN"/>
              </w:rPr>
              <w:t>和</w:t>
            </w:r>
            <w:r>
              <w:rPr>
                <w:rFonts w:hint="eastAsia"/>
                <w:bCs/>
                <w:kern w:val="0"/>
                <w:lang w:eastAsia="zh-CN"/>
              </w:rPr>
              <w:t>19.7%</w:t>
            </w:r>
            <w:r>
              <w:rPr>
                <w:rFonts w:hint="eastAsia"/>
                <w:bCs/>
                <w:kern w:val="0"/>
                <w:lang w:eastAsia="zh-CN"/>
              </w:rPr>
              <w:t>，贸易逆差扩大至</w:t>
            </w:r>
            <w:r>
              <w:rPr>
                <w:rFonts w:hint="eastAsia"/>
                <w:bCs/>
                <w:kern w:val="0"/>
                <w:lang w:eastAsia="zh-CN"/>
              </w:rPr>
              <w:t>1307</w:t>
            </w:r>
            <w:r>
              <w:rPr>
                <w:rFonts w:hint="eastAsia"/>
                <w:bCs/>
                <w:kern w:val="0"/>
                <w:lang w:eastAsia="zh-CN"/>
              </w:rPr>
              <w:t>和</w:t>
            </w:r>
            <w:r>
              <w:rPr>
                <w:rFonts w:hint="eastAsia"/>
                <w:bCs/>
                <w:kern w:val="0"/>
                <w:lang w:eastAsia="zh-CN"/>
              </w:rPr>
              <w:t>1267</w:t>
            </w:r>
            <w:r>
              <w:rPr>
                <w:rFonts w:hint="eastAsia"/>
                <w:bCs/>
                <w:kern w:val="0"/>
                <w:lang w:eastAsia="zh-CN"/>
              </w:rPr>
              <w:t>亿美元，创下</w:t>
            </w:r>
            <w:r>
              <w:rPr>
                <w:rFonts w:hint="eastAsia"/>
                <w:bCs/>
                <w:kern w:val="0"/>
                <w:lang w:eastAsia="zh-CN"/>
              </w:rPr>
              <w:t>1992</w:t>
            </w:r>
            <w:r>
              <w:rPr>
                <w:rFonts w:hint="eastAsia"/>
                <w:bCs/>
                <w:kern w:val="0"/>
                <w:lang w:eastAsia="zh-CN"/>
              </w:rPr>
              <w:t>年以来最高纪录。对比来看，去年</w:t>
            </w:r>
            <w:r>
              <w:rPr>
                <w:rFonts w:hint="eastAsia"/>
                <w:bCs/>
                <w:kern w:val="0"/>
                <w:lang w:eastAsia="zh-CN"/>
              </w:rPr>
              <w:t>4</w:t>
            </w:r>
            <w:r>
              <w:rPr>
                <w:rFonts w:hint="eastAsia"/>
                <w:bCs/>
                <w:kern w:val="0"/>
                <w:lang w:eastAsia="zh-CN"/>
              </w:rPr>
              <w:t>季度美国贸易逆差的月度均值为</w:t>
            </w:r>
            <w:r>
              <w:rPr>
                <w:rFonts w:hint="eastAsia"/>
                <w:bCs/>
                <w:kern w:val="0"/>
                <w:lang w:eastAsia="zh-CN"/>
              </w:rPr>
              <w:t>833</w:t>
            </w:r>
            <w:r>
              <w:rPr>
                <w:rFonts w:hint="eastAsia"/>
                <w:bCs/>
                <w:kern w:val="0"/>
                <w:lang w:eastAsia="zh-CN"/>
              </w:rPr>
              <w:t>亿美元。受特朗普加征关税政策预期的影响，美国企业抢进口行为明显。</w:t>
            </w:r>
          </w:p>
          <w:p w14:paraId="42BC50D0" w14:textId="77777777" w:rsidR="00384922" w:rsidRDefault="00384922" w:rsidP="00D72849">
            <w:pPr>
              <w:ind w:firstLine="482"/>
              <w:rPr>
                <w:b/>
                <w:kern w:val="0"/>
                <w:lang w:eastAsia="zh-CN"/>
              </w:rPr>
            </w:pPr>
          </w:p>
          <w:p w14:paraId="4D751FE4" w14:textId="4190CC0B" w:rsidR="00384922" w:rsidRPr="00B73978" w:rsidRDefault="00DB2622" w:rsidP="00D37774">
            <w:pPr>
              <w:pStyle w:val="a4"/>
            </w:pPr>
            <w:bookmarkStart w:id="18" w:name="_Toc196399415"/>
            <w:r>
              <w:rPr>
                <w:rFonts w:hint="eastAsia"/>
              </w:rPr>
              <w:t xml:space="preserve">图表 </w:t>
            </w:r>
            <w:r>
              <w:rPr>
                <w:rFonts w:hint="eastAsia"/>
              </w:rPr>
              <w:fldChar w:fldCharType="begin"/>
            </w:r>
            <w:r>
              <w:rPr>
                <w:rFonts w:hint="eastAsia"/>
              </w:rPr>
              <w:instrText xml:space="preserve"> SEQ 图表 \* ARABIC </w:instrText>
            </w:r>
            <w:r>
              <w:rPr>
                <w:rFonts w:hint="eastAsia"/>
              </w:rPr>
              <w:fldChar w:fldCharType="separate"/>
            </w:r>
            <w:r w:rsidR="00530ED7">
              <w:rPr>
                <w:rFonts w:hint="eastAsia"/>
                <w:noProof/>
              </w:rPr>
              <w:t>4</w:t>
            </w:r>
            <w:r>
              <w:rPr>
                <w:rFonts w:hint="eastAsia"/>
              </w:rPr>
              <w:fldChar w:fldCharType="end"/>
            </w:r>
            <w:r w:rsidR="00384922" w:rsidRPr="00B73978">
              <w:t xml:space="preserve">  </w:t>
            </w:r>
            <w:r w:rsidR="00384922" w:rsidRPr="00B73978">
              <w:rPr>
                <w:rFonts w:hint="eastAsia"/>
              </w:rPr>
              <w:t>美国对外贸易</w:t>
            </w:r>
            <w:bookmarkEnd w:id="18"/>
          </w:p>
          <w:p w14:paraId="21554FFD" w14:textId="77777777" w:rsidR="00384922" w:rsidRDefault="00384922" w:rsidP="00C45009">
            <w:pPr>
              <w:ind w:firstLineChars="0" w:firstLine="0"/>
              <w:jc w:val="center"/>
              <w:rPr>
                <w:b/>
                <w:szCs w:val="18"/>
              </w:rPr>
            </w:pPr>
            <w:r>
              <w:rPr>
                <w:b/>
                <w:noProof/>
                <w:szCs w:val="18"/>
                <w:lang w:eastAsia="zh-CN" w:bidi="ar-SA"/>
              </w:rPr>
              <w:lastRenderedPageBreak/>
              <w:drawing>
                <wp:inline distT="0" distB="0" distL="0" distR="0" wp14:anchorId="11122D26" wp14:editId="2AEE0F99">
                  <wp:extent cx="4344035" cy="2519680"/>
                  <wp:effectExtent l="0" t="0" r="0" b="0"/>
                  <wp:docPr id="154184897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848971" name="图片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4346771" cy="2521267"/>
                          </a:xfrm>
                          <a:prstGeom prst="rect">
                            <a:avLst/>
                          </a:prstGeom>
                          <a:noFill/>
                        </pic:spPr>
                      </pic:pic>
                    </a:graphicData>
                  </a:graphic>
                </wp:inline>
              </w:drawing>
            </w:r>
          </w:p>
          <w:p w14:paraId="60EA4E70" w14:textId="77777777" w:rsidR="00384922" w:rsidRDefault="00384922" w:rsidP="00D72849">
            <w:pPr>
              <w:ind w:firstLine="480"/>
              <w:rPr>
                <w:color w:val="000000"/>
                <w:kern w:val="0"/>
              </w:rPr>
            </w:pPr>
          </w:p>
          <w:p w14:paraId="17CFFB00" w14:textId="77777777" w:rsidR="00384922" w:rsidRDefault="00384922" w:rsidP="00D72849">
            <w:pPr>
              <w:ind w:firstLine="482"/>
              <w:rPr>
                <w:kern w:val="0"/>
                <w:lang w:eastAsia="zh-CN"/>
              </w:rPr>
            </w:pPr>
            <w:r>
              <w:rPr>
                <w:rFonts w:hint="eastAsia"/>
                <w:b/>
                <w:kern w:val="0"/>
                <w:lang w:eastAsia="zh-CN"/>
              </w:rPr>
              <w:t>失业率小幅上升，劳动力市场平衡中趋软。</w:t>
            </w:r>
            <w:r>
              <w:rPr>
                <w:rFonts w:hint="eastAsia"/>
                <w:kern w:val="0"/>
                <w:lang w:eastAsia="zh-CN"/>
              </w:rPr>
              <w:t>2</w:t>
            </w:r>
            <w:r>
              <w:rPr>
                <w:kern w:val="0"/>
                <w:lang w:eastAsia="zh-CN"/>
              </w:rPr>
              <w:t>02</w:t>
            </w:r>
            <w:r>
              <w:rPr>
                <w:rFonts w:hint="eastAsia"/>
                <w:kern w:val="0"/>
                <w:lang w:eastAsia="zh-CN"/>
              </w:rPr>
              <w:t>5</w:t>
            </w:r>
            <w:r>
              <w:rPr>
                <w:rFonts w:hint="eastAsia"/>
                <w:kern w:val="0"/>
                <w:lang w:eastAsia="zh-CN"/>
              </w:rPr>
              <w:t>年</w:t>
            </w:r>
            <w:r>
              <w:rPr>
                <w:rFonts w:hint="eastAsia"/>
                <w:kern w:val="0"/>
                <w:lang w:eastAsia="zh-CN"/>
              </w:rPr>
              <w:t>1</w:t>
            </w:r>
            <w:r>
              <w:rPr>
                <w:rFonts w:hint="eastAsia"/>
                <w:kern w:val="0"/>
                <w:lang w:eastAsia="zh-CN"/>
              </w:rPr>
              <w:t>月至</w:t>
            </w:r>
            <w:r>
              <w:rPr>
                <w:rFonts w:hint="eastAsia"/>
                <w:kern w:val="0"/>
                <w:lang w:eastAsia="zh-CN"/>
              </w:rPr>
              <w:t>3</w:t>
            </w:r>
            <w:r>
              <w:rPr>
                <w:rFonts w:hint="eastAsia"/>
                <w:kern w:val="0"/>
                <w:lang w:eastAsia="zh-CN"/>
              </w:rPr>
              <w:t>月，美国失业率分别为</w:t>
            </w:r>
            <w:r>
              <w:rPr>
                <w:rFonts w:hint="eastAsia"/>
                <w:kern w:val="0"/>
                <w:lang w:eastAsia="zh-CN"/>
              </w:rPr>
              <w:t>4.0%</w:t>
            </w:r>
            <w:r>
              <w:rPr>
                <w:rFonts w:hint="eastAsia"/>
                <w:kern w:val="0"/>
                <w:lang w:eastAsia="zh-CN"/>
              </w:rPr>
              <w:t>、</w:t>
            </w:r>
            <w:r>
              <w:rPr>
                <w:rFonts w:hint="eastAsia"/>
                <w:kern w:val="0"/>
                <w:lang w:eastAsia="zh-CN"/>
              </w:rPr>
              <w:t>4.1%</w:t>
            </w:r>
            <w:r>
              <w:rPr>
                <w:rFonts w:hint="eastAsia"/>
                <w:kern w:val="0"/>
                <w:lang w:eastAsia="zh-CN"/>
              </w:rPr>
              <w:t>和</w:t>
            </w:r>
            <w:r>
              <w:rPr>
                <w:rFonts w:hint="eastAsia"/>
                <w:color w:val="000000" w:themeColor="text1"/>
                <w:kern w:val="0"/>
                <w:lang w:eastAsia="zh-CN"/>
              </w:rPr>
              <w:t>4.2%</w:t>
            </w:r>
            <w:r>
              <w:rPr>
                <w:rFonts w:hint="eastAsia"/>
                <w:kern w:val="0"/>
                <w:lang w:eastAsia="zh-CN"/>
              </w:rPr>
              <w:t>，失业率小幅上升；新增非农就业分别为</w:t>
            </w:r>
            <w:r>
              <w:rPr>
                <w:rFonts w:hint="eastAsia"/>
                <w:kern w:val="0"/>
                <w:lang w:eastAsia="zh-CN"/>
              </w:rPr>
              <w:t>11.1</w:t>
            </w:r>
            <w:r>
              <w:rPr>
                <w:rFonts w:hint="eastAsia"/>
                <w:kern w:val="0"/>
                <w:lang w:eastAsia="zh-CN"/>
              </w:rPr>
              <w:t>万、</w:t>
            </w:r>
            <w:r>
              <w:rPr>
                <w:rFonts w:hint="eastAsia"/>
                <w:kern w:val="0"/>
                <w:lang w:eastAsia="zh-CN"/>
              </w:rPr>
              <w:t>11.7</w:t>
            </w:r>
            <w:r>
              <w:rPr>
                <w:rFonts w:hint="eastAsia"/>
                <w:kern w:val="0"/>
                <w:lang w:eastAsia="zh-CN"/>
              </w:rPr>
              <w:t>和</w:t>
            </w:r>
            <w:r>
              <w:rPr>
                <w:rFonts w:hint="eastAsia"/>
                <w:kern w:val="0"/>
                <w:lang w:eastAsia="zh-CN"/>
              </w:rPr>
              <w:t>22.8</w:t>
            </w:r>
            <w:r>
              <w:rPr>
                <w:rFonts w:hint="eastAsia"/>
                <w:kern w:val="0"/>
                <w:lang w:eastAsia="zh-CN"/>
              </w:rPr>
              <w:t>万人；劳动参与率分别为</w:t>
            </w:r>
            <w:r>
              <w:rPr>
                <w:rFonts w:hint="eastAsia"/>
                <w:kern w:val="0"/>
                <w:lang w:eastAsia="zh-CN"/>
              </w:rPr>
              <w:t>62.6%</w:t>
            </w:r>
            <w:r>
              <w:rPr>
                <w:rFonts w:hint="eastAsia"/>
                <w:kern w:val="0"/>
                <w:lang w:eastAsia="zh-CN"/>
              </w:rPr>
              <w:t>、</w:t>
            </w:r>
            <w:r>
              <w:rPr>
                <w:rFonts w:hint="eastAsia"/>
                <w:kern w:val="0"/>
                <w:lang w:eastAsia="zh-CN"/>
              </w:rPr>
              <w:t>62.4%</w:t>
            </w:r>
            <w:r>
              <w:rPr>
                <w:rFonts w:hint="eastAsia"/>
                <w:kern w:val="0"/>
                <w:lang w:eastAsia="zh-CN"/>
              </w:rPr>
              <w:t>和</w:t>
            </w:r>
            <w:r>
              <w:rPr>
                <w:rFonts w:hint="eastAsia"/>
                <w:kern w:val="0"/>
                <w:lang w:eastAsia="zh-CN"/>
              </w:rPr>
              <w:t>62.5%</w:t>
            </w:r>
            <w:r>
              <w:rPr>
                <w:rFonts w:hint="eastAsia"/>
                <w:kern w:val="0"/>
                <w:lang w:eastAsia="zh-CN"/>
              </w:rPr>
              <w:t>；平均时薪同比增速分别为</w:t>
            </w:r>
            <w:r>
              <w:rPr>
                <w:rFonts w:hint="eastAsia"/>
                <w:kern w:val="0"/>
                <w:lang w:eastAsia="zh-CN"/>
              </w:rPr>
              <w:t>4.0%</w:t>
            </w:r>
            <w:r>
              <w:rPr>
                <w:rFonts w:hint="eastAsia"/>
                <w:kern w:val="0"/>
                <w:lang w:eastAsia="zh-CN"/>
              </w:rPr>
              <w:t>、</w:t>
            </w:r>
            <w:r>
              <w:rPr>
                <w:rFonts w:hint="eastAsia"/>
                <w:kern w:val="0"/>
                <w:lang w:eastAsia="zh-CN"/>
              </w:rPr>
              <w:t>4.0%</w:t>
            </w:r>
            <w:r>
              <w:rPr>
                <w:rFonts w:hint="eastAsia"/>
                <w:kern w:val="0"/>
                <w:lang w:eastAsia="zh-CN"/>
              </w:rPr>
              <w:t>和</w:t>
            </w:r>
            <w:r>
              <w:rPr>
                <w:rFonts w:hint="eastAsia"/>
                <w:kern w:val="0"/>
                <w:lang w:eastAsia="zh-CN"/>
              </w:rPr>
              <w:t>3.8%</w:t>
            </w:r>
            <w:r>
              <w:rPr>
                <w:rFonts w:hint="eastAsia"/>
                <w:kern w:val="0"/>
                <w:lang w:eastAsia="zh-CN"/>
              </w:rPr>
              <w:t>，环比增速分别为</w:t>
            </w:r>
            <w:r>
              <w:rPr>
                <w:rFonts w:hint="eastAsia"/>
                <w:kern w:val="0"/>
                <w:lang w:eastAsia="zh-CN"/>
              </w:rPr>
              <w:t>0.4%</w:t>
            </w:r>
            <w:r>
              <w:rPr>
                <w:rFonts w:hint="eastAsia"/>
                <w:kern w:val="0"/>
                <w:lang w:eastAsia="zh-CN"/>
              </w:rPr>
              <w:t>、</w:t>
            </w:r>
            <w:r>
              <w:rPr>
                <w:rFonts w:hint="eastAsia"/>
                <w:kern w:val="0"/>
                <w:lang w:eastAsia="zh-CN"/>
              </w:rPr>
              <w:t>0.2%</w:t>
            </w:r>
            <w:r>
              <w:rPr>
                <w:rFonts w:hint="eastAsia"/>
                <w:kern w:val="0"/>
                <w:lang w:eastAsia="zh-CN"/>
              </w:rPr>
              <w:t>和</w:t>
            </w:r>
            <w:r>
              <w:rPr>
                <w:rFonts w:hint="eastAsia"/>
                <w:kern w:val="0"/>
                <w:lang w:eastAsia="zh-CN"/>
              </w:rPr>
              <w:t>0.3%</w:t>
            </w:r>
            <w:r>
              <w:rPr>
                <w:rFonts w:hint="eastAsia"/>
                <w:kern w:val="0"/>
                <w:lang w:eastAsia="zh-CN"/>
              </w:rPr>
              <w:t>。此外，</w:t>
            </w:r>
            <w:r>
              <w:rPr>
                <w:rFonts w:hint="eastAsia"/>
                <w:kern w:val="0"/>
                <w:lang w:eastAsia="zh-CN"/>
              </w:rPr>
              <w:t>2</w:t>
            </w:r>
            <w:r>
              <w:rPr>
                <w:rFonts w:hint="eastAsia"/>
                <w:kern w:val="0"/>
                <w:lang w:eastAsia="zh-CN"/>
              </w:rPr>
              <w:t>月，离职率小幅升至</w:t>
            </w:r>
            <w:r>
              <w:rPr>
                <w:rFonts w:hint="eastAsia"/>
                <w:kern w:val="0"/>
                <w:lang w:eastAsia="zh-CN"/>
              </w:rPr>
              <w:t>2%</w:t>
            </w:r>
            <w:r>
              <w:rPr>
                <w:rFonts w:hint="eastAsia"/>
                <w:kern w:val="0"/>
                <w:lang w:eastAsia="zh-CN"/>
              </w:rPr>
              <w:t>，职位空缺率小幅降至</w:t>
            </w:r>
            <w:r>
              <w:rPr>
                <w:rFonts w:hint="eastAsia"/>
                <w:kern w:val="0"/>
                <w:lang w:eastAsia="zh-CN"/>
              </w:rPr>
              <w:t>4.5%</w:t>
            </w:r>
            <w:r>
              <w:rPr>
                <w:rFonts w:hint="eastAsia"/>
                <w:kern w:val="0"/>
                <w:lang w:eastAsia="zh-CN"/>
              </w:rPr>
              <w:t>，职位空缺数与失业人数比值降至</w:t>
            </w:r>
            <w:r>
              <w:rPr>
                <w:rFonts w:hint="eastAsia"/>
                <w:kern w:val="0"/>
                <w:lang w:eastAsia="zh-CN"/>
              </w:rPr>
              <w:t>1.0</w:t>
            </w:r>
            <w:r>
              <w:rPr>
                <w:rFonts w:hint="eastAsia"/>
                <w:kern w:val="0"/>
                <w:lang w:eastAsia="zh-CN"/>
              </w:rPr>
              <w:t>。综合来看，美国劳动力市场大致平衡中已显疲态。</w:t>
            </w:r>
          </w:p>
          <w:p w14:paraId="20DD0073" w14:textId="77777777" w:rsidR="00384922" w:rsidRDefault="00384922" w:rsidP="00D72849">
            <w:pPr>
              <w:ind w:firstLine="480"/>
              <w:rPr>
                <w:kern w:val="0"/>
                <w:lang w:eastAsia="zh-CN"/>
              </w:rPr>
            </w:pPr>
            <w:r>
              <w:rPr>
                <w:rFonts w:hint="eastAsia"/>
                <w:kern w:val="0"/>
                <w:lang w:eastAsia="zh-CN"/>
              </w:rPr>
              <w:t>关于美国就业情况，值得警惕的是，联邦政府部门就业呈现“由正转负”趋势，</w:t>
            </w:r>
            <w:r>
              <w:rPr>
                <w:rFonts w:hint="eastAsia"/>
                <w:kern w:val="0"/>
                <w:lang w:eastAsia="zh-CN"/>
              </w:rPr>
              <w:t>2</w:t>
            </w:r>
            <w:r>
              <w:rPr>
                <w:rFonts w:hint="eastAsia"/>
                <w:kern w:val="0"/>
                <w:lang w:eastAsia="zh-CN"/>
              </w:rPr>
              <w:t>月减少</w:t>
            </w:r>
            <w:r>
              <w:rPr>
                <w:rFonts w:hint="eastAsia"/>
                <w:kern w:val="0"/>
                <w:lang w:eastAsia="zh-CN"/>
              </w:rPr>
              <w:t>1</w:t>
            </w:r>
            <w:r>
              <w:rPr>
                <w:rFonts w:hint="eastAsia"/>
                <w:kern w:val="0"/>
                <w:lang w:eastAsia="zh-CN"/>
              </w:rPr>
              <w:t>万人，预示特朗普政府裁员政策可能对就业市场产生进一步负面冲击。相反，如果大规模驱逐非法移民，又可能导致劳动力市场供给减少，甚至出现新的需求缺口。</w:t>
            </w:r>
          </w:p>
          <w:p w14:paraId="59670043" w14:textId="77777777" w:rsidR="00384922" w:rsidRDefault="00384922" w:rsidP="00D72849">
            <w:pPr>
              <w:ind w:firstLine="480"/>
              <w:rPr>
                <w:color w:val="000000"/>
                <w:kern w:val="0"/>
                <w:lang w:eastAsia="zh-CN"/>
              </w:rPr>
            </w:pPr>
          </w:p>
          <w:p w14:paraId="15C87292" w14:textId="77777777" w:rsidR="00DB2622" w:rsidRDefault="00DB2622" w:rsidP="00D37774">
            <w:pPr>
              <w:pStyle w:val="a4"/>
            </w:pPr>
          </w:p>
          <w:p w14:paraId="3C004D77" w14:textId="77777777" w:rsidR="00DB2622" w:rsidRDefault="00DB2622" w:rsidP="00D37774">
            <w:pPr>
              <w:pStyle w:val="a4"/>
            </w:pPr>
          </w:p>
          <w:p w14:paraId="484ACE7B" w14:textId="77777777" w:rsidR="00DB2622" w:rsidRDefault="00DB2622" w:rsidP="00D37774">
            <w:pPr>
              <w:pStyle w:val="a4"/>
            </w:pPr>
          </w:p>
          <w:p w14:paraId="4BA06E17" w14:textId="77777777" w:rsidR="00DB2622" w:rsidRDefault="00DB2622" w:rsidP="00D37774">
            <w:pPr>
              <w:pStyle w:val="a4"/>
            </w:pPr>
          </w:p>
          <w:p w14:paraId="3E99D3AA" w14:textId="77777777" w:rsidR="00DB2622" w:rsidRDefault="00DB2622" w:rsidP="00D37774">
            <w:pPr>
              <w:pStyle w:val="a4"/>
            </w:pPr>
          </w:p>
          <w:p w14:paraId="15384918" w14:textId="4B487229" w:rsidR="00384922" w:rsidRPr="00B73978" w:rsidRDefault="00DB2622" w:rsidP="00D37774">
            <w:pPr>
              <w:pStyle w:val="a4"/>
            </w:pPr>
            <w:bookmarkStart w:id="19" w:name="_Toc196399416"/>
            <w:r>
              <w:rPr>
                <w:rFonts w:hint="eastAsia"/>
              </w:rPr>
              <w:t xml:space="preserve">图表 </w:t>
            </w:r>
            <w:r>
              <w:rPr>
                <w:rFonts w:hint="eastAsia"/>
              </w:rPr>
              <w:fldChar w:fldCharType="begin"/>
            </w:r>
            <w:r>
              <w:rPr>
                <w:rFonts w:hint="eastAsia"/>
              </w:rPr>
              <w:instrText xml:space="preserve"> SEQ 图表 \* ARABIC </w:instrText>
            </w:r>
            <w:r>
              <w:rPr>
                <w:rFonts w:hint="eastAsia"/>
              </w:rPr>
              <w:fldChar w:fldCharType="separate"/>
            </w:r>
            <w:r w:rsidR="00530ED7">
              <w:rPr>
                <w:rFonts w:hint="eastAsia"/>
                <w:noProof/>
              </w:rPr>
              <w:t>5</w:t>
            </w:r>
            <w:r>
              <w:rPr>
                <w:rFonts w:hint="eastAsia"/>
              </w:rPr>
              <w:fldChar w:fldCharType="end"/>
            </w:r>
            <w:r w:rsidRPr="00B73978">
              <w:rPr>
                <w:rFonts w:hint="eastAsia"/>
              </w:rPr>
              <w:t xml:space="preserve"> </w:t>
            </w:r>
            <w:r>
              <w:rPr>
                <w:rFonts w:hint="eastAsia"/>
              </w:rPr>
              <w:t xml:space="preserve"> </w:t>
            </w:r>
            <w:r w:rsidR="00384922" w:rsidRPr="00B73978">
              <w:rPr>
                <w:rFonts w:hint="eastAsia"/>
              </w:rPr>
              <w:t>美国劳动力市场</w:t>
            </w:r>
            <w:bookmarkEnd w:id="19"/>
          </w:p>
          <w:p w14:paraId="2B58CDE6" w14:textId="77777777" w:rsidR="00384922" w:rsidRDefault="00384922" w:rsidP="00C45009">
            <w:pPr>
              <w:ind w:firstLineChars="83" w:firstLine="199"/>
              <w:jc w:val="center"/>
              <w:rPr>
                <w:bCs/>
                <w:kern w:val="0"/>
              </w:rPr>
            </w:pPr>
            <w:r>
              <w:rPr>
                <w:noProof/>
                <w:lang w:eastAsia="zh-CN" w:bidi="ar-SA"/>
              </w:rPr>
              <w:lastRenderedPageBreak/>
              <w:drawing>
                <wp:inline distT="0" distB="0" distL="114300" distR="114300" wp14:anchorId="11E39A97" wp14:editId="6358BD83">
                  <wp:extent cx="4299162" cy="2520315"/>
                  <wp:effectExtent l="0" t="0" r="635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2"/>
                          <a:stretch>
                            <a:fillRect/>
                          </a:stretch>
                        </pic:blipFill>
                        <pic:spPr>
                          <a:xfrm>
                            <a:off x="0" y="0"/>
                            <a:ext cx="4301983" cy="2521969"/>
                          </a:xfrm>
                          <a:prstGeom prst="rect">
                            <a:avLst/>
                          </a:prstGeom>
                          <a:noFill/>
                          <a:ln>
                            <a:noFill/>
                          </a:ln>
                        </pic:spPr>
                      </pic:pic>
                    </a:graphicData>
                  </a:graphic>
                </wp:inline>
              </w:drawing>
            </w:r>
          </w:p>
          <w:p w14:paraId="08DFC288" w14:textId="77777777" w:rsidR="00384922" w:rsidRDefault="00384922" w:rsidP="00D72849">
            <w:pPr>
              <w:ind w:firstLine="482"/>
              <w:rPr>
                <w:b/>
                <w:kern w:val="0"/>
              </w:rPr>
            </w:pPr>
          </w:p>
          <w:p w14:paraId="0B3683F2" w14:textId="77777777" w:rsidR="00384922" w:rsidRDefault="00384922" w:rsidP="00D72849">
            <w:pPr>
              <w:ind w:firstLine="482"/>
              <w:rPr>
                <w:kern w:val="0"/>
                <w:lang w:eastAsia="zh-CN"/>
              </w:rPr>
            </w:pPr>
            <w:r>
              <w:rPr>
                <w:rFonts w:hint="eastAsia"/>
                <w:b/>
                <w:kern w:val="0"/>
                <w:lang w:eastAsia="zh-CN"/>
              </w:rPr>
              <w:t>通胀下行，但上行风险并未解除。</w:t>
            </w:r>
            <w:r>
              <w:rPr>
                <w:rFonts w:hint="eastAsia"/>
                <w:kern w:val="0"/>
                <w:lang w:eastAsia="zh-CN"/>
              </w:rPr>
              <w:t>1</w:t>
            </w:r>
            <w:r>
              <w:rPr>
                <w:rFonts w:hint="eastAsia"/>
                <w:kern w:val="0"/>
                <w:lang w:eastAsia="zh-CN"/>
              </w:rPr>
              <w:t>月至</w:t>
            </w:r>
            <w:r>
              <w:rPr>
                <w:rFonts w:hint="eastAsia"/>
                <w:kern w:val="0"/>
                <w:lang w:eastAsia="zh-CN"/>
              </w:rPr>
              <w:t>2</w:t>
            </w:r>
            <w:r>
              <w:rPr>
                <w:rFonts w:hint="eastAsia"/>
                <w:kern w:val="0"/>
                <w:lang w:eastAsia="zh-CN"/>
              </w:rPr>
              <w:t>月，美国</w:t>
            </w:r>
            <w:r>
              <w:rPr>
                <w:rFonts w:hint="eastAsia"/>
                <w:kern w:val="0"/>
                <w:lang w:eastAsia="zh-CN"/>
              </w:rPr>
              <w:t>CPI</w:t>
            </w:r>
            <w:r>
              <w:rPr>
                <w:rFonts w:hint="eastAsia"/>
                <w:kern w:val="0"/>
                <w:lang w:eastAsia="zh-CN"/>
              </w:rPr>
              <w:t>同比涨幅分别为</w:t>
            </w:r>
            <w:r>
              <w:rPr>
                <w:rFonts w:hint="eastAsia"/>
                <w:kern w:val="0"/>
                <w:lang w:eastAsia="zh-CN"/>
              </w:rPr>
              <w:t>3.3%</w:t>
            </w:r>
            <w:r>
              <w:rPr>
                <w:rFonts w:hint="eastAsia"/>
                <w:kern w:val="0"/>
                <w:lang w:eastAsia="zh-CN"/>
              </w:rPr>
              <w:t>和</w:t>
            </w:r>
            <w:r>
              <w:rPr>
                <w:rFonts w:hint="eastAsia"/>
                <w:kern w:val="0"/>
                <w:lang w:eastAsia="zh-CN"/>
              </w:rPr>
              <w:t>3.1%</w:t>
            </w:r>
            <w:r>
              <w:rPr>
                <w:rFonts w:hint="eastAsia"/>
                <w:kern w:val="0"/>
                <w:lang w:eastAsia="zh-CN"/>
              </w:rPr>
              <w:t>，环比涨幅分别为</w:t>
            </w:r>
            <w:r>
              <w:rPr>
                <w:rFonts w:hint="eastAsia"/>
                <w:kern w:val="0"/>
                <w:lang w:eastAsia="zh-CN"/>
              </w:rPr>
              <w:t>0.5%</w:t>
            </w:r>
            <w:r>
              <w:rPr>
                <w:rFonts w:hint="eastAsia"/>
                <w:kern w:val="0"/>
                <w:lang w:eastAsia="zh-CN"/>
              </w:rPr>
              <w:t>和</w:t>
            </w:r>
            <w:r>
              <w:rPr>
                <w:rFonts w:hint="eastAsia"/>
                <w:kern w:val="0"/>
                <w:lang w:eastAsia="zh-CN"/>
              </w:rPr>
              <w:t>0.2%</w:t>
            </w:r>
            <w:r>
              <w:rPr>
                <w:rFonts w:hint="eastAsia"/>
                <w:kern w:val="0"/>
                <w:lang w:eastAsia="zh-CN"/>
              </w:rPr>
              <w:t>；核心</w:t>
            </w:r>
            <w:r>
              <w:rPr>
                <w:rFonts w:hint="eastAsia"/>
                <w:kern w:val="0"/>
                <w:lang w:eastAsia="zh-CN"/>
              </w:rPr>
              <w:t>CPI</w:t>
            </w:r>
            <w:r>
              <w:rPr>
                <w:rFonts w:hint="eastAsia"/>
                <w:kern w:val="0"/>
                <w:lang w:eastAsia="zh-CN"/>
              </w:rPr>
              <w:t>同比涨幅稳定在</w:t>
            </w:r>
            <w:r>
              <w:rPr>
                <w:rFonts w:hint="eastAsia"/>
                <w:kern w:val="0"/>
                <w:lang w:eastAsia="zh-CN"/>
              </w:rPr>
              <w:t>3%</w:t>
            </w:r>
            <w:r>
              <w:rPr>
                <w:rFonts w:hint="eastAsia"/>
                <w:kern w:val="0"/>
                <w:lang w:eastAsia="zh-CN"/>
              </w:rPr>
              <w:t>和</w:t>
            </w:r>
            <w:r>
              <w:rPr>
                <w:rFonts w:hint="eastAsia"/>
                <w:kern w:val="0"/>
                <w:lang w:eastAsia="zh-CN"/>
              </w:rPr>
              <w:t>2.8%</w:t>
            </w:r>
            <w:r>
              <w:rPr>
                <w:rFonts w:hint="eastAsia"/>
                <w:kern w:val="0"/>
                <w:lang w:eastAsia="zh-CN"/>
              </w:rPr>
              <w:t>，环比涨幅分别为</w:t>
            </w:r>
            <w:r>
              <w:rPr>
                <w:rFonts w:hint="eastAsia"/>
                <w:kern w:val="0"/>
                <w:lang w:eastAsia="zh-CN"/>
              </w:rPr>
              <w:t>0.4%</w:t>
            </w:r>
            <w:r>
              <w:rPr>
                <w:rFonts w:hint="eastAsia"/>
                <w:kern w:val="0"/>
                <w:lang w:eastAsia="zh-CN"/>
              </w:rPr>
              <w:t>和</w:t>
            </w:r>
            <w:r>
              <w:rPr>
                <w:rFonts w:hint="eastAsia"/>
                <w:kern w:val="0"/>
                <w:lang w:eastAsia="zh-CN"/>
              </w:rPr>
              <w:t>0.2%</w:t>
            </w:r>
            <w:r>
              <w:rPr>
                <w:rFonts w:hint="eastAsia"/>
                <w:kern w:val="0"/>
                <w:lang w:eastAsia="zh-CN"/>
              </w:rPr>
              <w:t>。展望未来，一方面“对等关税”政策或导致美国进口成本上升，引致通胀上行；另一方面，原油价格下降，以及美国经济增速放缓导致需求减弱，又驱使通胀下行。</w:t>
            </w:r>
          </w:p>
          <w:p w14:paraId="457098A8" w14:textId="77777777" w:rsidR="00384922" w:rsidRDefault="00384922" w:rsidP="00D72849">
            <w:pPr>
              <w:ind w:firstLine="480"/>
              <w:rPr>
                <w:color w:val="000000"/>
                <w:kern w:val="0"/>
                <w:lang w:eastAsia="zh-CN"/>
              </w:rPr>
            </w:pPr>
          </w:p>
          <w:p w14:paraId="0B9D3249" w14:textId="65BF87BC" w:rsidR="00384922" w:rsidRPr="00B73978" w:rsidRDefault="00DB2622" w:rsidP="00D37774">
            <w:pPr>
              <w:pStyle w:val="a4"/>
            </w:pPr>
            <w:bookmarkStart w:id="20" w:name="_Toc196399417"/>
            <w:r>
              <w:rPr>
                <w:rFonts w:hint="eastAsia"/>
              </w:rPr>
              <w:t xml:space="preserve">图表 </w:t>
            </w:r>
            <w:r>
              <w:rPr>
                <w:rFonts w:hint="eastAsia"/>
              </w:rPr>
              <w:fldChar w:fldCharType="begin"/>
            </w:r>
            <w:r>
              <w:rPr>
                <w:rFonts w:hint="eastAsia"/>
              </w:rPr>
              <w:instrText xml:space="preserve"> SEQ 图表 \* ARABIC </w:instrText>
            </w:r>
            <w:r>
              <w:rPr>
                <w:rFonts w:hint="eastAsia"/>
              </w:rPr>
              <w:fldChar w:fldCharType="separate"/>
            </w:r>
            <w:r w:rsidR="00530ED7">
              <w:rPr>
                <w:rFonts w:hint="eastAsia"/>
                <w:noProof/>
              </w:rPr>
              <w:t>6</w:t>
            </w:r>
            <w:r>
              <w:rPr>
                <w:rFonts w:hint="eastAsia"/>
              </w:rPr>
              <w:fldChar w:fldCharType="end"/>
            </w:r>
            <w:r w:rsidR="00384922" w:rsidRPr="00B73978">
              <w:t xml:space="preserve">  </w:t>
            </w:r>
            <w:r w:rsidR="00384922" w:rsidRPr="00B73978">
              <w:rPr>
                <w:rFonts w:hint="eastAsia"/>
              </w:rPr>
              <w:t>美国通货膨胀</w:t>
            </w:r>
            <w:bookmarkEnd w:id="20"/>
          </w:p>
          <w:p w14:paraId="289ED869" w14:textId="77777777" w:rsidR="00384922" w:rsidRDefault="00384922" w:rsidP="00C45009">
            <w:pPr>
              <w:ind w:firstLineChars="0" w:firstLine="0"/>
              <w:jc w:val="center"/>
              <w:rPr>
                <w:b/>
                <w:color w:val="000000"/>
                <w:kern w:val="0"/>
              </w:rPr>
            </w:pPr>
            <w:r>
              <w:rPr>
                <w:noProof/>
                <w:lang w:eastAsia="zh-CN" w:bidi="ar-SA"/>
              </w:rPr>
              <w:drawing>
                <wp:inline distT="0" distB="0" distL="114300" distR="114300" wp14:anchorId="2FA4C9DD" wp14:editId="085B3DF5">
                  <wp:extent cx="4232699" cy="2520315"/>
                  <wp:effectExtent l="0" t="0" r="0" b="0"/>
                  <wp:docPr id="1932999206" name="图片 1932999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23"/>
                          <a:stretch>
                            <a:fillRect/>
                          </a:stretch>
                        </pic:blipFill>
                        <pic:spPr>
                          <a:xfrm>
                            <a:off x="0" y="0"/>
                            <a:ext cx="4234676" cy="2521492"/>
                          </a:xfrm>
                          <a:prstGeom prst="rect">
                            <a:avLst/>
                          </a:prstGeom>
                          <a:noFill/>
                          <a:ln>
                            <a:noFill/>
                          </a:ln>
                        </pic:spPr>
                      </pic:pic>
                    </a:graphicData>
                  </a:graphic>
                </wp:inline>
              </w:drawing>
            </w:r>
          </w:p>
          <w:p w14:paraId="70E10F54" w14:textId="77777777" w:rsidR="00384922" w:rsidRDefault="00384922" w:rsidP="00D72849">
            <w:pPr>
              <w:ind w:firstLine="482"/>
              <w:jc w:val="center"/>
              <w:rPr>
                <w:b/>
                <w:color w:val="000000"/>
                <w:kern w:val="0"/>
              </w:rPr>
            </w:pPr>
          </w:p>
        </w:tc>
      </w:tr>
      <w:tr w:rsidR="00384922" w14:paraId="1F17A996" w14:textId="77777777" w:rsidTr="00CA02FA">
        <w:trPr>
          <w:trHeight w:val="986"/>
        </w:trPr>
        <w:tc>
          <w:tcPr>
            <w:tcW w:w="1701" w:type="dxa"/>
            <w:vAlign w:val="center"/>
          </w:tcPr>
          <w:p w14:paraId="39D305C4" w14:textId="77777777" w:rsidR="00384922" w:rsidRDefault="00384922" w:rsidP="00D12537">
            <w:pPr>
              <w:spacing w:line="312" w:lineRule="auto"/>
              <w:ind w:firstLineChars="0" w:firstLine="0"/>
              <w:rPr>
                <w:b/>
              </w:rPr>
            </w:pPr>
            <w:r>
              <w:rPr>
                <w:rFonts w:hint="eastAsia"/>
                <w:b/>
              </w:rPr>
              <w:lastRenderedPageBreak/>
              <w:t>金融市场杀跌。</w:t>
            </w:r>
          </w:p>
        </w:tc>
        <w:tc>
          <w:tcPr>
            <w:tcW w:w="284" w:type="dxa"/>
          </w:tcPr>
          <w:p w14:paraId="6F91052B" w14:textId="77777777" w:rsidR="00384922" w:rsidRDefault="00384922" w:rsidP="00D72849">
            <w:pPr>
              <w:keepNext/>
              <w:keepLines/>
              <w:spacing w:before="260" w:after="260"/>
              <w:ind w:firstLine="480"/>
              <w:rPr>
                <w:rFonts w:eastAsia="楷体_GB2312"/>
                <w:color w:val="FF0000"/>
              </w:rPr>
            </w:pPr>
          </w:p>
        </w:tc>
        <w:tc>
          <w:tcPr>
            <w:tcW w:w="7513" w:type="dxa"/>
          </w:tcPr>
          <w:p w14:paraId="29804213" w14:textId="77777777" w:rsidR="00384922" w:rsidRDefault="00384922" w:rsidP="00D72849">
            <w:pPr>
              <w:spacing w:beforeLines="50" w:before="163"/>
              <w:ind w:firstLine="482"/>
              <w:rPr>
                <w:bCs/>
                <w:lang w:eastAsia="zh-CN"/>
              </w:rPr>
            </w:pPr>
            <w:r>
              <w:rPr>
                <w:rFonts w:hint="eastAsia"/>
                <w:b/>
                <w:lang w:eastAsia="zh-CN"/>
              </w:rPr>
              <w:t>美债收益率曲线走俏。</w:t>
            </w:r>
            <w:r>
              <w:rPr>
                <w:rFonts w:hint="eastAsia"/>
                <w:bCs/>
                <w:lang w:eastAsia="zh-CN"/>
              </w:rPr>
              <w:t>第一季度，美国</w:t>
            </w:r>
            <w:r>
              <w:rPr>
                <w:rFonts w:hint="eastAsia"/>
                <w:bCs/>
                <w:lang w:eastAsia="zh-CN"/>
              </w:rPr>
              <w:t>10</w:t>
            </w:r>
            <w:r>
              <w:rPr>
                <w:rFonts w:hint="eastAsia"/>
                <w:bCs/>
                <w:lang w:eastAsia="zh-CN"/>
              </w:rPr>
              <w:t>年期和</w:t>
            </w:r>
            <w:r>
              <w:rPr>
                <w:rFonts w:hint="eastAsia"/>
                <w:bCs/>
                <w:lang w:eastAsia="zh-CN"/>
              </w:rPr>
              <w:t>2</w:t>
            </w:r>
            <w:r>
              <w:rPr>
                <w:rFonts w:hint="eastAsia"/>
                <w:bCs/>
                <w:lang w:eastAsia="zh-CN"/>
              </w:rPr>
              <w:t>年期国债收益率曲线皆下行，利差走阔。值得注意的是，</w:t>
            </w:r>
            <w:r>
              <w:rPr>
                <w:rFonts w:hint="eastAsia"/>
                <w:bCs/>
                <w:lang w:eastAsia="zh-CN"/>
              </w:rPr>
              <w:t>4</w:t>
            </w:r>
            <w:r>
              <w:rPr>
                <w:rFonts w:hint="eastAsia"/>
                <w:bCs/>
                <w:lang w:eastAsia="zh-CN"/>
              </w:rPr>
              <w:t>月</w:t>
            </w:r>
            <w:r>
              <w:rPr>
                <w:rFonts w:hint="eastAsia"/>
                <w:bCs/>
                <w:lang w:eastAsia="zh-CN"/>
              </w:rPr>
              <w:t>2</w:t>
            </w:r>
            <w:r>
              <w:rPr>
                <w:rFonts w:hint="eastAsia"/>
                <w:bCs/>
                <w:lang w:eastAsia="zh-CN"/>
              </w:rPr>
              <w:t>日至</w:t>
            </w:r>
            <w:r>
              <w:rPr>
                <w:rFonts w:hint="eastAsia"/>
                <w:bCs/>
                <w:lang w:eastAsia="zh-CN"/>
              </w:rPr>
              <w:t>4</w:t>
            </w:r>
            <w:r>
              <w:rPr>
                <w:rFonts w:hint="eastAsia"/>
                <w:bCs/>
                <w:lang w:eastAsia="zh-CN"/>
              </w:rPr>
              <w:t>日，在特</w:t>
            </w:r>
            <w:r>
              <w:rPr>
                <w:rFonts w:hint="eastAsia"/>
                <w:bCs/>
                <w:lang w:eastAsia="zh-CN"/>
              </w:rPr>
              <w:lastRenderedPageBreak/>
              <w:t>朗普宣布加征“对等关税”后，美债</w:t>
            </w:r>
            <w:r>
              <w:rPr>
                <w:rFonts w:hint="eastAsia"/>
                <w:bCs/>
                <w:lang w:eastAsia="zh-CN"/>
              </w:rPr>
              <w:t>10</w:t>
            </w:r>
            <w:r>
              <w:rPr>
                <w:rFonts w:hint="eastAsia"/>
                <w:bCs/>
                <w:lang w:eastAsia="zh-CN"/>
              </w:rPr>
              <w:t>年期和</w:t>
            </w:r>
            <w:r>
              <w:rPr>
                <w:rFonts w:hint="eastAsia"/>
                <w:bCs/>
                <w:lang w:eastAsia="zh-CN"/>
              </w:rPr>
              <w:t>2</w:t>
            </w:r>
            <w:r>
              <w:rPr>
                <w:rFonts w:hint="eastAsia"/>
                <w:bCs/>
                <w:lang w:eastAsia="zh-CN"/>
              </w:rPr>
              <w:t>年期国债收益率皆大幅下行，但</w:t>
            </w:r>
            <w:r>
              <w:rPr>
                <w:rFonts w:hint="eastAsia"/>
                <w:bCs/>
                <w:lang w:eastAsia="zh-CN"/>
              </w:rPr>
              <w:t>4</w:t>
            </w:r>
            <w:r>
              <w:rPr>
                <w:rFonts w:hint="eastAsia"/>
                <w:bCs/>
                <w:lang w:eastAsia="zh-CN"/>
              </w:rPr>
              <w:t>日以来，</w:t>
            </w:r>
            <w:r>
              <w:rPr>
                <w:rFonts w:hint="eastAsia"/>
                <w:bCs/>
                <w:lang w:eastAsia="zh-CN"/>
              </w:rPr>
              <w:t>2</w:t>
            </w:r>
            <w:r>
              <w:rPr>
                <w:rFonts w:hint="eastAsia"/>
                <w:bCs/>
                <w:lang w:eastAsia="zh-CN"/>
              </w:rPr>
              <w:t>年期国债收益率维持相对稳定，</w:t>
            </w:r>
            <w:r>
              <w:rPr>
                <w:rFonts w:hint="eastAsia"/>
                <w:bCs/>
                <w:lang w:eastAsia="zh-CN"/>
              </w:rPr>
              <w:t>10</w:t>
            </w:r>
            <w:r>
              <w:rPr>
                <w:rFonts w:hint="eastAsia"/>
                <w:bCs/>
                <w:lang w:eastAsia="zh-CN"/>
              </w:rPr>
              <w:t>年期国债收益率快速上行，美债的“避风港”效应消失。市场关于长期美债收益率上行的主要解释为担心关税驱动的美国通胀可能会阻止美联储降息、投资者转向现金类工具、基差交易的混乱以及外国抛售美国债券等。</w:t>
            </w:r>
          </w:p>
          <w:p w14:paraId="3873ABB1" w14:textId="77777777" w:rsidR="00384922" w:rsidRDefault="00384922" w:rsidP="00D72849">
            <w:pPr>
              <w:spacing w:beforeLines="50" w:before="163"/>
              <w:ind w:firstLine="482"/>
              <w:rPr>
                <w:bCs/>
                <w:lang w:eastAsia="zh-CN"/>
              </w:rPr>
            </w:pPr>
            <w:r>
              <w:rPr>
                <w:rFonts w:hint="eastAsia"/>
                <w:b/>
                <w:bCs/>
                <w:lang w:eastAsia="zh-CN"/>
              </w:rPr>
              <w:t>美元指数走弱。</w:t>
            </w:r>
            <w:r>
              <w:rPr>
                <w:rFonts w:hint="eastAsia"/>
                <w:bCs/>
                <w:lang w:eastAsia="zh-CN"/>
              </w:rPr>
              <w:t>这至少有两部分原因：直接原因是“对等关税”政策正在将美国经济带向衰退。深层次原因在于美国关税单边主义，严重反噬美元吸引力，推动部分经济体和国际机构加速去美元化进程。在全球经济动荡中，尽管投资者避险需求仍然强烈，但资金避险方向从美元转向黄金、日元等其他避险资产。</w:t>
            </w:r>
          </w:p>
          <w:p w14:paraId="488E8881" w14:textId="77777777" w:rsidR="00384922" w:rsidRDefault="00384922" w:rsidP="00D72849">
            <w:pPr>
              <w:spacing w:beforeLines="50" w:before="163"/>
              <w:ind w:firstLine="482"/>
              <w:rPr>
                <w:bCs/>
                <w:lang w:eastAsia="zh-CN"/>
              </w:rPr>
            </w:pPr>
            <w:r>
              <w:rPr>
                <w:rFonts w:hint="eastAsia"/>
                <w:b/>
                <w:bCs/>
                <w:lang w:eastAsia="zh-CN"/>
              </w:rPr>
              <w:t>美股大幅杀跌。</w:t>
            </w:r>
            <w:r>
              <w:rPr>
                <w:rFonts w:hint="eastAsia"/>
                <w:bCs/>
                <w:lang w:eastAsia="zh-CN"/>
              </w:rPr>
              <w:t>2</w:t>
            </w:r>
            <w:r>
              <w:rPr>
                <w:rFonts w:hint="eastAsia"/>
                <w:bCs/>
                <w:lang w:eastAsia="zh-CN"/>
              </w:rPr>
              <w:t>月下旬以来，在特朗普关税政策的阴影下，美股开始向下调整，尤其是</w:t>
            </w:r>
            <w:r>
              <w:rPr>
                <w:rFonts w:hint="eastAsia"/>
                <w:bCs/>
                <w:lang w:eastAsia="zh-CN"/>
              </w:rPr>
              <w:t>4</w:t>
            </w:r>
            <w:r>
              <w:rPr>
                <w:rFonts w:hint="eastAsia"/>
                <w:bCs/>
                <w:lang w:eastAsia="zh-CN"/>
              </w:rPr>
              <w:t>月</w:t>
            </w:r>
            <w:r>
              <w:rPr>
                <w:rFonts w:hint="eastAsia"/>
                <w:bCs/>
                <w:lang w:eastAsia="zh-CN"/>
              </w:rPr>
              <w:t>2</w:t>
            </w:r>
            <w:r>
              <w:rPr>
                <w:rFonts w:hint="eastAsia"/>
                <w:bCs/>
                <w:lang w:eastAsia="zh-CN"/>
              </w:rPr>
              <w:t>日特朗普宣布“对等关税”后，美股连续暴跌。纳斯达克指数跌幅一度超过</w:t>
            </w:r>
            <w:r>
              <w:rPr>
                <w:rFonts w:hint="eastAsia"/>
                <w:bCs/>
                <w:lang w:eastAsia="zh-CN"/>
              </w:rPr>
              <w:t>20%</w:t>
            </w:r>
            <w:r>
              <w:rPr>
                <w:rFonts w:hint="eastAsia"/>
                <w:bCs/>
                <w:lang w:eastAsia="zh-CN"/>
              </w:rPr>
              <w:t>。</w:t>
            </w:r>
          </w:p>
        </w:tc>
      </w:tr>
      <w:tr w:rsidR="00384922" w14:paraId="3F37125F" w14:textId="77777777" w:rsidTr="00CA02FA">
        <w:trPr>
          <w:trHeight w:val="2459"/>
        </w:trPr>
        <w:tc>
          <w:tcPr>
            <w:tcW w:w="1701" w:type="dxa"/>
            <w:vAlign w:val="center"/>
          </w:tcPr>
          <w:p w14:paraId="69D1A878" w14:textId="77777777" w:rsidR="00384922" w:rsidRDefault="00384922" w:rsidP="00D12537">
            <w:pPr>
              <w:spacing w:line="312" w:lineRule="auto"/>
              <w:ind w:firstLineChars="0" w:firstLine="0"/>
              <w:rPr>
                <w:b/>
              </w:rPr>
            </w:pPr>
            <w:r>
              <w:rPr>
                <w:rFonts w:hint="eastAsia"/>
                <w:b/>
              </w:rPr>
              <w:lastRenderedPageBreak/>
              <w:t>美联储继续观望。</w:t>
            </w:r>
          </w:p>
        </w:tc>
        <w:tc>
          <w:tcPr>
            <w:tcW w:w="284" w:type="dxa"/>
          </w:tcPr>
          <w:p w14:paraId="2B3900A7" w14:textId="77777777" w:rsidR="00384922" w:rsidRDefault="00384922" w:rsidP="00D72849">
            <w:pPr>
              <w:keepNext/>
              <w:keepLines/>
              <w:spacing w:before="260" w:after="260"/>
              <w:ind w:firstLine="480"/>
              <w:rPr>
                <w:rFonts w:eastAsia="楷体_GB2312"/>
                <w:color w:val="FF0000"/>
              </w:rPr>
            </w:pPr>
          </w:p>
        </w:tc>
        <w:tc>
          <w:tcPr>
            <w:tcW w:w="7513" w:type="dxa"/>
          </w:tcPr>
          <w:p w14:paraId="44DAC037" w14:textId="77777777" w:rsidR="00384922" w:rsidRDefault="00384922" w:rsidP="00D72849">
            <w:pPr>
              <w:ind w:firstLine="562"/>
              <w:rPr>
                <w:b/>
                <w:bCs/>
                <w:lang w:eastAsia="zh-CN"/>
              </w:rPr>
            </w:pPr>
            <w:r>
              <w:rPr>
                <w:b/>
                <w:sz w:val="28"/>
                <w:szCs w:val="28"/>
                <w:lang w:eastAsia="zh-CN"/>
              </w:rPr>
              <w:t>二、</w:t>
            </w:r>
            <w:r>
              <w:rPr>
                <w:rFonts w:hint="eastAsia"/>
                <w:b/>
                <w:sz w:val="28"/>
                <w:szCs w:val="28"/>
                <w:lang w:eastAsia="zh-CN"/>
              </w:rPr>
              <w:t>宏观政策分析</w:t>
            </w:r>
          </w:p>
          <w:p w14:paraId="170CC4A4" w14:textId="77777777" w:rsidR="00384922" w:rsidRDefault="00384922" w:rsidP="00D72849">
            <w:pPr>
              <w:ind w:firstLineChars="163" w:firstLine="391"/>
              <w:rPr>
                <w:lang w:eastAsia="zh-CN"/>
              </w:rPr>
            </w:pPr>
            <w:r>
              <w:rPr>
                <w:rFonts w:hint="eastAsia"/>
                <w:lang w:eastAsia="zh-CN"/>
              </w:rPr>
              <w:t>美联储在</w:t>
            </w:r>
            <w:r>
              <w:rPr>
                <w:rFonts w:hint="eastAsia"/>
                <w:lang w:eastAsia="zh-CN"/>
              </w:rPr>
              <w:t>1</w:t>
            </w:r>
            <w:r>
              <w:rPr>
                <w:rFonts w:hint="eastAsia"/>
                <w:lang w:eastAsia="zh-CN"/>
              </w:rPr>
              <w:t>月和</w:t>
            </w:r>
            <w:r>
              <w:rPr>
                <w:rFonts w:hint="eastAsia"/>
                <w:lang w:eastAsia="zh-CN"/>
              </w:rPr>
              <w:t>3</w:t>
            </w:r>
            <w:r>
              <w:rPr>
                <w:rFonts w:hint="eastAsia"/>
                <w:lang w:eastAsia="zh-CN"/>
              </w:rPr>
              <w:t>月议息会议皆选择继续观望。美联储</w:t>
            </w:r>
            <w:r>
              <w:rPr>
                <w:rFonts w:hint="eastAsia"/>
                <w:lang w:eastAsia="zh-CN"/>
              </w:rPr>
              <w:t>3</w:t>
            </w:r>
            <w:r>
              <w:rPr>
                <w:rFonts w:hint="eastAsia"/>
                <w:lang w:eastAsia="zh-CN"/>
              </w:rPr>
              <w:t>月会议维持政策利率在</w:t>
            </w:r>
            <w:r>
              <w:rPr>
                <w:rFonts w:hint="eastAsia"/>
                <w:lang w:eastAsia="zh-CN"/>
              </w:rPr>
              <w:t>4.25-4.50%</w:t>
            </w:r>
            <w:r>
              <w:rPr>
                <w:rFonts w:hint="eastAsia"/>
                <w:lang w:eastAsia="zh-CN"/>
              </w:rPr>
              <w:t>区间，计划于</w:t>
            </w:r>
            <w:r>
              <w:rPr>
                <w:rFonts w:hint="eastAsia"/>
                <w:lang w:eastAsia="zh-CN"/>
              </w:rPr>
              <w:t>4</w:t>
            </w:r>
            <w:r>
              <w:rPr>
                <w:rFonts w:hint="eastAsia"/>
                <w:lang w:eastAsia="zh-CN"/>
              </w:rPr>
              <w:t>月开始进一步放缓缩表，将国债减持速度由每月</w:t>
            </w:r>
            <w:r>
              <w:rPr>
                <w:rFonts w:hint="eastAsia"/>
                <w:lang w:eastAsia="zh-CN"/>
              </w:rPr>
              <w:t>250</w:t>
            </w:r>
            <w:r>
              <w:rPr>
                <w:rFonts w:hint="eastAsia"/>
                <w:lang w:eastAsia="zh-CN"/>
              </w:rPr>
              <w:t>亿美元降至</w:t>
            </w:r>
            <w:r>
              <w:rPr>
                <w:rFonts w:hint="eastAsia"/>
                <w:lang w:eastAsia="zh-CN"/>
              </w:rPr>
              <w:t>50</w:t>
            </w:r>
            <w:r>
              <w:rPr>
                <w:rFonts w:hint="eastAsia"/>
                <w:lang w:eastAsia="zh-CN"/>
              </w:rPr>
              <w:t>亿美元。鲍威尔表示，关税等政策为通胀及经济前景带来巨大不确定性，而美联储选择以“不变”应变，并保持货币政策的高度灵活。鲍威尔认为，当前美国只是预期相关的调查数据走弱，硬数据仍较为稳健，美国经济衰退风险上升但仍不高。</w:t>
            </w:r>
          </w:p>
          <w:p w14:paraId="5FE08611" w14:textId="77777777" w:rsidR="00384922" w:rsidRDefault="00384922" w:rsidP="00D72849">
            <w:pPr>
              <w:ind w:firstLineChars="163" w:firstLine="393"/>
              <w:rPr>
                <w:lang w:eastAsia="zh-CN"/>
              </w:rPr>
            </w:pPr>
            <w:r>
              <w:rPr>
                <w:rFonts w:hint="eastAsia"/>
                <w:b/>
                <w:lang w:eastAsia="zh-CN"/>
              </w:rPr>
              <w:t>美联储较大幅度修改</w:t>
            </w:r>
            <w:r>
              <w:rPr>
                <w:rFonts w:hint="eastAsia"/>
                <w:b/>
                <w:lang w:eastAsia="zh-CN"/>
              </w:rPr>
              <w:t>2</w:t>
            </w:r>
            <w:r>
              <w:rPr>
                <w:b/>
                <w:lang w:eastAsia="zh-CN"/>
              </w:rPr>
              <w:t>02</w:t>
            </w:r>
            <w:r>
              <w:rPr>
                <w:rFonts w:hint="eastAsia"/>
                <w:b/>
                <w:lang w:eastAsia="zh-CN"/>
              </w:rPr>
              <w:t>5</w:t>
            </w:r>
            <w:r>
              <w:rPr>
                <w:rFonts w:hint="eastAsia"/>
                <w:b/>
                <w:lang w:eastAsia="zh-CN"/>
              </w:rPr>
              <w:t>年经济预测。</w:t>
            </w:r>
            <w:r>
              <w:rPr>
                <w:rFonts w:hint="eastAsia"/>
                <w:lang w:eastAsia="zh-CN"/>
              </w:rPr>
              <w:t>美联储将</w:t>
            </w:r>
            <w:r>
              <w:rPr>
                <w:rFonts w:hint="eastAsia"/>
                <w:lang w:eastAsia="zh-CN"/>
              </w:rPr>
              <w:t>2025</w:t>
            </w:r>
            <w:r>
              <w:rPr>
                <w:rFonts w:hint="eastAsia"/>
                <w:lang w:eastAsia="zh-CN"/>
              </w:rPr>
              <w:t>年经济增长预测中值由</w:t>
            </w:r>
            <w:r>
              <w:rPr>
                <w:rFonts w:hint="eastAsia"/>
                <w:lang w:eastAsia="zh-CN"/>
              </w:rPr>
              <w:t>2.1%</w:t>
            </w:r>
            <w:r>
              <w:rPr>
                <w:rFonts w:hint="eastAsia"/>
                <w:lang w:eastAsia="zh-CN"/>
              </w:rPr>
              <w:t>显著下修至</w:t>
            </w:r>
            <w:r>
              <w:rPr>
                <w:rFonts w:hint="eastAsia"/>
                <w:lang w:eastAsia="zh-CN"/>
              </w:rPr>
              <w:t>1.7%</w:t>
            </w:r>
            <w:r>
              <w:rPr>
                <w:rFonts w:hint="eastAsia"/>
                <w:lang w:eastAsia="zh-CN"/>
              </w:rPr>
              <w:t>；</w:t>
            </w:r>
            <w:r>
              <w:rPr>
                <w:rFonts w:hint="eastAsia"/>
                <w:lang w:eastAsia="zh-CN"/>
              </w:rPr>
              <w:t>2025</w:t>
            </w:r>
            <w:r>
              <w:rPr>
                <w:rFonts w:hint="eastAsia"/>
                <w:lang w:eastAsia="zh-CN"/>
              </w:rPr>
              <w:t>年失业率预测中值由</w:t>
            </w:r>
            <w:r>
              <w:rPr>
                <w:rFonts w:hint="eastAsia"/>
                <w:lang w:eastAsia="zh-CN"/>
              </w:rPr>
              <w:t>4.3%</w:t>
            </w:r>
            <w:r>
              <w:rPr>
                <w:rFonts w:hint="eastAsia"/>
                <w:lang w:eastAsia="zh-CN"/>
              </w:rPr>
              <w:t>上修至</w:t>
            </w:r>
            <w:r>
              <w:rPr>
                <w:rFonts w:hint="eastAsia"/>
                <w:lang w:eastAsia="zh-CN"/>
              </w:rPr>
              <w:t>4.4%</w:t>
            </w:r>
            <w:r>
              <w:rPr>
                <w:rFonts w:hint="eastAsia"/>
                <w:lang w:eastAsia="zh-CN"/>
              </w:rPr>
              <w:t>；</w:t>
            </w:r>
            <w:r>
              <w:rPr>
                <w:rFonts w:hint="eastAsia"/>
                <w:lang w:eastAsia="zh-CN"/>
              </w:rPr>
              <w:t>2025</w:t>
            </w:r>
            <w:r>
              <w:rPr>
                <w:rFonts w:hint="eastAsia"/>
                <w:lang w:eastAsia="zh-CN"/>
              </w:rPr>
              <w:t>年</w:t>
            </w:r>
            <w:r>
              <w:rPr>
                <w:rFonts w:hint="eastAsia"/>
                <w:lang w:eastAsia="zh-CN"/>
              </w:rPr>
              <w:t>PCE</w:t>
            </w:r>
            <w:r>
              <w:rPr>
                <w:rFonts w:hint="eastAsia"/>
                <w:lang w:eastAsia="zh-CN"/>
              </w:rPr>
              <w:t>和核心</w:t>
            </w:r>
            <w:r>
              <w:rPr>
                <w:rFonts w:hint="eastAsia"/>
                <w:lang w:eastAsia="zh-CN"/>
              </w:rPr>
              <w:t>PCE</w:t>
            </w:r>
            <w:r>
              <w:rPr>
                <w:rFonts w:hint="eastAsia"/>
                <w:lang w:eastAsia="zh-CN"/>
              </w:rPr>
              <w:t>通胀率预测中值分别上修</w:t>
            </w:r>
            <w:r>
              <w:rPr>
                <w:rFonts w:hint="eastAsia"/>
                <w:lang w:eastAsia="zh-CN"/>
              </w:rPr>
              <w:t>0.2</w:t>
            </w:r>
            <w:r>
              <w:rPr>
                <w:rFonts w:hint="eastAsia"/>
                <w:lang w:eastAsia="zh-CN"/>
              </w:rPr>
              <w:t>和</w:t>
            </w:r>
            <w:r>
              <w:rPr>
                <w:rFonts w:hint="eastAsia"/>
                <w:lang w:eastAsia="zh-CN"/>
              </w:rPr>
              <w:t>0.3</w:t>
            </w:r>
            <w:r>
              <w:rPr>
                <w:rFonts w:hint="eastAsia"/>
                <w:lang w:eastAsia="zh-CN"/>
              </w:rPr>
              <w:t>个百分点，至</w:t>
            </w:r>
            <w:r>
              <w:rPr>
                <w:rFonts w:hint="eastAsia"/>
                <w:lang w:eastAsia="zh-CN"/>
              </w:rPr>
              <w:t>2.7%</w:t>
            </w:r>
            <w:r>
              <w:rPr>
                <w:rFonts w:hint="eastAsia"/>
                <w:lang w:eastAsia="zh-CN"/>
              </w:rPr>
              <w:t>和</w:t>
            </w:r>
            <w:r>
              <w:rPr>
                <w:rFonts w:hint="eastAsia"/>
                <w:lang w:eastAsia="zh-CN"/>
              </w:rPr>
              <w:t>2.8%</w:t>
            </w:r>
            <w:r>
              <w:rPr>
                <w:rFonts w:hint="eastAsia"/>
                <w:lang w:eastAsia="zh-CN"/>
              </w:rPr>
              <w:t>。显然，美联储低估了经济下行风险和通胀上行压力，这或许表明美联储尚未充分计入关税政策的负面冲击。鲍威尔日前接受采访表示，美联储事前并未获悉也未预料到特朗普“对等关税”的程度。</w:t>
            </w:r>
          </w:p>
          <w:p w14:paraId="438426BF" w14:textId="77777777" w:rsidR="00384922" w:rsidRDefault="00384922" w:rsidP="00D72849">
            <w:pPr>
              <w:ind w:firstLineChars="163" w:firstLine="391"/>
              <w:rPr>
                <w:lang w:eastAsia="zh-CN"/>
              </w:rPr>
            </w:pPr>
            <w:r>
              <w:rPr>
                <w:rFonts w:hint="eastAsia"/>
                <w:lang w:eastAsia="zh-CN"/>
              </w:rPr>
              <w:lastRenderedPageBreak/>
              <w:t>点阵图显示，</w:t>
            </w:r>
            <w:r>
              <w:rPr>
                <w:lang w:eastAsia="zh-CN"/>
              </w:rPr>
              <w:t>2025</w:t>
            </w:r>
            <w:r>
              <w:rPr>
                <w:lang w:eastAsia="zh-CN"/>
              </w:rPr>
              <w:t>年政策利率预测中值维持在</w:t>
            </w:r>
            <w:r>
              <w:rPr>
                <w:lang w:eastAsia="zh-CN"/>
              </w:rPr>
              <w:t>3.9%</w:t>
            </w:r>
            <w:r>
              <w:rPr>
                <w:lang w:eastAsia="zh-CN"/>
              </w:rPr>
              <w:t>（</w:t>
            </w:r>
            <w:r>
              <w:rPr>
                <w:rFonts w:hint="eastAsia"/>
                <w:lang w:eastAsia="zh-CN"/>
              </w:rPr>
              <w:t>即</w:t>
            </w:r>
            <w:r>
              <w:rPr>
                <w:lang w:eastAsia="zh-CN"/>
              </w:rPr>
              <w:t>年内降息</w:t>
            </w:r>
            <w:r>
              <w:rPr>
                <w:lang w:eastAsia="zh-CN"/>
              </w:rPr>
              <w:t>2</w:t>
            </w:r>
            <w:r>
              <w:rPr>
                <w:lang w:eastAsia="zh-CN"/>
              </w:rPr>
              <w:t>次），</w:t>
            </w:r>
            <w:r>
              <w:rPr>
                <w:lang w:eastAsia="zh-CN"/>
              </w:rPr>
              <w:t>2026</w:t>
            </w:r>
            <w:r>
              <w:rPr>
                <w:lang w:eastAsia="zh-CN"/>
              </w:rPr>
              <w:t>年政策利率预测中值维持</w:t>
            </w:r>
            <w:r>
              <w:rPr>
                <w:rFonts w:hint="eastAsia"/>
                <w:lang w:eastAsia="zh-CN"/>
              </w:rPr>
              <w:t>在</w:t>
            </w:r>
            <w:r>
              <w:rPr>
                <w:lang w:eastAsia="zh-CN"/>
              </w:rPr>
              <w:t>3.4%</w:t>
            </w:r>
            <w:r>
              <w:rPr>
                <w:rFonts w:hint="eastAsia"/>
                <w:lang w:eastAsia="zh-CN"/>
              </w:rPr>
              <w:t>。不过，考虑到近期美股大幅杀跌，金融市场风险显现，美联储提前降息的可能性正在上升。如果特朗普政府不及时纠正其关税政策，美国经济下行压力将远超美联储预期，这意味着年内降息次数将显著高于</w:t>
            </w:r>
            <w:r>
              <w:rPr>
                <w:rFonts w:hint="eastAsia"/>
                <w:lang w:eastAsia="zh-CN"/>
              </w:rPr>
              <w:t>2</w:t>
            </w:r>
            <w:r>
              <w:rPr>
                <w:rFonts w:hint="eastAsia"/>
                <w:lang w:eastAsia="zh-CN"/>
              </w:rPr>
              <w:t>次。根据</w:t>
            </w:r>
            <w:r>
              <w:rPr>
                <w:rFonts w:hint="eastAsia"/>
                <w:lang w:eastAsia="zh-CN"/>
              </w:rPr>
              <w:t>CME FedWatch</w:t>
            </w:r>
            <w:r>
              <w:rPr>
                <w:rFonts w:hint="eastAsia"/>
                <w:lang w:eastAsia="zh-CN"/>
              </w:rPr>
              <w:t>，截至</w:t>
            </w:r>
            <w:r>
              <w:rPr>
                <w:rFonts w:hint="eastAsia"/>
                <w:lang w:eastAsia="zh-CN"/>
              </w:rPr>
              <w:t>4</w:t>
            </w:r>
            <w:r>
              <w:rPr>
                <w:rFonts w:hint="eastAsia"/>
                <w:lang w:eastAsia="zh-CN"/>
              </w:rPr>
              <w:t>月</w:t>
            </w:r>
            <w:r>
              <w:rPr>
                <w:rFonts w:hint="eastAsia"/>
                <w:lang w:eastAsia="zh-CN"/>
              </w:rPr>
              <w:t>9</w:t>
            </w:r>
            <w:r>
              <w:rPr>
                <w:rFonts w:hint="eastAsia"/>
                <w:lang w:eastAsia="zh-CN"/>
              </w:rPr>
              <w:t>日，市场预期年内美联储将降息</w:t>
            </w:r>
            <w:r>
              <w:rPr>
                <w:rFonts w:hint="eastAsia"/>
                <w:lang w:eastAsia="zh-CN"/>
              </w:rPr>
              <w:t>4</w:t>
            </w:r>
            <w:r>
              <w:rPr>
                <w:rFonts w:hint="eastAsia"/>
                <w:lang w:eastAsia="zh-CN"/>
              </w:rPr>
              <w:t>次，下次降息时间为</w:t>
            </w:r>
            <w:r>
              <w:rPr>
                <w:rFonts w:hint="eastAsia"/>
                <w:lang w:eastAsia="zh-CN"/>
              </w:rPr>
              <w:t>5</w:t>
            </w:r>
            <w:r>
              <w:rPr>
                <w:rFonts w:hint="eastAsia"/>
                <w:lang w:eastAsia="zh-CN"/>
              </w:rPr>
              <w:t>月。</w:t>
            </w:r>
          </w:p>
          <w:p w14:paraId="3FCF4ECB" w14:textId="77777777" w:rsidR="00384922" w:rsidRDefault="00384922" w:rsidP="00D72849">
            <w:pPr>
              <w:ind w:firstLineChars="163" w:firstLine="391"/>
              <w:rPr>
                <w:lang w:eastAsia="zh-CN"/>
              </w:rPr>
            </w:pPr>
            <w:r>
              <w:rPr>
                <w:rFonts w:hint="eastAsia"/>
                <w:lang w:eastAsia="zh-CN"/>
              </w:rPr>
              <w:t>美联储独立性正面临严峻挑战。对于美联储的观望态度，特朗普多次表达不满，并声称正在考虑解雇美联储主席鲍威尔的职务。如果特朗普政府解雇鲍威尔受到司法阻碍，其很可能提前公布下一任美联储主席的人选，利用“影子主席”来影响美联储决策。</w:t>
            </w:r>
          </w:p>
          <w:p w14:paraId="0F0EA0AF" w14:textId="77777777" w:rsidR="00384922" w:rsidRDefault="00384922" w:rsidP="00D72849">
            <w:pPr>
              <w:ind w:firstLineChars="163" w:firstLine="391"/>
              <w:rPr>
                <w:lang w:eastAsia="zh-CN"/>
              </w:rPr>
            </w:pPr>
          </w:p>
        </w:tc>
      </w:tr>
      <w:tr w:rsidR="00384922" w14:paraId="44E6E5D6" w14:textId="77777777" w:rsidTr="00CA02FA">
        <w:trPr>
          <w:trHeight w:val="2459"/>
        </w:trPr>
        <w:tc>
          <w:tcPr>
            <w:tcW w:w="1701" w:type="dxa"/>
          </w:tcPr>
          <w:p w14:paraId="3EC89436" w14:textId="77777777" w:rsidR="00384922" w:rsidRDefault="00384922" w:rsidP="00D72849">
            <w:pPr>
              <w:spacing w:beforeLines="50" w:before="163"/>
              <w:ind w:firstLine="562"/>
              <w:rPr>
                <w:b/>
                <w:sz w:val="28"/>
                <w:szCs w:val="28"/>
                <w:lang w:eastAsia="zh-CN"/>
              </w:rPr>
            </w:pPr>
          </w:p>
          <w:p w14:paraId="2FEAC352" w14:textId="77777777" w:rsidR="00384922" w:rsidRDefault="00384922" w:rsidP="00384922">
            <w:pPr>
              <w:spacing w:line="312" w:lineRule="auto"/>
              <w:ind w:firstLineChars="0" w:firstLine="0"/>
              <w:rPr>
                <w:b/>
                <w:lang w:eastAsia="zh-CN"/>
              </w:rPr>
            </w:pPr>
            <w:r>
              <w:rPr>
                <w:rFonts w:hint="eastAsia"/>
                <w:b/>
                <w:lang w:eastAsia="zh-CN"/>
              </w:rPr>
              <w:t>贸易逆差创纪录，引致经济增速为负。</w:t>
            </w:r>
          </w:p>
        </w:tc>
        <w:tc>
          <w:tcPr>
            <w:tcW w:w="284" w:type="dxa"/>
          </w:tcPr>
          <w:p w14:paraId="5C53E340" w14:textId="77777777" w:rsidR="00384922" w:rsidRDefault="00384922" w:rsidP="00D72849">
            <w:pPr>
              <w:keepNext/>
              <w:keepLines/>
              <w:spacing w:before="260" w:after="260"/>
              <w:ind w:firstLine="480"/>
              <w:rPr>
                <w:rFonts w:eastAsia="楷体_GB2312"/>
                <w:color w:val="FF0000"/>
                <w:lang w:eastAsia="zh-CN"/>
              </w:rPr>
            </w:pPr>
          </w:p>
        </w:tc>
        <w:tc>
          <w:tcPr>
            <w:tcW w:w="7513" w:type="dxa"/>
          </w:tcPr>
          <w:p w14:paraId="1941EC83" w14:textId="77777777" w:rsidR="00384922" w:rsidRDefault="00384922" w:rsidP="00D72849">
            <w:pPr>
              <w:spacing w:beforeLines="50" w:before="163"/>
              <w:ind w:firstLine="562"/>
              <w:rPr>
                <w:bCs/>
                <w:color w:val="FF0000"/>
                <w:lang w:eastAsia="zh-CN"/>
              </w:rPr>
            </w:pPr>
            <w:r>
              <w:rPr>
                <w:b/>
                <w:sz w:val="28"/>
                <w:szCs w:val="28"/>
                <w:lang w:eastAsia="zh-CN"/>
              </w:rPr>
              <w:t>三、</w:t>
            </w:r>
            <w:r>
              <w:rPr>
                <w:rFonts w:hint="eastAsia"/>
                <w:b/>
                <w:sz w:val="28"/>
                <w:szCs w:val="28"/>
                <w:lang w:eastAsia="zh-CN"/>
              </w:rPr>
              <w:t>美国经济形势小结与展望</w:t>
            </w:r>
          </w:p>
          <w:p w14:paraId="111B2466" w14:textId="77777777" w:rsidR="00384922" w:rsidRDefault="00384922" w:rsidP="00D72849">
            <w:pPr>
              <w:ind w:firstLine="480"/>
              <w:rPr>
                <w:bCs/>
                <w:lang w:eastAsia="zh-CN"/>
              </w:rPr>
            </w:pPr>
            <w:r>
              <w:rPr>
                <w:rFonts w:hint="eastAsia"/>
                <w:bCs/>
                <w:lang w:eastAsia="zh-CN"/>
              </w:rPr>
              <w:t>根据美国亚特兰大联储</w:t>
            </w:r>
            <w:r>
              <w:rPr>
                <w:bCs/>
                <w:lang w:eastAsia="zh-CN"/>
              </w:rPr>
              <w:t>GDPNow model</w:t>
            </w:r>
            <w:r>
              <w:rPr>
                <w:rFonts w:hint="eastAsia"/>
                <w:bCs/>
                <w:lang w:eastAsia="zh-CN"/>
              </w:rPr>
              <w:t>在</w:t>
            </w:r>
            <w:r>
              <w:rPr>
                <w:rFonts w:hint="eastAsia"/>
                <w:bCs/>
                <w:lang w:eastAsia="zh-CN"/>
              </w:rPr>
              <w:t>4</w:t>
            </w:r>
            <w:r>
              <w:rPr>
                <w:rFonts w:hint="eastAsia"/>
                <w:bCs/>
                <w:lang w:eastAsia="zh-CN"/>
              </w:rPr>
              <w:t>月</w:t>
            </w:r>
            <w:r>
              <w:rPr>
                <w:rFonts w:hint="eastAsia"/>
                <w:bCs/>
                <w:lang w:eastAsia="zh-CN"/>
              </w:rPr>
              <w:t>17</w:t>
            </w:r>
            <w:r>
              <w:rPr>
                <w:rFonts w:hint="eastAsia"/>
                <w:bCs/>
                <w:lang w:eastAsia="zh-CN"/>
              </w:rPr>
              <w:t>日的估计，预计美国第一季度</w:t>
            </w:r>
            <w:r>
              <w:rPr>
                <w:bCs/>
                <w:lang w:eastAsia="zh-CN"/>
              </w:rPr>
              <w:t>GDP</w:t>
            </w:r>
            <w:r>
              <w:rPr>
                <w:rFonts w:hint="eastAsia"/>
                <w:bCs/>
                <w:lang w:eastAsia="zh-CN"/>
              </w:rPr>
              <w:t>环比折年率为</w:t>
            </w:r>
            <w:r>
              <w:rPr>
                <w:rFonts w:hint="eastAsia"/>
                <w:bCs/>
                <w:lang w:eastAsia="zh-CN"/>
              </w:rPr>
              <w:t>-2.2</w:t>
            </w:r>
            <w:r>
              <w:rPr>
                <w:bCs/>
                <w:lang w:eastAsia="zh-CN"/>
              </w:rPr>
              <w:t>%</w:t>
            </w:r>
            <w:r>
              <w:rPr>
                <w:rFonts w:hint="eastAsia"/>
                <w:bCs/>
                <w:lang w:eastAsia="zh-CN"/>
              </w:rPr>
              <w:t>。一方面，美国消费和私人投资增速仍为正数，但增速趋于放缓。另一方面，特朗普关税政策驱使美国企业抢进口，贸易逆差创纪录，是</w:t>
            </w:r>
            <w:r>
              <w:rPr>
                <w:rFonts w:hint="eastAsia"/>
                <w:bCs/>
                <w:lang w:eastAsia="zh-CN"/>
              </w:rPr>
              <w:t>GDP</w:t>
            </w:r>
            <w:r>
              <w:rPr>
                <w:rFonts w:hint="eastAsia"/>
                <w:bCs/>
                <w:lang w:eastAsia="zh-CN"/>
              </w:rPr>
              <w:t>负增长的主要原因。</w:t>
            </w:r>
          </w:p>
          <w:p w14:paraId="5950297B" w14:textId="77777777" w:rsidR="00384922" w:rsidRDefault="00384922" w:rsidP="00D72849">
            <w:pPr>
              <w:ind w:firstLine="480"/>
              <w:rPr>
                <w:lang w:eastAsia="zh-CN"/>
              </w:rPr>
            </w:pPr>
            <w:r>
              <w:rPr>
                <w:rFonts w:hint="eastAsia"/>
                <w:lang w:eastAsia="zh-CN"/>
              </w:rPr>
              <w:t>图表</w:t>
            </w:r>
            <w:r>
              <w:rPr>
                <w:rFonts w:hint="eastAsia"/>
                <w:lang w:eastAsia="zh-CN"/>
              </w:rPr>
              <w:t>7</w:t>
            </w:r>
            <w:r>
              <w:rPr>
                <w:rFonts w:hint="eastAsia"/>
                <w:lang w:eastAsia="zh-CN"/>
              </w:rPr>
              <w:t>展示了高频数据反映的美国经济运行状况。</w:t>
            </w:r>
            <w:r>
              <w:rPr>
                <w:rFonts w:hint="eastAsia"/>
                <w:lang w:eastAsia="zh-CN"/>
              </w:rPr>
              <w:t>2025</w:t>
            </w:r>
            <w:r>
              <w:rPr>
                <w:rFonts w:hint="eastAsia"/>
                <w:lang w:eastAsia="zh-CN"/>
              </w:rPr>
              <w:t>年第一季度，</w:t>
            </w:r>
            <w:r>
              <w:rPr>
                <w:rFonts w:hint="eastAsia"/>
                <w:lang w:eastAsia="zh-CN"/>
              </w:rPr>
              <w:t>WEI</w:t>
            </w:r>
            <w:r>
              <w:rPr>
                <w:rFonts w:hint="eastAsia"/>
                <w:lang w:eastAsia="zh-CN"/>
              </w:rPr>
              <w:t>稳中趋缓，表明美国经济尚未实质性衰退，但下行迹象显现。</w:t>
            </w:r>
          </w:p>
          <w:p w14:paraId="73543803" w14:textId="77777777" w:rsidR="00384922" w:rsidRDefault="00384922" w:rsidP="00D72849">
            <w:pPr>
              <w:ind w:firstLine="480"/>
              <w:rPr>
                <w:lang w:eastAsia="zh-CN"/>
              </w:rPr>
            </w:pPr>
          </w:p>
          <w:p w14:paraId="00F5AD40" w14:textId="0E1FF477" w:rsidR="00384922" w:rsidRDefault="00DB2622" w:rsidP="00D37774">
            <w:pPr>
              <w:pStyle w:val="a4"/>
            </w:pPr>
            <w:bookmarkStart w:id="21" w:name="_Toc196399418"/>
            <w:r>
              <w:rPr>
                <w:rFonts w:hint="eastAsia"/>
              </w:rPr>
              <w:t xml:space="preserve">图表 </w:t>
            </w:r>
            <w:r>
              <w:rPr>
                <w:rFonts w:hint="eastAsia"/>
              </w:rPr>
              <w:fldChar w:fldCharType="begin"/>
            </w:r>
            <w:r>
              <w:rPr>
                <w:rFonts w:hint="eastAsia"/>
              </w:rPr>
              <w:instrText xml:space="preserve"> SEQ 图表 \* ARABIC </w:instrText>
            </w:r>
            <w:r>
              <w:rPr>
                <w:rFonts w:hint="eastAsia"/>
              </w:rPr>
              <w:fldChar w:fldCharType="separate"/>
            </w:r>
            <w:r w:rsidR="00530ED7">
              <w:rPr>
                <w:rFonts w:hint="eastAsia"/>
                <w:noProof/>
              </w:rPr>
              <w:t>7</w:t>
            </w:r>
            <w:r>
              <w:rPr>
                <w:rFonts w:hint="eastAsia"/>
              </w:rPr>
              <w:fldChar w:fldCharType="end"/>
            </w:r>
            <w:r w:rsidR="00384922">
              <w:t xml:space="preserve">  </w:t>
            </w:r>
            <w:r w:rsidR="00384922">
              <w:rPr>
                <w:rFonts w:hint="eastAsia"/>
              </w:rPr>
              <w:t>美国经济运行状况：高频数据</w:t>
            </w:r>
            <w:bookmarkEnd w:id="21"/>
          </w:p>
          <w:p w14:paraId="6C0421ED" w14:textId="77777777" w:rsidR="00384922" w:rsidRDefault="00384922" w:rsidP="00D72849">
            <w:pPr>
              <w:ind w:firstLine="482"/>
              <w:jc w:val="center"/>
              <w:rPr>
                <w:b/>
              </w:rPr>
            </w:pPr>
            <w:r>
              <w:rPr>
                <w:b/>
                <w:noProof/>
                <w:lang w:eastAsia="zh-CN" w:bidi="ar-SA"/>
              </w:rPr>
              <w:lastRenderedPageBreak/>
              <w:drawing>
                <wp:inline distT="0" distB="0" distL="0" distR="0" wp14:anchorId="54A0AEB4" wp14:editId="335B081B">
                  <wp:extent cx="4049395" cy="2519680"/>
                  <wp:effectExtent l="0" t="0" r="8255" b="0"/>
                  <wp:docPr id="210229804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298043" name="图片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4050000" cy="2520000"/>
                          </a:xfrm>
                          <a:prstGeom prst="rect">
                            <a:avLst/>
                          </a:prstGeom>
                          <a:noFill/>
                        </pic:spPr>
                      </pic:pic>
                    </a:graphicData>
                  </a:graphic>
                </wp:inline>
              </w:drawing>
            </w:r>
          </w:p>
          <w:p w14:paraId="75966B58" w14:textId="77777777" w:rsidR="00384922" w:rsidRDefault="00384922" w:rsidP="00D72849">
            <w:pPr>
              <w:ind w:firstLine="480"/>
            </w:pPr>
          </w:p>
          <w:p w14:paraId="26A10A14" w14:textId="77777777" w:rsidR="00384922" w:rsidRDefault="00384922" w:rsidP="00D72849">
            <w:pPr>
              <w:ind w:firstLine="482"/>
              <w:rPr>
                <w:b/>
                <w:bCs/>
              </w:rPr>
            </w:pPr>
          </w:p>
          <w:p w14:paraId="0B0C6587" w14:textId="77777777" w:rsidR="00384922" w:rsidRDefault="00384922" w:rsidP="00D72849">
            <w:pPr>
              <w:ind w:firstLine="482"/>
              <w:rPr>
                <w:b/>
                <w:bCs/>
              </w:rPr>
            </w:pPr>
          </w:p>
          <w:p w14:paraId="759FB1B9" w14:textId="77777777" w:rsidR="00384922" w:rsidRDefault="00384922" w:rsidP="00D72849">
            <w:pPr>
              <w:ind w:firstLine="482"/>
              <w:rPr>
                <w:b/>
                <w:bCs/>
              </w:rPr>
            </w:pPr>
          </w:p>
          <w:p w14:paraId="0A720391" w14:textId="77777777" w:rsidR="00384922" w:rsidRDefault="00384922" w:rsidP="00D72849">
            <w:pPr>
              <w:ind w:firstLine="482"/>
              <w:rPr>
                <w:b/>
                <w:bCs/>
              </w:rPr>
            </w:pPr>
          </w:p>
          <w:p w14:paraId="52FF80CE" w14:textId="77777777" w:rsidR="00384922" w:rsidRDefault="00384922" w:rsidP="00D72849">
            <w:pPr>
              <w:ind w:firstLine="482"/>
              <w:rPr>
                <w:b/>
                <w:bCs/>
              </w:rPr>
            </w:pPr>
          </w:p>
          <w:p w14:paraId="2EFD4258" w14:textId="77777777" w:rsidR="00384922" w:rsidRDefault="00384922" w:rsidP="00D72849">
            <w:pPr>
              <w:ind w:firstLine="480"/>
              <w:rPr>
                <w:color w:val="000000"/>
              </w:rPr>
            </w:pPr>
          </w:p>
        </w:tc>
      </w:tr>
    </w:tbl>
    <w:p w14:paraId="1A904FAB" w14:textId="77777777" w:rsidR="002C7E73" w:rsidRDefault="002C7E73">
      <w:pPr>
        <w:spacing w:line="240" w:lineRule="auto"/>
        <w:ind w:firstLineChars="0" w:firstLine="0"/>
        <w:jc w:val="left"/>
        <w:rPr>
          <w:lang w:eastAsia="zh-CN"/>
        </w:rPr>
        <w:sectPr w:rsidR="002C7E73" w:rsidSect="00224DBB">
          <w:headerReference w:type="default" r:id="rId25"/>
          <w:footerReference w:type="default" r:id="rId26"/>
          <w:pgSz w:w="11906" w:h="16838"/>
          <w:pgMar w:top="1440" w:right="1800" w:bottom="1440" w:left="1800" w:header="851" w:footer="992" w:gutter="0"/>
          <w:pgNumType w:start="1"/>
          <w:cols w:space="425"/>
          <w:docGrid w:type="lines" w:linePitch="326"/>
        </w:sectPr>
      </w:pPr>
    </w:p>
    <w:p w14:paraId="75A71576" w14:textId="58E6A9CA" w:rsidR="00CA02FA" w:rsidRDefault="00CA02FA">
      <w:pPr>
        <w:spacing w:line="240" w:lineRule="auto"/>
        <w:ind w:firstLineChars="0" w:firstLine="0"/>
        <w:jc w:val="left"/>
        <w:rPr>
          <w:lang w:eastAsia="zh-CN"/>
        </w:rPr>
      </w:pPr>
    </w:p>
    <w:tbl>
      <w:tblPr>
        <w:tblW w:w="9637" w:type="dxa"/>
        <w:tblInd w:w="-567" w:type="dxa"/>
        <w:tblLayout w:type="fixed"/>
        <w:tblLook w:val="04A0" w:firstRow="1" w:lastRow="0" w:firstColumn="1" w:lastColumn="0" w:noHBand="0" w:noVBand="1"/>
      </w:tblPr>
      <w:tblGrid>
        <w:gridCol w:w="2158"/>
        <w:gridCol w:w="300"/>
        <w:gridCol w:w="7179"/>
      </w:tblGrid>
      <w:tr w:rsidR="00CA02FA" w:rsidRPr="00CA02FA" w14:paraId="73B307EB" w14:textId="77777777" w:rsidTr="00D72849">
        <w:trPr>
          <w:trHeight w:val="686"/>
        </w:trPr>
        <w:tc>
          <w:tcPr>
            <w:tcW w:w="9637" w:type="dxa"/>
            <w:gridSpan w:val="3"/>
          </w:tcPr>
          <w:p w14:paraId="1522D0DA" w14:textId="77777777" w:rsidR="00CA02FA" w:rsidRPr="00CA02FA" w:rsidRDefault="00CA02FA" w:rsidP="001244F7">
            <w:pPr>
              <w:pStyle w:val="1"/>
              <w:rPr>
                <w:rFonts w:eastAsia="华文隶书"/>
                <w:sz w:val="30"/>
              </w:rPr>
            </w:pPr>
            <w:r w:rsidRPr="00CA02FA">
              <w:rPr>
                <w:rFonts w:eastAsia="华文隶书"/>
                <w:sz w:val="30"/>
              </w:rPr>
              <w:br w:type="page"/>
            </w:r>
            <w:bookmarkStart w:id="22" w:name="_Toc520305577"/>
            <w:bookmarkStart w:id="23" w:name="_Toc196364974"/>
            <w:r w:rsidRPr="00CA02FA">
              <w:rPr>
                <w:lang w:bidi="en-US"/>
              </w:rPr>
              <w:t>欧洲</w:t>
            </w:r>
            <w:bookmarkEnd w:id="22"/>
            <w:r w:rsidRPr="00CA02FA">
              <w:rPr>
                <w:rFonts w:hint="eastAsia"/>
                <w:lang w:bidi="en-US"/>
              </w:rPr>
              <w:t>：不确定性中存在积极信号</w:t>
            </w:r>
            <w:bookmarkEnd w:id="23"/>
          </w:p>
        </w:tc>
      </w:tr>
      <w:tr w:rsidR="00CA02FA" w:rsidRPr="00CA02FA" w14:paraId="025EB92B" w14:textId="77777777" w:rsidTr="00D72849">
        <w:tc>
          <w:tcPr>
            <w:tcW w:w="9637" w:type="dxa"/>
            <w:gridSpan w:val="3"/>
          </w:tcPr>
          <w:p w14:paraId="608C5326" w14:textId="27B8135E" w:rsidR="00CA02FA" w:rsidRPr="00CA02FA" w:rsidRDefault="00CA02FA" w:rsidP="001244F7">
            <w:pPr>
              <w:ind w:firstLine="480"/>
              <w:rPr>
                <w:rFonts w:eastAsia="楷体"/>
                <w:lang w:eastAsia="zh-CN"/>
              </w:rPr>
            </w:pPr>
            <w:r w:rsidRPr="00000FFC">
              <w:rPr>
                <w:rFonts w:asciiTheme="minorEastAsia" w:hAnsiTheme="minorEastAsia" w:hint="eastAsia"/>
                <w:lang w:eastAsia="zh-CN"/>
              </w:rPr>
              <w:t>2025年第1季度，欧元区经济活动有所提升，但整体仍呈现较为低迷的态势。综合PMI震荡中小幅提升，季度均值在连续两个季度之后重返荣枯线上方。其中，制造业景气程度有所改善，但仍在荣枯线附近徘徊，服务业PMI回到荣枯线上方，显示出消费已领先于制造业呈现出复苏趋势。与此同时，受美国关税威胁、德法政治、俄乌战争谈判波折不稳定等因素的影响，欧元区产能利用率仍未得到恢复，企业和居民对未来经济前景的信心被削弱，居民消费支出和企业投资均表现疲弱，国别出现分化。就业方面，欧元区劳动力市场表现稳定，失业率继续锚定在低位。对外贸易方面，欧元区在1月仍维持贸易顺差，但其顺差额度出现大幅缩减，其中与中国的贸易逆差扩大。通胀方面，欧元区通胀率整体出现可控趋势，今年通胀有望回归2%的目标，其中能源价格出现下降，但服务价格仍展现出较强粘性，同比增速仍处于高位。通胀控制为货币政策创造空间，欧洲央行在1月进行降息，将继续维持宽松政策。随着欧洲对美国采取报复性关税，未来欧洲经济增长仍存在不确定性</w:t>
            </w:r>
            <w:r w:rsidRPr="00CA02FA">
              <w:rPr>
                <w:rFonts w:eastAsia="楷体" w:hint="eastAsia"/>
                <w:lang w:eastAsia="zh-CN"/>
              </w:rPr>
              <w:t>。</w:t>
            </w:r>
          </w:p>
        </w:tc>
      </w:tr>
      <w:tr w:rsidR="00CA02FA" w:rsidRPr="00CA02FA" w14:paraId="0E789260" w14:textId="77777777" w:rsidTr="00D72849">
        <w:trPr>
          <w:trHeight w:val="1001"/>
        </w:trPr>
        <w:tc>
          <w:tcPr>
            <w:tcW w:w="2158" w:type="dxa"/>
          </w:tcPr>
          <w:p w14:paraId="06F24A5E" w14:textId="77777777" w:rsidR="00CA02FA" w:rsidRPr="00CA02FA" w:rsidRDefault="00CA02FA" w:rsidP="00CA02FA">
            <w:pPr>
              <w:spacing w:line="312" w:lineRule="auto"/>
              <w:ind w:firstLineChars="0" w:firstLine="480"/>
              <w:rPr>
                <w:rFonts w:eastAsia="楷体"/>
                <w:sz w:val="21"/>
                <w:szCs w:val="18"/>
                <w:lang w:eastAsia="zh-CN"/>
              </w:rPr>
            </w:pPr>
          </w:p>
          <w:p w14:paraId="181B9DEB" w14:textId="77777777" w:rsidR="00CA02FA" w:rsidRPr="00CA02FA" w:rsidRDefault="00CA02FA" w:rsidP="00CA02FA">
            <w:pPr>
              <w:spacing w:line="312" w:lineRule="auto"/>
              <w:ind w:firstLineChars="0" w:firstLine="480"/>
              <w:rPr>
                <w:rFonts w:eastAsia="楷体"/>
                <w:sz w:val="21"/>
                <w:szCs w:val="18"/>
                <w:lang w:eastAsia="zh-CN"/>
              </w:rPr>
            </w:pPr>
          </w:p>
          <w:p w14:paraId="7685F974" w14:textId="77777777" w:rsidR="00CA02FA" w:rsidRPr="00CA02FA" w:rsidRDefault="00CA02FA" w:rsidP="001244F7">
            <w:pPr>
              <w:ind w:firstLineChars="0" w:firstLine="0"/>
              <w:jc w:val="left"/>
              <w:rPr>
                <w:rFonts w:eastAsia="宋体"/>
                <w:b/>
                <w:sz w:val="28"/>
                <w:szCs w:val="28"/>
                <w:lang w:eastAsia="zh-CN" w:bidi="ar-SA"/>
              </w:rPr>
            </w:pPr>
            <w:r w:rsidRPr="00CA02FA">
              <w:rPr>
                <w:rFonts w:eastAsia="楷体"/>
                <w:b/>
                <w:lang w:eastAsia="zh-CN" w:bidi="ar-SA"/>
              </w:rPr>
              <w:t>PMI</w:t>
            </w:r>
            <w:r w:rsidRPr="00CA02FA">
              <w:rPr>
                <w:rFonts w:eastAsia="楷体" w:hint="eastAsia"/>
                <w:b/>
                <w:lang w:eastAsia="zh-CN" w:bidi="ar-SA"/>
              </w:rPr>
              <w:t>震荡中小幅抬升。</w:t>
            </w:r>
          </w:p>
        </w:tc>
        <w:tc>
          <w:tcPr>
            <w:tcW w:w="300" w:type="dxa"/>
          </w:tcPr>
          <w:p w14:paraId="0CBFD7D5" w14:textId="77777777" w:rsidR="00CA02FA" w:rsidRPr="00CA02FA" w:rsidRDefault="00CA02FA" w:rsidP="00CA02FA">
            <w:pPr>
              <w:keepNext/>
              <w:keepLines/>
              <w:spacing w:before="260" w:after="260"/>
              <w:ind w:firstLine="480"/>
              <w:rPr>
                <w:rFonts w:eastAsia="楷体_GB2312"/>
                <w:lang w:eastAsia="zh-CN"/>
              </w:rPr>
            </w:pPr>
          </w:p>
        </w:tc>
        <w:tc>
          <w:tcPr>
            <w:tcW w:w="7179" w:type="dxa"/>
          </w:tcPr>
          <w:p w14:paraId="36C7CBD7" w14:textId="77777777" w:rsidR="00CA02FA" w:rsidRPr="00CA02FA" w:rsidRDefault="00CA02FA" w:rsidP="001244F7">
            <w:pPr>
              <w:spacing w:beforeLines="50" w:before="163"/>
              <w:ind w:firstLineChars="0" w:firstLine="0"/>
              <w:rPr>
                <w:rFonts w:eastAsia="宋体"/>
                <w:b/>
                <w:sz w:val="28"/>
                <w:szCs w:val="28"/>
                <w:lang w:eastAsia="zh-CN" w:bidi="ar-SA"/>
              </w:rPr>
            </w:pPr>
            <w:r w:rsidRPr="00CA02FA">
              <w:rPr>
                <w:rFonts w:eastAsia="宋体"/>
                <w:b/>
                <w:sz w:val="28"/>
                <w:szCs w:val="28"/>
                <w:lang w:eastAsia="zh-CN" w:bidi="ar-SA"/>
              </w:rPr>
              <w:t>一、经济运行态势</w:t>
            </w:r>
          </w:p>
          <w:p w14:paraId="29E3B932" w14:textId="6C60A28A" w:rsidR="00CA02FA" w:rsidRPr="00CA02FA" w:rsidRDefault="00CA02FA" w:rsidP="00CA02FA">
            <w:pPr>
              <w:ind w:firstLineChars="196" w:firstLine="472"/>
              <w:rPr>
                <w:rFonts w:eastAsia="宋体"/>
                <w:bCs/>
                <w:color w:val="000000"/>
                <w:lang w:eastAsia="zh-CN"/>
              </w:rPr>
            </w:pPr>
            <w:r w:rsidRPr="00CA02FA">
              <w:rPr>
                <w:rFonts w:eastAsia="宋体"/>
                <w:b/>
                <w:color w:val="000000"/>
                <w:lang w:eastAsia="zh-CN"/>
              </w:rPr>
              <w:t>PMI</w:t>
            </w:r>
            <w:r w:rsidRPr="00CA02FA">
              <w:rPr>
                <w:rFonts w:eastAsia="宋体" w:hint="eastAsia"/>
                <w:b/>
                <w:color w:val="000000"/>
                <w:lang w:eastAsia="zh-CN"/>
              </w:rPr>
              <w:t>震荡中小幅抬升</w:t>
            </w:r>
            <w:r w:rsidRPr="00CA02FA">
              <w:rPr>
                <w:rFonts w:eastAsia="宋体"/>
                <w:b/>
                <w:color w:val="000000"/>
                <w:lang w:eastAsia="zh-CN"/>
              </w:rPr>
              <w:t>。</w:t>
            </w:r>
            <w:r w:rsidRPr="00CA02FA">
              <w:rPr>
                <w:rFonts w:eastAsia="宋体" w:hint="eastAsia"/>
                <w:bCs/>
                <w:color w:val="000000"/>
                <w:lang w:eastAsia="zh-CN"/>
              </w:rPr>
              <w:t>2025</w:t>
            </w:r>
            <w:r w:rsidRPr="00CA02FA">
              <w:rPr>
                <w:rFonts w:eastAsia="宋体" w:hint="eastAsia"/>
                <w:bCs/>
                <w:color w:val="000000"/>
                <w:lang w:eastAsia="zh-CN"/>
              </w:rPr>
              <w:t>年第</w:t>
            </w:r>
            <w:r w:rsidRPr="00CA02FA">
              <w:rPr>
                <w:rFonts w:eastAsia="宋体" w:hint="eastAsia"/>
                <w:bCs/>
                <w:color w:val="000000"/>
                <w:lang w:eastAsia="zh-CN"/>
              </w:rPr>
              <w:t>1</w:t>
            </w:r>
            <w:r w:rsidRPr="00CA02FA">
              <w:rPr>
                <w:rFonts w:eastAsia="宋体" w:hint="eastAsia"/>
                <w:bCs/>
                <w:color w:val="000000"/>
                <w:lang w:eastAsia="zh-CN"/>
              </w:rPr>
              <w:t>季度，欧元区</w:t>
            </w:r>
            <w:r w:rsidRPr="00CA02FA">
              <w:rPr>
                <w:rFonts w:eastAsia="宋体" w:hint="eastAsia"/>
                <w:bCs/>
                <w:color w:val="000000"/>
                <w:lang w:eastAsia="zh-CN"/>
              </w:rPr>
              <w:t>20</w:t>
            </w:r>
            <w:r w:rsidRPr="00CA02FA">
              <w:rPr>
                <w:rFonts w:eastAsia="宋体" w:hint="eastAsia"/>
                <w:bCs/>
                <w:color w:val="000000"/>
                <w:lang w:eastAsia="zh-CN"/>
              </w:rPr>
              <w:t>国综合采购经理人指数（</w:t>
            </w:r>
            <w:r w:rsidRPr="00CA02FA">
              <w:rPr>
                <w:rFonts w:eastAsia="宋体" w:hint="eastAsia"/>
                <w:bCs/>
                <w:color w:val="000000"/>
                <w:lang w:eastAsia="zh-CN"/>
              </w:rPr>
              <w:t>PMI</w:t>
            </w:r>
            <w:r w:rsidRPr="00CA02FA">
              <w:rPr>
                <w:rFonts w:eastAsia="宋体" w:hint="eastAsia"/>
                <w:bCs/>
                <w:color w:val="000000"/>
                <w:lang w:eastAsia="zh-CN"/>
              </w:rPr>
              <w:t>）小幅波动，但整体保持了上升的趋势，由</w:t>
            </w:r>
            <w:r w:rsidRPr="00CA02FA">
              <w:rPr>
                <w:rFonts w:eastAsia="宋体" w:hint="eastAsia"/>
                <w:bCs/>
                <w:color w:val="000000"/>
                <w:lang w:eastAsia="zh-CN"/>
              </w:rPr>
              <w:t>1</w:t>
            </w:r>
            <w:r w:rsidRPr="00CA02FA">
              <w:rPr>
                <w:rFonts w:eastAsia="宋体" w:hint="eastAsia"/>
                <w:bCs/>
                <w:color w:val="000000"/>
                <w:lang w:eastAsia="zh-CN"/>
              </w:rPr>
              <w:t>月的</w:t>
            </w:r>
            <w:r w:rsidRPr="00CA02FA">
              <w:rPr>
                <w:rFonts w:eastAsia="宋体" w:hint="eastAsia"/>
                <w:bCs/>
                <w:color w:val="000000"/>
                <w:lang w:eastAsia="zh-CN"/>
              </w:rPr>
              <w:t>50.2</w:t>
            </w:r>
            <w:r w:rsidRPr="00CA02FA">
              <w:rPr>
                <w:rFonts w:eastAsia="宋体" w:hint="eastAsia"/>
                <w:bCs/>
                <w:color w:val="000000"/>
                <w:lang w:eastAsia="zh-CN"/>
              </w:rPr>
              <w:t>上升至</w:t>
            </w:r>
            <w:r w:rsidRPr="00CA02FA">
              <w:rPr>
                <w:rFonts w:eastAsia="宋体" w:hint="eastAsia"/>
                <w:bCs/>
                <w:color w:val="000000"/>
                <w:lang w:eastAsia="zh-CN"/>
              </w:rPr>
              <w:t>3</w:t>
            </w:r>
            <w:r w:rsidRPr="00CA02FA">
              <w:rPr>
                <w:rFonts w:eastAsia="宋体" w:hint="eastAsia"/>
                <w:bCs/>
                <w:color w:val="000000"/>
                <w:lang w:eastAsia="zh-CN"/>
              </w:rPr>
              <w:t>月的</w:t>
            </w:r>
            <w:r w:rsidRPr="00CA02FA">
              <w:rPr>
                <w:rFonts w:eastAsia="宋体" w:hint="eastAsia"/>
                <w:bCs/>
                <w:color w:val="000000"/>
                <w:lang w:eastAsia="zh-CN"/>
              </w:rPr>
              <w:t>50.9</w:t>
            </w:r>
            <w:r w:rsidRPr="00CA02FA">
              <w:rPr>
                <w:rFonts w:eastAsia="宋体" w:hint="eastAsia"/>
                <w:bCs/>
                <w:color w:val="000000"/>
                <w:lang w:eastAsia="zh-CN"/>
              </w:rPr>
              <w:t>。从季度均值来看，该季度综合</w:t>
            </w:r>
            <w:r w:rsidRPr="00CA02FA">
              <w:rPr>
                <w:rFonts w:eastAsia="宋体" w:hint="eastAsia"/>
                <w:bCs/>
                <w:color w:val="000000"/>
                <w:lang w:eastAsia="zh-CN"/>
              </w:rPr>
              <w:t>PMI</w:t>
            </w:r>
            <w:r w:rsidRPr="00CA02FA">
              <w:rPr>
                <w:rFonts w:eastAsia="宋体" w:hint="eastAsia"/>
                <w:bCs/>
                <w:color w:val="000000"/>
                <w:lang w:eastAsia="zh-CN"/>
              </w:rPr>
              <w:t>的季度均值为</w:t>
            </w:r>
            <w:r w:rsidRPr="00CA02FA">
              <w:rPr>
                <w:rFonts w:eastAsia="宋体" w:hint="eastAsia"/>
                <w:bCs/>
                <w:color w:val="000000"/>
                <w:lang w:eastAsia="zh-CN"/>
              </w:rPr>
              <w:t>50.6</w:t>
            </w:r>
            <w:r w:rsidRPr="00CA02FA">
              <w:rPr>
                <w:rFonts w:eastAsia="宋体" w:hint="eastAsia"/>
                <w:bCs/>
                <w:color w:val="000000"/>
                <w:lang w:eastAsia="zh-CN"/>
              </w:rPr>
              <w:t>，较前一季度的</w:t>
            </w:r>
            <w:r w:rsidRPr="00CA02FA">
              <w:rPr>
                <w:rFonts w:eastAsia="宋体" w:hint="eastAsia"/>
                <w:bCs/>
                <w:color w:val="000000"/>
                <w:lang w:eastAsia="zh-CN"/>
              </w:rPr>
              <w:t>49.3</w:t>
            </w:r>
            <w:r w:rsidRPr="00CA02FA">
              <w:rPr>
                <w:rFonts w:eastAsia="宋体" w:hint="eastAsia"/>
                <w:bCs/>
                <w:color w:val="000000"/>
                <w:lang w:eastAsia="zh-CN"/>
              </w:rPr>
              <w:t>上升了</w:t>
            </w:r>
            <w:r w:rsidRPr="00CA02FA">
              <w:rPr>
                <w:rFonts w:eastAsia="宋体" w:hint="eastAsia"/>
                <w:bCs/>
                <w:color w:val="000000"/>
                <w:lang w:eastAsia="zh-CN"/>
              </w:rPr>
              <w:t>1.3</w:t>
            </w:r>
            <w:r w:rsidRPr="00CA02FA">
              <w:rPr>
                <w:rFonts w:eastAsia="宋体" w:hint="eastAsia"/>
                <w:bCs/>
                <w:color w:val="000000"/>
                <w:lang w:eastAsia="zh-CN"/>
              </w:rPr>
              <w:t>个点，该指数连续两个季度下滑之后再次抬升，回到荣枯线上方。</w:t>
            </w:r>
          </w:p>
          <w:p w14:paraId="20446E96" w14:textId="77777777" w:rsidR="00CA02FA" w:rsidRPr="00CA02FA" w:rsidRDefault="00CA02FA" w:rsidP="00CA02FA">
            <w:pPr>
              <w:ind w:firstLineChars="196" w:firstLine="470"/>
              <w:rPr>
                <w:rFonts w:eastAsia="宋体"/>
                <w:bCs/>
                <w:color w:val="000000"/>
                <w:lang w:eastAsia="zh-CN"/>
              </w:rPr>
            </w:pPr>
            <w:r w:rsidRPr="00CA02FA">
              <w:rPr>
                <w:rFonts w:eastAsia="宋体" w:hint="eastAsia"/>
                <w:bCs/>
                <w:color w:val="000000"/>
                <w:lang w:eastAsia="zh-CN"/>
              </w:rPr>
              <w:t>分行业来看，尽管区内制造业</w:t>
            </w:r>
            <w:r w:rsidRPr="00CA02FA">
              <w:rPr>
                <w:rFonts w:eastAsia="宋体" w:hint="eastAsia"/>
                <w:bCs/>
                <w:color w:val="000000"/>
                <w:lang w:eastAsia="zh-CN"/>
              </w:rPr>
              <w:t>PMI</w:t>
            </w:r>
            <w:r w:rsidRPr="00CA02FA">
              <w:rPr>
                <w:rFonts w:eastAsia="宋体" w:hint="eastAsia"/>
                <w:bCs/>
                <w:color w:val="000000"/>
                <w:lang w:eastAsia="zh-CN"/>
              </w:rPr>
              <w:t>仍处于荣枯线下方，但景气度已出现改善。</w:t>
            </w:r>
            <w:r w:rsidRPr="00CA02FA">
              <w:rPr>
                <w:rFonts w:eastAsia="宋体" w:hint="eastAsia"/>
                <w:bCs/>
                <w:color w:val="000000"/>
                <w:lang w:eastAsia="zh-CN"/>
              </w:rPr>
              <w:t>3</w:t>
            </w:r>
            <w:r w:rsidRPr="00CA02FA">
              <w:rPr>
                <w:rFonts w:eastAsia="宋体" w:hint="eastAsia"/>
                <w:bCs/>
                <w:color w:val="000000"/>
                <w:lang w:eastAsia="zh-CN"/>
              </w:rPr>
              <w:t>月欧元区制造业</w:t>
            </w:r>
            <w:r w:rsidRPr="00CA02FA">
              <w:rPr>
                <w:rFonts w:eastAsia="宋体" w:hint="eastAsia"/>
                <w:bCs/>
                <w:color w:val="000000"/>
                <w:lang w:eastAsia="zh-CN"/>
              </w:rPr>
              <w:t>PMI</w:t>
            </w:r>
            <w:r w:rsidRPr="00CA02FA">
              <w:rPr>
                <w:rFonts w:eastAsia="宋体" w:hint="eastAsia"/>
                <w:bCs/>
                <w:color w:val="000000"/>
                <w:lang w:eastAsia="zh-CN"/>
              </w:rPr>
              <w:t>为</w:t>
            </w:r>
            <w:r w:rsidRPr="00CA02FA">
              <w:rPr>
                <w:rFonts w:eastAsia="宋体" w:hint="eastAsia"/>
                <w:bCs/>
                <w:color w:val="000000"/>
                <w:lang w:eastAsia="zh-CN"/>
              </w:rPr>
              <w:t>48.6</w:t>
            </w:r>
            <w:r w:rsidRPr="00CA02FA">
              <w:rPr>
                <w:rFonts w:eastAsia="宋体" w:hint="eastAsia"/>
                <w:bCs/>
                <w:color w:val="000000"/>
                <w:lang w:eastAsia="zh-CN"/>
              </w:rPr>
              <w:t>，较</w:t>
            </w:r>
            <w:r w:rsidRPr="00CA02FA">
              <w:rPr>
                <w:rFonts w:eastAsia="宋体" w:hint="eastAsia"/>
                <w:bCs/>
                <w:color w:val="000000"/>
                <w:lang w:eastAsia="zh-CN"/>
              </w:rPr>
              <w:t>2</w:t>
            </w:r>
            <w:r w:rsidRPr="00CA02FA">
              <w:rPr>
                <w:rFonts w:eastAsia="宋体" w:hint="eastAsia"/>
                <w:bCs/>
                <w:color w:val="000000"/>
                <w:lang w:eastAsia="zh-CN"/>
              </w:rPr>
              <w:t>月的</w:t>
            </w:r>
            <w:r w:rsidRPr="00CA02FA">
              <w:rPr>
                <w:rFonts w:eastAsia="宋体" w:hint="eastAsia"/>
                <w:bCs/>
                <w:color w:val="000000"/>
                <w:lang w:eastAsia="zh-CN"/>
              </w:rPr>
              <w:t>47.6</w:t>
            </w:r>
            <w:r w:rsidRPr="00CA02FA">
              <w:rPr>
                <w:rFonts w:eastAsia="宋体" w:hint="eastAsia"/>
                <w:bCs/>
                <w:color w:val="000000"/>
                <w:lang w:eastAsia="zh-CN"/>
              </w:rPr>
              <w:t>进一步提升。该季度欧元区制造业</w:t>
            </w:r>
            <w:r w:rsidRPr="00CA02FA">
              <w:rPr>
                <w:rFonts w:eastAsia="宋体" w:hint="eastAsia"/>
                <w:bCs/>
                <w:color w:val="000000"/>
                <w:lang w:eastAsia="zh-CN"/>
              </w:rPr>
              <w:t>PMI</w:t>
            </w:r>
            <w:r w:rsidRPr="00CA02FA">
              <w:rPr>
                <w:rFonts w:eastAsia="宋体" w:hint="eastAsia"/>
                <w:bCs/>
                <w:color w:val="000000"/>
                <w:lang w:eastAsia="zh-CN"/>
              </w:rPr>
              <w:t>均值为</w:t>
            </w:r>
            <w:r w:rsidRPr="00CA02FA">
              <w:rPr>
                <w:rFonts w:eastAsia="宋体" w:hint="eastAsia"/>
                <w:bCs/>
                <w:color w:val="000000"/>
                <w:lang w:eastAsia="zh-CN"/>
              </w:rPr>
              <w:t>47.6</w:t>
            </w:r>
            <w:r w:rsidRPr="00CA02FA">
              <w:rPr>
                <w:rFonts w:eastAsia="宋体" w:hint="eastAsia"/>
                <w:bCs/>
                <w:color w:val="000000"/>
                <w:lang w:eastAsia="zh-CN"/>
              </w:rPr>
              <w:t>，前值为</w:t>
            </w:r>
            <w:r w:rsidRPr="00CA02FA">
              <w:rPr>
                <w:rFonts w:eastAsia="宋体" w:hint="eastAsia"/>
                <w:bCs/>
                <w:color w:val="000000"/>
                <w:lang w:eastAsia="zh-CN"/>
              </w:rPr>
              <w:t>45.4</w:t>
            </w:r>
            <w:r w:rsidRPr="00CA02FA">
              <w:rPr>
                <w:rFonts w:eastAsia="宋体" w:hint="eastAsia"/>
                <w:bCs/>
                <w:color w:val="000000"/>
                <w:lang w:eastAsia="zh-CN"/>
              </w:rPr>
              <w:t>。服务业方面，欧元区</w:t>
            </w:r>
            <w:r w:rsidRPr="00CA02FA">
              <w:rPr>
                <w:rFonts w:eastAsia="宋体" w:hint="eastAsia"/>
                <w:bCs/>
                <w:color w:val="000000"/>
                <w:lang w:eastAsia="zh-CN"/>
              </w:rPr>
              <w:t>3</w:t>
            </w:r>
            <w:r w:rsidRPr="00CA02FA">
              <w:rPr>
                <w:rFonts w:eastAsia="宋体" w:hint="eastAsia"/>
                <w:bCs/>
                <w:color w:val="000000"/>
                <w:lang w:eastAsia="zh-CN"/>
              </w:rPr>
              <w:t>月服务业</w:t>
            </w:r>
            <w:r w:rsidRPr="00CA02FA">
              <w:rPr>
                <w:rFonts w:eastAsia="宋体" w:hint="eastAsia"/>
                <w:bCs/>
                <w:color w:val="000000"/>
                <w:lang w:eastAsia="zh-CN"/>
              </w:rPr>
              <w:t>PMI</w:t>
            </w:r>
            <w:r w:rsidRPr="00CA02FA">
              <w:rPr>
                <w:rFonts w:eastAsia="宋体" w:hint="eastAsia"/>
                <w:bCs/>
                <w:color w:val="000000"/>
                <w:lang w:eastAsia="zh-CN"/>
              </w:rPr>
              <w:t>由</w:t>
            </w:r>
            <w:r w:rsidRPr="00CA02FA">
              <w:rPr>
                <w:rFonts w:eastAsia="宋体" w:hint="eastAsia"/>
                <w:bCs/>
                <w:color w:val="000000"/>
                <w:lang w:eastAsia="zh-CN"/>
              </w:rPr>
              <w:t>2</w:t>
            </w:r>
            <w:r w:rsidRPr="00CA02FA">
              <w:rPr>
                <w:rFonts w:eastAsia="宋体" w:hint="eastAsia"/>
                <w:bCs/>
                <w:color w:val="000000"/>
                <w:lang w:eastAsia="zh-CN"/>
              </w:rPr>
              <w:t>月的</w:t>
            </w:r>
            <w:r w:rsidRPr="00CA02FA">
              <w:rPr>
                <w:rFonts w:eastAsia="宋体" w:hint="eastAsia"/>
                <w:bCs/>
                <w:color w:val="000000"/>
                <w:lang w:eastAsia="zh-CN"/>
              </w:rPr>
              <w:t>50.2</w:t>
            </w:r>
            <w:r w:rsidRPr="00CA02FA">
              <w:rPr>
                <w:rFonts w:eastAsia="宋体" w:hint="eastAsia"/>
                <w:bCs/>
                <w:color w:val="000000"/>
                <w:lang w:eastAsia="zh-CN"/>
              </w:rPr>
              <w:t>升至</w:t>
            </w:r>
            <w:r w:rsidRPr="00CA02FA">
              <w:rPr>
                <w:rFonts w:eastAsia="宋体" w:hint="eastAsia"/>
                <w:bCs/>
                <w:color w:val="000000"/>
                <w:lang w:eastAsia="zh-CN"/>
              </w:rPr>
              <w:t>51</w:t>
            </w:r>
            <w:r w:rsidRPr="00CA02FA">
              <w:rPr>
                <w:rFonts w:eastAsia="宋体" w:hint="eastAsia"/>
                <w:bCs/>
                <w:color w:val="000000"/>
                <w:lang w:eastAsia="zh-CN"/>
              </w:rPr>
              <w:t>，保持在荣枯线上方。不过，从季度均值来看，第</w:t>
            </w:r>
            <w:r w:rsidRPr="00CA02FA">
              <w:rPr>
                <w:rFonts w:eastAsia="宋体" w:hint="eastAsia"/>
                <w:bCs/>
                <w:color w:val="000000"/>
                <w:lang w:eastAsia="zh-CN"/>
              </w:rPr>
              <w:t>1</w:t>
            </w:r>
            <w:r w:rsidRPr="00CA02FA">
              <w:rPr>
                <w:rFonts w:eastAsia="宋体" w:hint="eastAsia"/>
                <w:bCs/>
                <w:color w:val="000000"/>
                <w:lang w:eastAsia="zh-CN"/>
              </w:rPr>
              <w:t>季度欧元区服务业</w:t>
            </w:r>
            <w:r w:rsidRPr="00CA02FA">
              <w:rPr>
                <w:rFonts w:eastAsia="宋体" w:hint="eastAsia"/>
                <w:bCs/>
                <w:color w:val="000000"/>
                <w:lang w:eastAsia="zh-CN"/>
              </w:rPr>
              <w:t>PMI</w:t>
            </w:r>
            <w:r w:rsidRPr="00CA02FA">
              <w:rPr>
                <w:rFonts w:eastAsia="宋体" w:hint="eastAsia"/>
                <w:bCs/>
                <w:color w:val="000000"/>
                <w:lang w:eastAsia="zh-CN"/>
              </w:rPr>
              <w:t>季度均值为</w:t>
            </w:r>
            <w:r w:rsidRPr="00CA02FA">
              <w:rPr>
                <w:rFonts w:eastAsia="宋体" w:hint="eastAsia"/>
                <w:bCs/>
                <w:color w:val="000000"/>
                <w:lang w:eastAsia="zh-CN"/>
              </w:rPr>
              <w:t>50.8</w:t>
            </w:r>
            <w:r w:rsidRPr="00CA02FA">
              <w:rPr>
                <w:rFonts w:eastAsia="宋体" w:hint="eastAsia"/>
                <w:bCs/>
                <w:color w:val="000000"/>
                <w:lang w:eastAsia="zh-CN"/>
              </w:rPr>
              <w:t>，与</w:t>
            </w:r>
            <w:r w:rsidRPr="00CA02FA">
              <w:rPr>
                <w:rFonts w:eastAsia="宋体" w:hint="eastAsia"/>
                <w:bCs/>
                <w:color w:val="000000"/>
                <w:lang w:eastAsia="zh-CN"/>
              </w:rPr>
              <w:t>2024</w:t>
            </w:r>
            <w:r w:rsidRPr="00CA02FA">
              <w:rPr>
                <w:rFonts w:eastAsia="宋体" w:hint="eastAsia"/>
                <w:bCs/>
                <w:color w:val="000000"/>
                <w:lang w:eastAsia="zh-CN"/>
              </w:rPr>
              <w:t>年第</w:t>
            </w:r>
            <w:r w:rsidRPr="00CA02FA">
              <w:rPr>
                <w:rFonts w:eastAsia="宋体" w:hint="eastAsia"/>
                <w:bCs/>
                <w:color w:val="000000"/>
                <w:lang w:eastAsia="zh-CN"/>
              </w:rPr>
              <w:t>4</w:t>
            </w:r>
            <w:r w:rsidRPr="00CA02FA">
              <w:rPr>
                <w:rFonts w:eastAsia="宋体" w:hint="eastAsia"/>
                <w:bCs/>
                <w:color w:val="000000"/>
                <w:lang w:eastAsia="zh-CN"/>
              </w:rPr>
              <w:t>季度持平。</w:t>
            </w:r>
          </w:p>
          <w:p w14:paraId="7C53258A" w14:textId="77777777" w:rsidR="00CA02FA" w:rsidRPr="00CA02FA" w:rsidRDefault="00CA02FA" w:rsidP="00CA02FA">
            <w:pPr>
              <w:ind w:firstLineChars="196" w:firstLine="470"/>
              <w:rPr>
                <w:rFonts w:eastAsia="宋体"/>
                <w:color w:val="000000"/>
                <w:lang w:eastAsia="zh-CN"/>
              </w:rPr>
            </w:pPr>
            <w:r w:rsidRPr="00CA02FA">
              <w:rPr>
                <w:rFonts w:eastAsia="宋体" w:hint="eastAsia"/>
                <w:color w:val="000000"/>
                <w:lang w:eastAsia="zh-CN"/>
              </w:rPr>
              <w:t>分国家来看，法国在</w:t>
            </w:r>
            <w:r w:rsidRPr="00CA02FA">
              <w:rPr>
                <w:rFonts w:eastAsia="宋体" w:hint="eastAsia"/>
                <w:color w:val="000000"/>
                <w:lang w:eastAsia="zh-CN"/>
              </w:rPr>
              <w:t>2024</w:t>
            </w:r>
            <w:r w:rsidRPr="00CA02FA">
              <w:rPr>
                <w:rFonts w:eastAsia="宋体" w:hint="eastAsia"/>
                <w:color w:val="000000"/>
                <w:lang w:eastAsia="zh-CN"/>
              </w:rPr>
              <w:t>年</w:t>
            </w:r>
            <w:r w:rsidRPr="00CA02FA">
              <w:rPr>
                <w:rFonts w:eastAsia="宋体" w:hint="eastAsia"/>
                <w:color w:val="000000"/>
                <w:lang w:eastAsia="zh-CN"/>
              </w:rPr>
              <w:t>4</w:t>
            </w:r>
            <w:r w:rsidRPr="00CA02FA">
              <w:rPr>
                <w:rFonts w:eastAsia="宋体" w:hint="eastAsia"/>
                <w:color w:val="000000"/>
                <w:lang w:eastAsia="zh-CN"/>
              </w:rPr>
              <w:t>季度因巴黎奥运会的结束而出现经济下行，但</w:t>
            </w:r>
            <w:r w:rsidRPr="00CA02FA">
              <w:rPr>
                <w:rFonts w:eastAsia="宋体" w:hint="eastAsia"/>
                <w:color w:val="000000"/>
                <w:lang w:eastAsia="zh-CN"/>
              </w:rPr>
              <w:t>2025</w:t>
            </w:r>
            <w:r w:rsidRPr="00CA02FA">
              <w:rPr>
                <w:rFonts w:eastAsia="宋体" w:hint="eastAsia"/>
                <w:color w:val="000000"/>
                <w:lang w:eastAsia="zh-CN"/>
              </w:rPr>
              <w:t>年第</w:t>
            </w:r>
            <w:r w:rsidRPr="00CA02FA">
              <w:rPr>
                <w:rFonts w:eastAsia="宋体" w:hint="eastAsia"/>
                <w:color w:val="000000"/>
                <w:lang w:eastAsia="zh-CN"/>
              </w:rPr>
              <w:t>1</w:t>
            </w:r>
            <w:r w:rsidRPr="00CA02FA">
              <w:rPr>
                <w:rFonts w:eastAsia="宋体" w:hint="eastAsia"/>
                <w:color w:val="000000"/>
                <w:lang w:eastAsia="zh-CN"/>
              </w:rPr>
              <w:t>季度已出现恢复迹象。</w:t>
            </w:r>
            <w:r w:rsidRPr="00CA02FA">
              <w:rPr>
                <w:rFonts w:eastAsia="宋体" w:hint="eastAsia"/>
                <w:color w:val="000000"/>
                <w:lang w:eastAsia="zh-CN"/>
              </w:rPr>
              <w:t>3</w:t>
            </w:r>
            <w:r w:rsidRPr="00CA02FA">
              <w:rPr>
                <w:rFonts w:eastAsia="宋体" w:hint="eastAsia"/>
                <w:color w:val="000000"/>
                <w:lang w:eastAsia="zh-CN"/>
              </w:rPr>
              <w:t>月法国综合</w:t>
            </w:r>
            <w:r w:rsidRPr="00CA02FA">
              <w:rPr>
                <w:rFonts w:eastAsia="宋体" w:hint="eastAsia"/>
                <w:color w:val="000000"/>
                <w:lang w:eastAsia="zh-CN"/>
              </w:rPr>
              <w:lastRenderedPageBreak/>
              <w:t>PMI</w:t>
            </w:r>
            <w:r w:rsidRPr="00CA02FA">
              <w:rPr>
                <w:rFonts w:eastAsia="宋体" w:hint="eastAsia"/>
                <w:color w:val="000000"/>
                <w:lang w:eastAsia="zh-CN"/>
              </w:rPr>
              <w:t>为</w:t>
            </w:r>
            <w:r w:rsidRPr="00CA02FA">
              <w:rPr>
                <w:rFonts w:eastAsia="宋体" w:hint="eastAsia"/>
                <w:color w:val="000000"/>
                <w:lang w:eastAsia="zh-CN"/>
              </w:rPr>
              <w:t>48</w:t>
            </w:r>
            <w:r w:rsidRPr="00CA02FA">
              <w:rPr>
                <w:rFonts w:eastAsia="宋体" w:hint="eastAsia"/>
                <w:color w:val="000000"/>
                <w:lang w:eastAsia="zh-CN"/>
              </w:rPr>
              <w:t>，前值为</w:t>
            </w:r>
            <w:r w:rsidRPr="00CA02FA">
              <w:rPr>
                <w:rFonts w:eastAsia="宋体" w:hint="eastAsia"/>
                <w:color w:val="000000"/>
                <w:lang w:eastAsia="zh-CN"/>
              </w:rPr>
              <w:t>45.1</w:t>
            </w:r>
            <w:r w:rsidRPr="00CA02FA">
              <w:rPr>
                <w:rFonts w:eastAsia="宋体" w:hint="eastAsia"/>
                <w:color w:val="000000"/>
                <w:lang w:eastAsia="zh-CN"/>
              </w:rPr>
              <w:t>；服务业制造业</w:t>
            </w:r>
            <w:r w:rsidRPr="00CA02FA">
              <w:rPr>
                <w:rFonts w:eastAsia="宋体" w:hint="eastAsia"/>
                <w:color w:val="000000"/>
                <w:lang w:eastAsia="zh-CN"/>
              </w:rPr>
              <w:t>PMI</w:t>
            </w:r>
            <w:r w:rsidRPr="00CA02FA">
              <w:rPr>
                <w:rFonts w:eastAsia="宋体" w:hint="eastAsia"/>
                <w:color w:val="000000"/>
                <w:lang w:eastAsia="zh-CN"/>
              </w:rPr>
              <w:t>为</w:t>
            </w:r>
            <w:r w:rsidRPr="00CA02FA">
              <w:rPr>
                <w:rFonts w:eastAsia="宋体" w:hint="eastAsia"/>
                <w:color w:val="000000"/>
                <w:lang w:eastAsia="zh-CN"/>
              </w:rPr>
              <w:t>48.5</w:t>
            </w:r>
            <w:r w:rsidRPr="00CA02FA">
              <w:rPr>
                <w:rFonts w:eastAsia="宋体" w:hint="eastAsia"/>
                <w:color w:val="000000"/>
                <w:lang w:eastAsia="zh-CN"/>
              </w:rPr>
              <w:t>，前值为</w:t>
            </w:r>
            <w:r w:rsidRPr="00CA02FA">
              <w:rPr>
                <w:rFonts w:eastAsia="宋体" w:hint="eastAsia"/>
                <w:color w:val="000000"/>
                <w:lang w:eastAsia="zh-CN"/>
              </w:rPr>
              <w:t>45.8</w:t>
            </w:r>
            <w:r w:rsidRPr="00CA02FA">
              <w:rPr>
                <w:rFonts w:eastAsia="宋体" w:hint="eastAsia"/>
                <w:color w:val="000000"/>
                <w:lang w:eastAsia="zh-CN"/>
              </w:rPr>
              <w:t>，但仍处于收缩区间。德国经济同样出现恢复态势。</w:t>
            </w:r>
            <w:r w:rsidRPr="00CA02FA">
              <w:rPr>
                <w:rFonts w:eastAsia="宋体" w:hint="eastAsia"/>
                <w:color w:val="000000"/>
                <w:lang w:eastAsia="zh-CN"/>
              </w:rPr>
              <w:t>3</w:t>
            </w:r>
            <w:r w:rsidRPr="00CA02FA">
              <w:rPr>
                <w:rFonts w:eastAsia="宋体" w:hint="eastAsia"/>
                <w:color w:val="000000"/>
                <w:lang w:eastAsia="zh-CN"/>
              </w:rPr>
              <w:t>月，德国综合</w:t>
            </w:r>
            <w:r w:rsidRPr="00CA02FA">
              <w:rPr>
                <w:rFonts w:eastAsia="宋体" w:hint="eastAsia"/>
                <w:color w:val="000000"/>
                <w:lang w:eastAsia="zh-CN"/>
              </w:rPr>
              <w:t>PMI</w:t>
            </w:r>
            <w:r w:rsidRPr="00CA02FA">
              <w:rPr>
                <w:rFonts w:eastAsia="宋体" w:hint="eastAsia"/>
                <w:color w:val="000000"/>
                <w:lang w:eastAsia="zh-CN"/>
              </w:rPr>
              <w:t>为</w:t>
            </w:r>
            <w:r w:rsidRPr="00CA02FA">
              <w:rPr>
                <w:rFonts w:eastAsia="宋体" w:hint="eastAsia"/>
                <w:color w:val="000000"/>
                <w:lang w:eastAsia="zh-CN"/>
              </w:rPr>
              <w:t>51.3</w:t>
            </w:r>
            <w:r w:rsidRPr="00CA02FA">
              <w:rPr>
                <w:rFonts w:eastAsia="宋体" w:hint="eastAsia"/>
                <w:color w:val="000000"/>
                <w:lang w:eastAsia="zh-CN"/>
              </w:rPr>
              <w:t>，第</w:t>
            </w:r>
            <w:r w:rsidRPr="00CA02FA">
              <w:rPr>
                <w:rFonts w:eastAsia="宋体" w:hint="eastAsia"/>
                <w:color w:val="000000"/>
                <w:lang w:eastAsia="zh-CN"/>
              </w:rPr>
              <w:t>1</w:t>
            </w:r>
            <w:r w:rsidRPr="00CA02FA">
              <w:rPr>
                <w:rFonts w:eastAsia="宋体" w:hint="eastAsia"/>
                <w:color w:val="000000"/>
                <w:lang w:eastAsia="zh-CN"/>
              </w:rPr>
              <w:t>季度均值为</w:t>
            </w:r>
            <w:r w:rsidRPr="00CA02FA">
              <w:rPr>
                <w:rFonts w:eastAsia="宋体" w:hint="eastAsia"/>
                <w:color w:val="000000"/>
                <w:lang w:eastAsia="zh-CN"/>
              </w:rPr>
              <w:t>50.7</w:t>
            </w:r>
            <w:r w:rsidRPr="00CA02FA">
              <w:rPr>
                <w:rFonts w:eastAsia="宋体" w:hint="eastAsia"/>
                <w:color w:val="000000"/>
                <w:lang w:eastAsia="zh-CN"/>
              </w:rPr>
              <w:t>，相较于</w:t>
            </w:r>
            <w:r w:rsidRPr="00CA02FA">
              <w:rPr>
                <w:rFonts w:eastAsia="宋体" w:hint="eastAsia"/>
                <w:color w:val="000000"/>
                <w:lang w:eastAsia="zh-CN"/>
              </w:rPr>
              <w:t>2024</w:t>
            </w:r>
            <w:r w:rsidRPr="00CA02FA">
              <w:rPr>
                <w:rFonts w:eastAsia="宋体" w:hint="eastAsia"/>
                <w:color w:val="000000"/>
                <w:lang w:eastAsia="zh-CN"/>
              </w:rPr>
              <w:t>年第</w:t>
            </w:r>
            <w:r w:rsidRPr="00CA02FA">
              <w:rPr>
                <w:rFonts w:eastAsia="宋体" w:hint="eastAsia"/>
                <w:color w:val="000000"/>
                <w:lang w:eastAsia="zh-CN"/>
              </w:rPr>
              <w:t>4</w:t>
            </w:r>
            <w:r w:rsidRPr="00CA02FA">
              <w:rPr>
                <w:rFonts w:eastAsia="宋体" w:hint="eastAsia"/>
                <w:color w:val="000000"/>
                <w:lang w:eastAsia="zh-CN"/>
              </w:rPr>
              <w:t>季度的均值</w:t>
            </w:r>
            <w:r w:rsidRPr="00CA02FA">
              <w:rPr>
                <w:rFonts w:eastAsia="宋体" w:hint="eastAsia"/>
                <w:color w:val="000000"/>
                <w:lang w:eastAsia="zh-CN"/>
              </w:rPr>
              <w:t>47.9</w:t>
            </w:r>
            <w:r w:rsidRPr="00CA02FA">
              <w:rPr>
                <w:rFonts w:eastAsia="宋体" w:hint="eastAsia"/>
                <w:color w:val="000000"/>
                <w:lang w:eastAsia="zh-CN"/>
              </w:rPr>
              <w:t>有所提升。近期服务业</w:t>
            </w:r>
            <w:r w:rsidRPr="00CA02FA">
              <w:rPr>
                <w:rFonts w:eastAsia="宋体" w:hint="eastAsia"/>
                <w:color w:val="000000"/>
                <w:lang w:eastAsia="zh-CN"/>
              </w:rPr>
              <w:t>PMI</w:t>
            </w:r>
            <w:r w:rsidRPr="00CA02FA">
              <w:rPr>
                <w:rFonts w:eastAsia="宋体" w:hint="eastAsia"/>
                <w:color w:val="000000"/>
                <w:lang w:eastAsia="zh-CN"/>
              </w:rPr>
              <w:t>有所下滑，从</w:t>
            </w:r>
            <w:r w:rsidRPr="00CA02FA">
              <w:rPr>
                <w:rFonts w:eastAsia="宋体" w:hint="eastAsia"/>
                <w:color w:val="000000"/>
                <w:lang w:eastAsia="zh-CN"/>
              </w:rPr>
              <w:t>2</w:t>
            </w:r>
            <w:r w:rsidRPr="00CA02FA">
              <w:rPr>
                <w:rFonts w:eastAsia="宋体" w:hint="eastAsia"/>
                <w:color w:val="000000"/>
                <w:lang w:eastAsia="zh-CN"/>
              </w:rPr>
              <w:t>月的</w:t>
            </w:r>
            <w:r w:rsidRPr="00CA02FA">
              <w:rPr>
                <w:rFonts w:eastAsia="宋体" w:hint="eastAsia"/>
                <w:color w:val="000000"/>
                <w:lang w:eastAsia="zh-CN"/>
              </w:rPr>
              <w:t>51.1</w:t>
            </w:r>
            <w:r w:rsidRPr="00CA02FA">
              <w:rPr>
                <w:rFonts w:eastAsia="宋体" w:hint="eastAsia"/>
                <w:color w:val="000000"/>
                <w:lang w:eastAsia="zh-CN"/>
              </w:rPr>
              <w:t>下降至</w:t>
            </w:r>
            <w:r w:rsidRPr="00CA02FA">
              <w:rPr>
                <w:rFonts w:eastAsia="宋体" w:hint="eastAsia"/>
                <w:color w:val="000000"/>
                <w:lang w:eastAsia="zh-CN"/>
              </w:rPr>
              <w:t>3</w:t>
            </w:r>
            <w:r w:rsidRPr="00CA02FA">
              <w:rPr>
                <w:rFonts w:eastAsia="宋体" w:hint="eastAsia"/>
                <w:color w:val="000000"/>
                <w:lang w:eastAsia="zh-CN"/>
              </w:rPr>
              <w:t>月的</w:t>
            </w:r>
            <w:r w:rsidRPr="00CA02FA">
              <w:rPr>
                <w:rFonts w:eastAsia="宋体" w:hint="eastAsia"/>
                <w:color w:val="000000"/>
                <w:lang w:eastAsia="zh-CN"/>
              </w:rPr>
              <w:t>50.9</w:t>
            </w:r>
            <w:r w:rsidRPr="00CA02FA">
              <w:rPr>
                <w:rFonts w:eastAsia="宋体" w:hint="eastAsia"/>
                <w:color w:val="000000"/>
                <w:lang w:eastAsia="zh-CN"/>
              </w:rPr>
              <w:t>；第</w:t>
            </w:r>
            <w:r w:rsidRPr="00CA02FA">
              <w:rPr>
                <w:rFonts w:eastAsia="宋体" w:hint="eastAsia"/>
                <w:color w:val="000000"/>
                <w:lang w:eastAsia="zh-CN"/>
              </w:rPr>
              <w:t>1</w:t>
            </w:r>
            <w:r w:rsidRPr="00CA02FA">
              <w:rPr>
                <w:rFonts w:eastAsia="宋体" w:hint="eastAsia"/>
                <w:color w:val="000000"/>
                <w:lang w:eastAsia="zh-CN"/>
              </w:rPr>
              <w:t>季度均值为</w:t>
            </w:r>
            <w:r w:rsidRPr="00CA02FA">
              <w:rPr>
                <w:rFonts w:eastAsia="宋体" w:hint="eastAsia"/>
                <w:color w:val="000000"/>
                <w:lang w:eastAsia="zh-CN"/>
              </w:rPr>
              <w:t>51.5</w:t>
            </w:r>
            <w:r w:rsidRPr="00CA02FA">
              <w:rPr>
                <w:rFonts w:eastAsia="宋体" w:hint="eastAsia"/>
                <w:color w:val="000000"/>
                <w:lang w:eastAsia="zh-CN"/>
              </w:rPr>
              <w:t>，相较于</w:t>
            </w:r>
            <w:r w:rsidRPr="00CA02FA">
              <w:rPr>
                <w:rFonts w:eastAsia="宋体" w:hint="eastAsia"/>
                <w:color w:val="000000"/>
                <w:lang w:eastAsia="zh-CN"/>
              </w:rPr>
              <w:t>2024</w:t>
            </w:r>
            <w:r w:rsidRPr="00CA02FA">
              <w:rPr>
                <w:rFonts w:eastAsia="宋体" w:hint="eastAsia"/>
                <w:color w:val="000000"/>
                <w:lang w:eastAsia="zh-CN"/>
              </w:rPr>
              <w:t>年第</w:t>
            </w:r>
            <w:r w:rsidRPr="00CA02FA">
              <w:rPr>
                <w:rFonts w:eastAsia="宋体" w:hint="eastAsia"/>
                <w:color w:val="000000"/>
                <w:lang w:eastAsia="zh-CN"/>
              </w:rPr>
              <w:t>4</w:t>
            </w:r>
            <w:r w:rsidRPr="00CA02FA">
              <w:rPr>
                <w:rFonts w:eastAsia="宋体" w:hint="eastAsia"/>
                <w:color w:val="000000"/>
                <w:lang w:eastAsia="zh-CN"/>
              </w:rPr>
              <w:t>季度的均值</w:t>
            </w:r>
            <w:r w:rsidRPr="00CA02FA">
              <w:rPr>
                <w:rFonts w:eastAsia="宋体" w:hint="eastAsia"/>
                <w:color w:val="000000"/>
                <w:lang w:eastAsia="zh-CN"/>
              </w:rPr>
              <w:t>50.7</w:t>
            </w:r>
            <w:r w:rsidRPr="00CA02FA">
              <w:rPr>
                <w:rFonts w:eastAsia="宋体" w:hint="eastAsia"/>
                <w:color w:val="000000"/>
                <w:lang w:eastAsia="zh-CN"/>
              </w:rPr>
              <w:t>同样有所提升。</w:t>
            </w:r>
          </w:p>
          <w:p w14:paraId="1CD4100D" w14:textId="77777777" w:rsidR="00CA02FA" w:rsidRPr="00CA02FA" w:rsidRDefault="00CA02FA" w:rsidP="00CA02FA">
            <w:pPr>
              <w:ind w:firstLineChars="196" w:firstLine="470"/>
              <w:rPr>
                <w:rFonts w:eastAsia="宋体"/>
                <w:color w:val="000000"/>
                <w:kern w:val="0"/>
                <w:lang w:eastAsia="zh-CN"/>
              </w:rPr>
            </w:pPr>
            <w:r w:rsidRPr="00CA02FA">
              <w:rPr>
                <w:rFonts w:eastAsia="宋体" w:hint="eastAsia"/>
                <w:color w:val="000000"/>
                <w:lang w:eastAsia="zh-CN"/>
              </w:rPr>
              <w:t>工业生产指数方面，</w:t>
            </w:r>
            <w:r w:rsidRPr="00CA02FA">
              <w:rPr>
                <w:rFonts w:eastAsia="宋体" w:hint="eastAsia"/>
                <w:color w:val="000000"/>
                <w:lang w:eastAsia="zh-CN"/>
              </w:rPr>
              <w:t>2025</w:t>
            </w:r>
            <w:r w:rsidRPr="00CA02FA">
              <w:rPr>
                <w:rFonts w:eastAsia="宋体" w:hint="eastAsia"/>
                <w:color w:val="000000"/>
                <w:lang w:eastAsia="zh-CN"/>
              </w:rPr>
              <w:t>年</w:t>
            </w:r>
            <w:r w:rsidRPr="00CA02FA">
              <w:rPr>
                <w:rFonts w:eastAsia="宋体" w:hint="eastAsia"/>
                <w:color w:val="000000"/>
                <w:lang w:eastAsia="zh-CN"/>
              </w:rPr>
              <w:t>1</w:t>
            </w:r>
            <w:r w:rsidRPr="00CA02FA">
              <w:rPr>
                <w:rFonts w:eastAsia="宋体"/>
                <w:color w:val="000000"/>
                <w:lang w:eastAsia="zh-CN"/>
              </w:rPr>
              <w:t>月</w:t>
            </w:r>
            <w:r w:rsidRPr="00CA02FA">
              <w:rPr>
                <w:rFonts w:eastAsia="宋体" w:hint="eastAsia"/>
                <w:color w:val="000000"/>
                <w:lang w:eastAsia="zh-CN"/>
              </w:rPr>
              <w:t>欧元区</w:t>
            </w:r>
            <w:r w:rsidRPr="00CA02FA">
              <w:rPr>
                <w:rFonts w:eastAsia="宋体"/>
                <w:color w:val="000000"/>
                <w:lang w:eastAsia="zh-CN"/>
              </w:rPr>
              <w:t>工业</w:t>
            </w:r>
            <w:r w:rsidRPr="00CA02FA">
              <w:rPr>
                <w:rFonts w:eastAsia="宋体" w:hint="eastAsia"/>
                <w:color w:val="000000"/>
                <w:lang w:eastAsia="zh-CN"/>
              </w:rPr>
              <w:t>产出</w:t>
            </w:r>
            <w:r w:rsidRPr="00CA02FA">
              <w:rPr>
                <w:rFonts w:eastAsia="宋体" w:hint="eastAsia"/>
                <w:color w:val="000000"/>
                <w:lang w:eastAsia="zh-CN"/>
              </w:rPr>
              <w:t>97.1</w:t>
            </w:r>
            <w:r w:rsidRPr="00CA02FA">
              <w:rPr>
                <w:rFonts w:eastAsia="宋体" w:hint="eastAsia"/>
                <w:color w:val="000000"/>
                <w:lang w:eastAsia="zh-CN"/>
              </w:rPr>
              <w:t>，环比增长</w:t>
            </w:r>
            <w:r w:rsidRPr="00CA02FA">
              <w:rPr>
                <w:rFonts w:eastAsia="宋体" w:hint="eastAsia"/>
                <w:color w:val="000000"/>
                <w:lang w:eastAsia="zh-CN"/>
              </w:rPr>
              <w:t>0.8%</w:t>
            </w:r>
            <w:r w:rsidRPr="00CA02FA">
              <w:rPr>
                <w:rFonts w:eastAsia="宋体" w:hint="eastAsia"/>
                <w:color w:val="000000"/>
                <w:lang w:eastAsia="zh-CN"/>
              </w:rPr>
              <w:t>，同比保持不变。</w:t>
            </w:r>
            <w:r w:rsidRPr="00CA02FA">
              <w:rPr>
                <w:rFonts w:eastAsia="宋体" w:hint="eastAsia"/>
                <w:color w:val="000000"/>
                <w:lang w:eastAsia="zh-CN"/>
              </w:rPr>
              <w:t>2025</w:t>
            </w:r>
            <w:r w:rsidRPr="00CA02FA">
              <w:rPr>
                <w:rFonts w:eastAsia="宋体" w:hint="eastAsia"/>
                <w:color w:val="000000"/>
                <w:lang w:eastAsia="zh-CN"/>
              </w:rPr>
              <w:t>年第</w:t>
            </w:r>
            <w:r w:rsidRPr="00CA02FA">
              <w:rPr>
                <w:rFonts w:eastAsia="宋体" w:hint="eastAsia"/>
                <w:color w:val="000000"/>
                <w:lang w:eastAsia="zh-CN"/>
              </w:rPr>
              <w:t>1</w:t>
            </w:r>
            <w:r w:rsidRPr="00CA02FA">
              <w:rPr>
                <w:rFonts w:eastAsia="宋体" w:hint="eastAsia"/>
                <w:color w:val="000000"/>
                <w:lang w:eastAsia="zh-CN"/>
              </w:rPr>
              <w:t>季度，欧元区经季节性调整后的产能利用率为</w:t>
            </w:r>
            <w:r w:rsidRPr="00CA02FA">
              <w:rPr>
                <w:rFonts w:eastAsia="宋体" w:hint="eastAsia"/>
                <w:color w:val="000000"/>
                <w:lang w:eastAsia="zh-CN"/>
              </w:rPr>
              <w:t>77</w:t>
            </w:r>
            <w:r w:rsidRPr="00CA02FA">
              <w:rPr>
                <w:rFonts w:eastAsia="宋体" w:hint="eastAsia"/>
                <w:color w:val="000000"/>
                <w:lang w:eastAsia="zh-CN"/>
              </w:rPr>
              <w:t>，前值为</w:t>
            </w:r>
            <w:r w:rsidRPr="00CA02FA">
              <w:rPr>
                <w:rFonts w:eastAsia="宋体" w:hint="eastAsia"/>
                <w:color w:val="000000"/>
                <w:lang w:eastAsia="zh-CN"/>
              </w:rPr>
              <w:t>77.1</w:t>
            </w:r>
            <w:r w:rsidRPr="00CA02FA">
              <w:rPr>
                <w:rFonts w:eastAsia="宋体" w:hint="eastAsia"/>
                <w:color w:val="000000"/>
                <w:lang w:eastAsia="zh-CN"/>
              </w:rPr>
              <w:t>，同比下降</w:t>
            </w:r>
            <w:r w:rsidRPr="00CA02FA">
              <w:rPr>
                <w:rFonts w:eastAsia="宋体" w:hint="eastAsia"/>
                <w:color w:val="000000"/>
                <w:lang w:eastAsia="zh-CN"/>
              </w:rPr>
              <w:t>2.41</w:t>
            </w:r>
            <w:r w:rsidRPr="00CA02FA">
              <w:rPr>
                <w:rFonts w:eastAsia="宋体" w:hint="eastAsia"/>
                <w:color w:val="000000"/>
                <w:lang w:eastAsia="zh-CN"/>
              </w:rPr>
              <w:t>个点，表明欧洲经济产能仍然未得到恢复。</w:t>
            </w:r>
          </w:p>
        </w:tc>
      </w:tr>
      <w:tr w:rsidR="00CA02FA" w:rsidRPr="00CA02FA" w14:paraId="4C57A614" w14:textId="77777777" w:rsidTr="00D72849">
        <w:trPr>
          <w:trHeight w:val="3374"/>
        </w:trPr>
        <w:tc>
          <w:tcPr>
            <w:tcW w:w="9637" w:type="dxa"/>
            <w:gridSpan w:val="3"/>
          </w:tcPr>
          <w:p w14:paraId="42942393" w14:textId="1F7308A2" w:rsidR="00CA02FA" w:rsidRPr="00CA02FA" w:rsidRDefault="00DB2622" w:rsidP="00D37774">
            <w:pPr>
              <w:pStyle w:val="a4"/>
            </w:pPr>
            <w:bookmarkStart w:id="24" w:name="_Toc196399419"/>
            <w:r>
              <w:rPr>
                <w:rFonts w:hint="eastAsia"/>
              </w:rPr>
              <w:lastRenderedPageBreak/>
              <w:t xml:space="preserve">图表 </w:t>
            </w:r>
            <w:r>
              <w:rPr>
                <w:rFonts w:hint="eastAsia"/>
              </w:rPr>
              <w:fldChar w:fldCharType="begin"/>
            </w:r>
            <w:r>
              <w:rPr>
                <w:rFonts w:hint="eastAsia"/>
              </w:rPr>
              <w:instrText xml:space="preserve"> SEQ 图表 \* ARABIC </w:instrText>
            </w:r>
            <w:r>
              <w:rPr>
                <w:rFonts w:hint="eastAsia"/>
              </w:rPr>
              <w:fldChar w:fldCharType="separate"/>
            </w:r>
            <w:r w:rsidR="00530ED7">
              <w:rPr>
                <w:rFonts w:hint="eastAsia"/>
                <w:noProof/>
              </w:rPr>
              <w:t>8</w:t>
            </w:r>
            <w:r>
              <w:rPr>
                <w:rFonts w:hint="eastAsia"/>
              </w:rPr>
              <w:fldChar w:fldCharType="end"/>
            </w:r>
            <w:r w:rsidR="00D37774" w:rsidRPr="00D37774">
              <w:t xml:space="preserve">  </w:t>
            </w:r>
            <w:r w:rsidR="00CA02FA" w:rsidRPr="00CA02FA">
              <w:t>PMI</w:t>
            </w:r>
            <w:r w:rsidR="00CA02FA" w:rsidRPr="00CA02FA">
              <w:rPr>
                <w:rFonts w:hint="eastAsia"/>
              </w:rPr>
              <w:t>震荡趋弱</w:t>
            </w:r>
            <w:bookmarkEnd w:id="24"/>
          </w:p>
          <w:p w14:paraId="482588CE" w14:textId="77777777" w:rsidR="00CA02FA" w:rsidRPr="00CA02FA" w:rsidRDefault="00CA02FA" w:rsidP="00CA02FA">
            <w:pPr>
              <w:ind w:firstLineChars="83" w:firstLine="174"/>
              <w:jc w:val="center"/>
              <w:rPr>
                <w:rFonts w:eastAsia="宋体"/>
                <w:b/>
                <w:i/>
                <w:color w:val="FF0000"/>
                <w:lang w:eastAsia="zh-CN"/>
              </w:rPr>
            </w:pPr>
            <w:r w:rsidRPr="00CA02FA">
              <w:rPr>
                <w:rFonts w:ascii="等线" w:eastAsia="等线" w:hAnsi="等线"/>
                <w:noProof/>
                <w:sz w:val="21"/>
                <w:szCs w:val="22"/>
                <w:lang w:eastAsia="zh-CN" w:bidi="ar-SA"/>
              </w:rPr>
              <w:drawing>
                <wp:inline distT="0" distB="0" distL="114300" distR="114300" wp14:anchorId="4CF87AC5" wp14:editId="738AC303">
                  <wp:extent cx="4330700" cy="2750820"/>
                  <wp:effectExtent l="0" t="0" r="12700" b="1143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7"/>
                          <a:stretch>
                            <a:fillRect/>
                          </a:stretch>
                        </pic:blipFill>
                        <pic:spPr>
                          <a:xfrm>
                            <a:off x="0" y="0"/>
                            <a:ext cx="4330700" cy="2750820"/>
                          </a:xfrm>
                          <a:prstGeom prst="rect">
                            <a:avLst/>
                          </a:prstGeom>
                          <a:noFill/>
                          <a:ln>
                            <a:noFill/>
                          </a:ln>
                        </pic:spPr>
                      </pic:pic>
                    </a:graphicData>
                  </a:graphic>
                </wp:inline>
              </w:drawing>
            </w:r>
          </w:p>
          <w:p w14:paraId="62FE2ED6" w14:textId="77777777" w:rsidR="00CA02FA" w:rsidRPr="00CA02FA" w:rsidRDefault="00CA02FA" w:rsidP="00CA02FA">
            <w:pPr>
              <w:ind w:firstLineChars="83"/>
              <w:jc w:val="center"/>
              <w:rPr>
                <w:rFonts w:eastAsia="宋体"/>
                <w:b/>
                <w:i/>
                <w:color w:val="FF0000"/>
                <w:lang w:eastAsia="zh-CN"/>
              </w:rPr>
            </w:pPr>
          </w:p>
        </w:tc>
      </w:tr>
      <w:tr w:rsidR="00CA02FA" w:rsidRPr="00CA02FA" w14:paraId="5AF0E910" w14:textId="77777777" w:rsidTr="00D72849">
        <w:trPr>
          <w:trHeight w:val="1135"/>
        </w:trPr>
        <w:tc>
          <w:tcPr>
            <w:tcW w:w="2158" w:type="dxa"/>
          </w:tcPr>
          <w:p w14:paraId="598B1B0A" w14:textId="77777777" w:rsidR="00CA02FA" w:rsidRPr="00CA02FA" w:rsidRDefault="00CA02FA" w:rsidP="00000FFC">
            <w:pPr>
              <w:ind w:firstLineChars="0" w:firstLine="0"/>
              <w:rPr>
                <w:rFonts w:eastAsia="宋体"/>
                <w:b/>
                <w:sz w:val="28"/>
                <w:szCs w:val="28"/>
                <w:lang w:eastAsia="zh-CN" w:bidi="ar-SA"/>
              </w:rPr>
            </w:pPr>
            <w:r w:rsidRPr="00CA02FA">
              <w:rPr>
                <w:rFonts w:eastAsia="楷体" w:hint="eastAsia"/>
                <w:b/>
                <w:lang w:eastAsia="zh-CN" w:bidi="ar-SA"/>
              </w:rPr>
              <w:t>通胀回升至目标上方。</w:t>
            </w:r>
          </w:p>
        </w:tc>
        <w:tc>
          <w:tcPr>
            <w:tcW w:w="300" w:type="dxa"/>
          </w:tcPr>
          <w:p w14:paraId="48993D4D" w14:textId="77777777" w:rsidR="00CA02FA" w:rsidRPr="00CA02FA" w:rsidRDefault="00CA02FA" w:rsidP="00CA02FA">
            <w:pPr>
              <w:keepNext/>
              <w:keepLines/>
              <w:spacing w:before="260" w:after="260"/>
              <w:ind w:firstLine="480"/>
              <w:rPr>
                <w:rFonts w:eastAsia="楷体_GB2312"/>
                <w:lang w:eastAsia="zh-CN"/>
              </w:rPr>
            </w:pPr>
          </w:p>
        </w:tc>
        <w:tc>
          <w:tcPr>
            <w:tcW w:w="7179" w:type="dxa"/>
          </w:tcPr>
          <w:p w14:paraId="39D197AD" w14:textId="77777777" w:rsidR="00CA02FA" w:rsidRPr="00CA02FA" w:rsidRDefault="00CA02FA" w:rsidP="00CA02FA">
            <w:pPr>
              <w:ind w:left="34" w:firstLineChars="234" w:firstLine="564"/>
              <w:contextualSpacing/>
              <w:rPr>
                <w:rFonts w:eastAsia="宋体"/>
                <w:color w:val="000000"/>
                <w:lang w:eastAsia="zh-CN"/>
              </w:rPr>
            </w:pPr>
            <w:r w:rsidRPr="00CA02FA">
              <w:rPr>
                <w:rFonts w:eastAsia="宋体" w:hint="eastAsia"/>
                <w:b/>
                <w:color w:val="000000"/>
                <w:lang w:eastAsia="zh-CN"/>
              </w:rPr>
              <w:t>通胀回升至目标上方</w:t>
            </w:r>
            <w:r w:rsidRPr="00CA02FA">
              <w:rPr>
                <w:rFonts w:eastAsia="宋体"/>
                <w:b/>
                <w:color w:val="000000"/>
                <w:lang w:eastAsia="zh-CN"/>
              </w:rPr>
              <w:t>。</w:t>
            </w:r>
            <w:r w:rsidRPr="00CA02FA">
              <w:rPr>
                <w:rFonts w:eastAsia="宋体" w:hint="eastAsia"/>
                <w:bCs/>
                <w:color w:val="000000"/>
                <w:lang w:eastAsia="zh-CN"/>
              </w:rPr>
              <w:t>2</w:t>
            </w:r>
            <w:r w:rsidRPr="00CA02FA">
              <w:rPr>
                <w:rFonts w:eastAsia="宋体"/>
                <w:bCs/>
                <w:color w:val="000000"/>
                <w:lang w:eastAsia="zh-CN"/>
              </w:rPr>
              <w:t>02</w:t>
            </w:r>
            <w:r w:rsidRPr="00CA02FA">
              <w:rPr>
                <w:rFonts w:eastAsia="宋体" w:hint="eastAsia"/>
                <w:bCs/>
                <w:color w:val="000000"/>
                <w:lang w:eastAsia="zh-CN"/>
              </w:rPr>
              <w:t>5</w:t>
            </w:r>
            <w:r w:rsidRPr="00CA02FA">
              <w:rPr>
                <w:rFonts w:eastAsia="宋体" w:hint="eastAsia"/>
                <w:bCs/>
                <w:color w:val="000000"/>
                <w:lang w:eastAsia="zh-CN"/>
              </w:rPr>
              <w:t>年</w:t>
            </w:r>
            <w:r w:rsidRPr="00CA02FA">
              <w:rPr>
                <w:rFonts w:eastAsia="宋体" w:hint="eastAsia"/>
                <w:bCs/>
                <w:color w:val="000000"/>
                <w:lang w:eastAsia="zh-CN"/>
              </w:rPr>
              <w:t>3</w:t>
            </w:r>
            <w:r w:rsidRPr="00CA02FA">
              <w:rPr>
                <w:rFonts w:eastAsia="宋体"/>
                <w:color w:val="000000"/>
                <w:lang w:eastAsia="zh-CN"/>
              </w:rPr>
              <w:t>月份欧元区消费者调和价格指数（</w:t>
            </w:r>
            <w:r w:rsidRPr="00CA02FA">
              <w:rPr>
                <w:rFonts w:eastAsia="宋体"/>
                <w:color w:val="000000"/>
                <w:lang w:eastAsia="zh-CN"/>
              </w:rPr>
              <w:t>Harmonised Indices of Consumer Prices</w:t>
            </w:r>
            <w:r w:rsidRPr="00CA02FA">
              <w:rPr>
                <w:rFonts w:eastAsia="宋体"/>
                <w:color w:val="000000"/>
                <w:lang w:eastAsia="zh-CN"/>
              </w:rPr>
              <w:t>，</w:t>
            </w:r>
            <w:r w:rsidRPr="00CA02FA">
              <w:rPr>
                <w:rFonts w:eastAsia="宋体"/>
                <w:color w:val="000000"/>
                <w:lang w:eastAsia="zh-CN"/>
              </w:rPr>
              <w:t>HICP</w:t>
            </w:r>
            <w:r w:rsidRPr="00CA02FA">
              <w:rPr>
                <w:rFonts w:eastAsia="宋体"/>
                <w:color w:val="000000"/>
                <w:lang w:eastAsia="zh-CN"/>
              </w:rPr>
              <w:t>）</w:t>
            </w:r>
            <w:r w:rsidRPr="00CA02FA">
              <w:rPr>
                <w:rFonts w:eastAsia="宋体" w:hint="eastAsia"/>
                <w:color w:val="000000"/>
                <w:lang w:eastAsia="zh-CN"/>
              </w:rPr>
              <w:t>同比增长</w:t>
            </w:r>
            <w:r w:rsidRPr="00CA02FA">
              <w:rPr>
                <w:rFonts w:eastAsia="宋体" w:hint="eastAsia"/>
                <w:color w:val="000000"/>
                <w:lang w:eastAsia="zh-CN"/>
              </w:rPr>
              <w:t>2.18%</w:t>
            </w:r>
            <w:r w:rsidRPr="00CA02FA">
              <w:rPr>
                <w:rFonts w:eastAsia="宋体" w:hint="eastAsia"/>
                <w:color w:val="000000"/>
                <w:lang w:eastAsia="zh-CN"/>
              </w:rPr>
              <w:t>，但增长幅度较前一个月的</w:t>
            </w:r>
            <w:r w:rsidRPr="00CA02FA">
              <w:rPr>
                <w:rFonts w:eastAsia="宋体" w:hint="eastAsia"/>
                <w:color w:val="000000"/>
                <w:lang w:eastAsia="zh-CN"/>
              </w:rPr>
              <w:t>2.32%</w:t>
            </w:r>
            <w:r w:rsidRPr="00CA02FA">
              <w:rPr>
                <w:rFonts w:eastAsia="宋体" w:hint="eastAsia"/>
                <w:color w:val="000000"/>
                <w:lang w:eastAsia="zh-CN"/>
              </w:rPr>
              <w:t>下降</w:t>
            </w:r>
            <w:r w:rsidRPr="00CA02FA">
              <w:rPr>
                <w:rFonts w:eastAsia="宋体" w:hint="eastAsia"/>
                <w:color w:val="000000"/>
                <w:lang w:eastAsia="zh-CN"/>
              </w:rPr>
              <w:t>0.14</w:t>
            </w:r>
            <w:r w:rsidRPr="00CA02FA">
              <w:rPr>
                <w:rFonts w:eastAsia="宋体" w:hint="eastAsia"/>
                <w:color w:val="000000"/>
                <w:lang w:eastAsia="zh-CN"/>
              </w:rPr>
              <w:t>个百分点。能源价格下降使得德国和西班牙在内的欧元区主要经济体通胀率得到控制，能源价格指数由</w:t>
            </w:r>
            <w:r w:rsidRPr="00CA02FA">
              <w:rPr>
                <w:rFonts w:eastAsia="宋体" w:hint="eastAsia"/>
                <w:color w:val="000000"/>
                <w:lang w:eastAsia="zh-CN"/>
              </w:rPr>
              <w:t>1</w:t>
            </w:r>
            <w:r w:rsidRPr="00CA02FA">
              <w:rPr>
                <w:rFonts w:eastAsia="宋体" w:hint="eastAsia"/>
                <w:color w:val="000000"/>
                <w:lang w:eastAsia="zh-CN"/>
              </w:rPr>
              <w:t>月份的</w:t>
            </w:r>
            <w:r w:rsidRPr="00CA02FA">
              <w:rPr>
                <w:rFonts w:eastAsia="宋体" w:hint="eastAsia"/>
                <w:color w:val="000000"/>
                <w:lang w:eastAsia="zh-CN"/>
              </w:rPr>
              <w:t>1.89</w:t>
            </w:r>
            <w:r w:rsidRPr="00CA02FA">
              <w:rPr>
                <w:rFonts w:eastAsia="宋体" w:hint="eastAsia"/>
                <w:color w:val="000000"/>
                <w:lang w:eastAsia="zh-CN"/>
              </w:rPr>
              <w:t>下降至</w:t>
            </w:r>
            <w:r w:rsidRPr="00CA02FA">
              <w:rPr>
                <w:rFonts w:eastAsia="宋体" w:hint="eastAsia"/>
                <w:color w:val="000000"/>
                <w:lang w:eastAsia="zh-CN"/>
              </w:rPr>
              <w:t>3</w:t>
            </w:r>
            <w:r w:rsidRPr="00CA02FA">
              <w:rPr>
                <w:rFonts w:eastAsia="宋体" w:hint="eastAsia"/>
                <w:color w:val="000000"/>
                <w:lang w:eastAsia="zh-CN"/>
              </w:rPr>
              <w:t>月份的负</w:t>
            </w:r>
            <w:r w:rsidRPr="00CA02FA">
              <w:rPr>
                <w:rFonts w:eastAsia="宋体" w:hint="eastAsia"/>
                <w:color w:val="000000"/>
                <w:lang w:eastAsia="zh-CN"/>
              </w:rPr>
              <w:t>0.74</w:t>
            </w:r>
            <w:r w:rsidRPr="00CA02FA">
              <w:rPr>
                <w:rFonts w:eastAsia="宋体" w:hint="eastAsia"/>
                <w:color w:val="000000"/>
                <w:lang w:eastAsia="zh-CN"/>
              </w:rPr>
              <w:t>。</w:t>
            </w:r>
          </w:p>
          <w:p w14:paraId="38B4A67C" w14:textId="3F72ED4E" w:rsidR="00CA02FA" w:rsidRPr="00CA02FA" w:rsidRDefault="00CA02FA" w:rsidP="00CA02FA">
            <w:pPr>
              <w:ind w:left="34" w:firstLineChars="234" w:firstLine="562"/>
              <w:contextualSpacing/>
              <w:rPr>
                <w:rFonts w:eastAsia="宋体"/>
                <w:color w:val="000000"/>
                <w:lang w:eastAsia="zh-CN"/>
              </w:rPr>
            </w:pPr>
            <w:r w:rsidRPr="00CA02FA">
              <w:rPr>
                <w:rFonts w:eastAsia="宋体" w:hint="eastAsia"/>
                <w:color w:val="000000"/>
                <w:lang w:eastAsia="zh-CN"/>
              </w:rPr>
              <w:t>剔除波动较大的食品和能源价格后，</w:t>
            </w:r>
            <w:r w:rsidRPr="00CA02FA">
              <w:rPr>
                <w:rFonts w:eastAsia="宋体" w:hint="eastAsia"/>
                <w:color w:val="000000"/>
                <w:lang w:eastAsia="zh-CN"/>
              </w:rPr>
              <w:t>3</w:t>
            </w:r>
            <w:r w:rsidRPr="00CA02FA">
              <w:rPr>
                <w:rFonts w:eastAsia="宋体" w:hint="eastAsia"/>
                <w:color w:val="000000"/>
                <w:lang w:eastAsia="zh-CN"/>
              </w:rPr>
              <w:t>月欧元区核心</w:t>
            </w:r>
            <w:r w:rsidRPr="00CA02FA">
              <w:rPr>
                <w:rFonts w:eastAsia="宋体"/>
                <w:color w:val="000000"/>
                <w:lang w:eastAsia="zh-CN"/>
              </w:rPr>
              <w:t>HICP</w:t>
            </w:r>
            <w:r w:rsidRPr="00CA02FA">
              <w:rPr>
                <w:rFonts w:eastAsia="宋体" w:hint="eastAsia"/>
                <w:color w:val="000000"/>
                <w:lang w:eastAsia="zh-CN"/>
              </w:rPr>
              <w:t>同比增速为</w:t>
            </w:r>
            <w:r w:rsidRPr="00CA02FA">
              <w:rPr>
                <w:rFonts w:eastAsia="宋体" w:hint="eastAsia"/>
                <w:color w:val="000000"/>
                <w:lang w:eastAsia="zh-CN"/>
              </w:rPr>
              <w:t>2.4</w:t>
            </w:r>
            <w:r w:rsidRPr="00CA02FA">
              <w:rPr>
                <w:rFonts w:eastAsia="宋体"/>
                <w:color w:val="000000"/>
                <w:lang w:eastAsia="zh-CN"/>
              </w:rPr>
              <w:t>%</w:t>
            </w:r>
            <w:r w:rsidRPr="00CA02FA">
              <w:rPr>
                <w:rFonts w:eastAsia="宋体"/>
                <w:color w:val="000000"/>
                <w:lang w:eastAsia="zh-CN"/>
              </w:rPr>
              <w:t>，</w:t>
            </w:r>
            <w:r w:rsidRPr="00CA02FA">
              <w:rPr>
                <w:rFonts w:eastAsia="宋体" w:hint="eastAsia"/>
                <w:color w:val="000000"/>
                <w:lang w:eastAsia="zh-CN"/>
              </w:rPr>
              <w:t>较前一个月下降</w:t>
            </w:r>
            <w:r w:rsidRPr="00CA02FA">
              <w:rPr>
                <w:rFonts w:eastAsia="宋体" w:hint="eastAsia"/>
                <w:color w:val="000000"/>
                <w:lang w:eastAsia="zh-CN"/>
              </w:rPr>
              <w:t>0.2</w:t>
            </w:r>
            <w:r w:rsidRPr="00CA02FA">
              <w:rPr>
                <w:rFonts w:eastAsia="宋体" w:hint="eastAsia"/>
                <w:color w:val="000000"/>
                <w:lang w:eastAsia="zh-CN"/>
              </w:rPr>
              <w:t>个百分</w:t>
            </w:r>
            <w:r w:rsidR="00BE10E2">
              <w:rPr>
                <w:rFonts w:eastAsia="宋体" w:hint="eastAsia"/>
                <w:color w:val="000000"/>
                <w:lang w:eastAsia="zh-CN"/>
              </w:rPr>
              <w:t>点</w:t>
            </w:r>
            <w:r w:rsidRPr="00CA02FA">
              <w:rPr>
                <w:rFonts w:eastAsia="宋体" w:hint="eastAsia"/>
                <w:color w:val="000000"/>
                <w:lang w:eastAsia="zh-CN"/>
              </w:rPr>
              <w:t>。其中，服务业价格增速为</w:t>
            </w:r>
            <w:r w:rsidRPr="00CA02FA">
              <w:rPr>
                <w:rFonts w:eastAsia="宋体" w:hint="eastAsia"/>
                <w:color w:val="000000"/>
                <w:lang w:eastAsia="zh-CN"/>
              </w:rPr>
              <w:t>3.42%</w:t>
            </w:r>
            <w:r w:rsidRPr="00CA02FA">
              <w:rPr>
                <w:rFonts w:eastAsia="宋体" w:hint="eastAsia"/>
                <w:color w:val="000000"/>
                <w:lang w:eastAsia="zh-CN"/>
              </w:rPr>
              <w:t>，较</w:t>
            </w:r>
            <w:r w:rsidRPr="00CA02FA">
              <w:rPr>
                <w:rFonts w:eastAsia="宋体" w:hint="eastAsia"/>
                <w:color w:val="000000"/>
                <w:lang w:eastAsia="zh-CN"/>
              </w:rPr>
              <w:t>2</w:t>
            </w:r>
            <w:r w:rsidRPr="00CA02FA">
              <w:rPr>
                <w:rFonts w:eastAsia="宋体" w:hint="eastAsia"/>
                <w:color w:val="000000"/>
                <w:lang w:eastAsia="zh-CN"/>
              </w:rPr>
              <w:t>月的</w:t>
            </w:r>
            <w:r w:rsidRPr="00CA02FA">
              <w:rPr>
                <w:rFonts w:eastAsia="宋体" w:hint="eastAsia"/>
                <w:color w:val="000000"/>
                <w:lang w:eastAsia="zh-CN"/>
              </w:rPr>
              <w:t>3.68%</w:t>
            </w:r>
            <w:r w:rsidRPr="00CA02FA">
              <w:rPr>
                <w:rFonts w:eastAsia="宋体" w:hint="eastAsia"/>
                <w:color w:val="000000"/>
                <w:lang w:eastAsia="zh-CN"/>
              </w:rPr>
              <w:t>下降了</w:t>
            </w:r>
            <w:r w:rsidRPr="00CA02FA">
              <w:rPr>
                <w:rFonts w:eastAsia="宋体" w:hint="eastAsia"/>
                <w:color w:val="000000"/>
                <w:lang w:eastAsia="zh-CN"/>
              </w:rPr>
              <w:t>0.26</w:t>
            </w:r>
            <w:r w:rsidRPr="00CA02FA">
              <w:rPr>
                <w:rFonts w:eastAsia="宋体" w:hint="eastAsia"/>
                <w:color w:val="000000"/>
                <w:lang w:eastAsia="zh-CN"/>
              </w:rPr>
              <w:t>个百分点。可以看</w:t>
            </w:r>
            <w:r w:rsidRPr="00CA02FA">
              <w:rPr>
                <w:rFonts w:eastAsia="宋体" w:hint="eastAsia"/>
                <w:color w:val="000000"/>
                <w:lang w:eastAsia="zh-CN"/>
              </w:rPr>
              <w:lastRenderedPageBreak/>
              <w:t>到，降低服务业通胀是未来欧元区核心通胀进一步走低的关键。</w:t>
            </w:r>
          </w:p>
          <w:p w14:paraId="0563A656" w14:textId="77777777" w:rsidR="00CA02FA" w:rsidRPr="00CA02FA" w:rsidRDefault="00CA02FA" w:rsidP="00CA02FA">
            <w:pPr>
              <w:ind w:left="34" w:firstLineChars="234" w:firstLine="562"/>
              <w:contextualSpacing/>
              <w:rPr>
                <w:rFonts w:eastAsia="宋体"/>
                <w:color w:val="000000"/>
                <w:lang w:eastAsia="zh-CN"/>
              </w:rPr>
            </w:pPr>
            <w:r w:rsidRPr="00CA02FA">
              <w:rPr>
                <w:rFonts w:eastAsia="宋体" w:hint="eastAsia"/>
                <w:color w:val="000000"/>
                <w:lang w:eastAsia="zh-CN"/>
              </w:rPr>
              <w:t>从国别来看，</w:t>
            </w:r>
            <w:r w:rsidRPr="00CA02FA">
              <w:rPr>
                <w:rFonts w:eastAsia="宋体" w:hint="eastAsia"/>
                <w:color w:val="000000"/>
                <w:lang w:eastAsia="zh-CN"/>
              </w:rPr>
              <w:t>3</w:t>
            </w:r>
            <w:r w:rsidRPr="00CA02FA">
              <w:rPr>
                <w:rFonts w:eastAsia="宋体" w:hint="eastAsia"/>
                <w:color w:val="000000"/>
                <w:lang w:eastAsia="zh-CN"/>
              </w:rPr>
              <w:t>月德国</w:t>
            </w:r>
            <w:r w:rsidRPr="00CA02FA">
              <w:rPr>
                <w:rFonts w:eastAsia="宋体" w:hint="eastAsia"/>
                <w:color w:val="000000"/>
                <w:lang w:eastAsia="zh-CN"/>
              </w:rPr>
              <w:t>CPI</w:t>
            </w:r>
            <w:r w:rsidRPr="00CA02FA">
              <w:rPr>
                <w:rFonts w:eastAsia="宋体" w:hint="eastAsia"/>
                <w:color w:val="000000"/>
                <w:lang w:eastAsia="zh-CN"/>
              </w:rPr>
              <w:t>指数为</w:t>
            </w:r>
            <w:r w:rsidRPr="00CA02FA">
              <w:rPr>
                <w:rFonts w:eastAsia="宋体" w:hint="eastAsia"/>
                <w:color w:val="000000"/>
                <w:lang w:eastAsia="zh-CN"/>
              </w:rPr>
              <w:t>121</w:t>
            </w:r>
            <w:r w:rsidRPr="00CA02FA">
              <w:rPr>
                <w:rFonts w:eastAsia="宋体" w:hint="eastAsia"/>
                <w:color w:val="000000"/>
                <w:lang w:eastAsia="zh-CN"/>
              </w:rPr>
              <w:t>，同比继续上涨</w:t>
            </w:r>
            <w:r w:rsidRPr="00CA02FA">
              <w:rPr>
                <w:rFonts w:eastAsia="宋体" w:hint="eastAsia"/>
                <w:color w:val="000000"/>
                <w:lang w:eastAsia="zh-CN"/>
              </w:rPr>
              <w:t>2.2</w:t>
            </w:r>
            <w:r w:rsidRPr="00CA02FA">
              <w:rPr>
                <w:rFonts w:eastAsia="宋体" w:hint="eastAsia"/>
                <w:color w:val="000000"/>
                <w:lang w:eastAsia="zh-CN"/>
              </w:rPr>
              <w:t>个百分点。</w:t>
            </w:r>
            <w:r w:rsidRPr="00CA02FA">
              <w:rPr>
                <w:rFonts w:eastAsia="宋体" w:hint="eastAsia"/>
                <w:color w:val="000000"/>
                <w:lang w:eastAsia="zh-CN"/>
              </w:rPr>
              <w:t>3</w:t>
            </w:r>
            <w:r w:rsidRPr="00CA02FA">
              <w:rPr>
                <w:rFonts w:eastAsia="宋体" w:hint="eastAsia"/>
                <w:color w:val="000000"/>
                <w:lang w:eastAsia="zh-CN"/>
              </w:rPr>
              <w:t>月法国</w:t>
            </w:r>
            <w:r w:rsidRPr="00CA02FA">
              <w:rPr>
                <w:rFonts w:eastAsia="宋体" w:hint="eastAsia"/>
                <w:color w:val="000000"/>
                <w:lang w:eastAsia="zh-CN"/>
              </w:rPr>
              <w:t>CPI</w:t>
            </w:r>
            <w:r w:rsidRPr="00CA02FA">
              <w:rPr>
                <w:rFonts w:eastAsia="宋体" w:hint="eastAsia"/>
                <w:color w:val="000000"/>
                <w:lang w:eastAsia="zh-CN"/>
              </w:rPr>
              <w:t>指数为</w:t>
            </w:r>
            <w:r w:rsidRPr="00CA02FA">
              <w:rPr>
                <w:rFonts w:eastAsia="宋体" w:hint="eastAsia"/>
                <w:color w:val="000000"/>
                <w:lang w:eastAsia="zh-CN"/>
              </w:rPr>
              <w:t>120</w:t>
            </w:r>
            <w:r w:rsidRPr="00CA02FA">
              <w:rPr>
                <w:rFonts w:eastAsia="宋体" w:hint="eastAsia"/>
                <w:color w:val="000000"/>
                <w:lang w:eastAsia="zh-CN"/>
              </w:rPr>
              <w:t>，同比上涨</w:t>
            </w:r>
            <w:r w:rsidRPr="00CA02FA">
              <w:rPr>
                <w:rFonts w:eastAsia="宋体" w:hint="eastAsia"/>
                <w:color w:val="000000"/>
                <w:lang w:eastAsia="zh-CN"/>
              </w:rPr>
              <w:t>2.2</w:t>
            </w:r>
            <w:r w:rsidRPr="00CA02FA">
              <w:rPr>
                <w:rFonts w:eastAsia="宋体" w:hint="eastAsia"/>
                <w:color w:val="000000"/>
                <w:lang w:eastAsia="zh-CN"/>
              </w:rPr>
              <w:t>个百分点。</w:t>
            </w:r>
          </w:p>
        </w:tc>
      </w:tr>
      <w:tr w:rsidR="00CA02FA" w:rsidRPr="00CA02FA" w14:paraId="7E75DC51" w14:textId="77777777" w:rsidTr="00D72849">
        <w:trPr>
          <w:trHeight w:val="3374"/>
        </w:trPr>
        <w:tc>
          <w:tcPr>
            <w:tcW w:w="9637" w:type="dxa"/>
            <w:gridSpan w:val="3"/>
            <w:vAlign w:val="center"/>
          </w:tcPr>
          <w:p w14:paraId="6729F103" w14:textId="563C4FC2" w:rsidR="00CA02FA" w:rsidRPr="00CA02FA" w:rsidRDefault="00DB2622" w:rsidP="00D37774">
            <w:pPr>
              <w:pStyle w:val="a4"/>
            </w:pPr>
            <w:bookmarkStart w:id="25" w:name="_Toc520407623"/>
            <w:bookmarkStart w:id="26" w:name="_Toc196399420"/>
            <w:r>
              <w:rPr>
                <w:rFonts w:hint="eastAsia"/>
              </w:rPr>
              <w:lastRenderedPageBreak/>
              <w:t xml:space="preserve">图表 </w:t>
            </w:r>
            <w:r>
              <w:rPr>
                <w:rFonts w:hint="eastAsia"/>
              </w:rPr>
              <w:fldChar w:fldCharType="begin"/>
            </w:r>
            <w:r>
              <w:rPr>
                <w:rFonts w:hint="eastAsia"/>
              </w:rPr>
              <w:instrText xml:space="preserve"> SEQ 图表 \* ARABIC </w:instrText>
            </w:r>
            <w:r>
              <w:rPr>
                <w:rFonts w:hint="eastAsia"/>
              </w:rPr>
              <w:fldChar w:fldCharType="separate"/>
            </w:r>
            <w:r w:rsidR="00530ED7">
              <w:rPr>
                <w:rFonts w:hint="eastAsia"/>
                <w:noProof/>
              </w:rPr>
              <w:t>9</w:t>
            </w:r>
            <w:r>
              <w:rPr>
                <w:rFonts w:hint="eastAsia"/>
              </w:rPr>
              <w:fldChar w:fldCharType="end"/>
            </w:r>
            <w:bookmarkEnd w:id="25"/>
            <w:r w:rsidR="00D37774" w:rsidRPr="00D37774">
              <w:t xml:space="preserve">  </w:t>
            </w:r>
            <w:r w:rsidR="00CA02FA" w:rsidRPr="00CA02FA">
              <w:rPr>
                <w:rFonts w:hint="eastAsia"/>
              </w:rPr>
              <w:t>通胀回升至目标上方</w:t>
            </w:r>
            <w:bookmarkEnd w:id="26"/>
          </w:p>
          <w:p w14:paraId="4F0FF700" w14:textId="77777777" w:rsidR="00CA02FA" w:rsidRPr="00CA02FA" w:rsidRDefault="00CA02FA" w:rsidP="00CA02FA">
            <w:pPr>
              <w:ind w:firstLineChars="0" w:firstLine="480"/>
              <w:jc w:val="center"/>
              <w:rPr>
                <w:rFonts w:eastAsia="宋体"/>
                <w:b/>
                <w:sz w:val="28"/>
                <w:szCs w:val="28"/>
                <w:lang w:eastAsia="zh-CN" w:bidi="ar-SA"/>
              </w:rPr>
            </w:pPr>
            <w:r w:rsidRPr="00CA02FA">
              <w:rPr>
                <w:rFonts w:ascii="等线" w:eastAsia="等线" w:hAnsi="等线"/>
                <w:noProof/>
                <w:sz w:val="21"/>
                <w:szCs w:val="22"/>
                <w:lang w:eastAsia="zh-CN" w:bidi="ar-SA"/>
              </w:rPr>
              <w:drawing>
                <wp:inline distT="0" distB="0" distL="114300" distR="114300" wp14:anchorId="2D683610" wp14:editId="11EED3EA">
                  <wp:extent cx="4392295" cy="2550160"/>
                  <wp:effectExtent l="0" t="0" r="8255" b="25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28"/>
                          <a:stretch>
                            <a:fillRect/>
                          </a:stretch>
                        </pic:blipFill>
                        <pic:spPr>
                          <a:xfrm>
                            <a:off x="0" y="0"/>
                            <a:ext cx="4392295" cy="2550160"/>
                          </a:xfrm>
                          <a:prstGeom prst="rect">
                            <a:avLst/>
                          </a:prstGeom>
                          <a:noFill/>
                          <a:ln>
                            <a:noFill/>
                          </a:ln>
                        </pic:spPr>
                      </pic:pic>
                    </a:graphicData>
                  </a:graphic>
                </wp:inline>
              </w:drawing>
            </w:r>
          </w:p>
          <w:p w14:paraId="32839EF5" w14:textId="77777777" w:rsidR="00CA02FA" w:rsidRPr="00CA02FA" w:rsidRDefault="00CA02FA" w:rsidP="00CA02FA">
            <w:pPr>
              <w:ind w:firstLineChars="0" w:firstLine="562"/>
              <w:jc w:val="center"/>
              <w:rPr>
                <w:rFonts w:eastAsia="宋体"/>
                <w:b/>
                <w:sz w:val="28"/>
                <w:szCs w:val="28"/>
                <w:lang w:eastAsia="zh-CN" w:bidi="ar-SA"/>
              </w:rPr>
            </w:pPr>
          </w:p>
        </w:tc>
      </w:tr>
      <w:tr w:rsidR="00CA02FA" w:rsidRPr="00CA02FA" w14:paraId="133F962C" w14:textId="77777777" w:rsidTr="00D72849">
        <w:trPr>
          <w:trHeight w:val="3374"/>
        </w:trPr>
        <w:tc>
          <w:tcPr>
            <w:tcW w:w="2158" w:type="dxa"/>
          </w:tcPr>
          <w:p w14:paraId="0A91FBED" w14:textId="77777777" w:rsidR="00CA02FA" w:rsidRPr="00CA02FA" w:rsidRDefault="00CA02FA" w:rsidP="00000FFC">
            <w:pPr>
              <w:ind w:firstLineChars="0" w:firstLine="0"/>
              <w:rPr>
                <w:rFonts w:eastAsia="宋体"/>
                <w:b/>
                <w:sz w:val="28"/>
                <w:szCs w:val="28"/>
                <w:lang w:eastAsia="zh-CN" w:bidi="ar-SA"/>
              </w:rPr>
            </w:pPr>
            <w:r w:rsidRPr="00CA02FA">
              <w:rPr>
                <w:rFonts w:eastAsia="楷体" w:hint="eastAsia"/>
                <w:b/>
                <w:lang w:eastAsia="zh-CN" w:bidi="ar-SA"/>
              </w:rPr>
              <w:t>失业率继续稳定在低位。</w:t>
            </w:r>
          </w:p>
        </w:tc>
        <w:tc>
          <w:tcPr>
            <w:tcW w:w="300" w:type="dxa"/>
          </w:tcPr>
          <w:p w14:paraId="1D7A672D" w14:textId="77777777" w:rsidR="00CA02FA" w:rsidRPr="00CA02FA" w:rsidRDefault="00CA02FA" w:rsidP="00CA02FA">
            <w:pPr>
              <w:keepNext/>
              <w:keepLines/>
              <w:spacing w:before="260" w:after="260"/>
              <w:ind w:firstLine="480"/>
              <w:rPr>
                <w:rFonts w:eastAsia="楷体_GB2312"/>
                <w:lang w:eastAsia="zh-CN"/>
              </w:rPr>
            </w:pPr>
          </w:p>
        </w:tc>
        <w:tc>
          <w:tcPr>
            <w:tcW w:w="7179" w:type="dxa"/>
          </w:tcPr>
          <w:p w14:paraId="7BD4E609" w14:textId="77777777" w:rsidR="00CA02FA" w:rsidRPr="00CA02FA" w:rsidRDefault="00CA02FA" w:rsidP="00CA02FA">
            <w:pPr>
              <w:ind w:left="34" w:firstLineChars="234" w:firstLine="564"/>
              <w:contextualSpacing/>
              <w:rPr>
                <w:rFonts w:eastAsia="宋体"/>
                <w:color w:val="000000"/>
                <w:lang w:eastAsia="zh-CN"/>
              </w:rPr>
            </w:pPr>
            <w:r w:rsidRPr="00CA02FA">
              <w:rPr>
                <w:rFonts w:eastAsia="宋体" w:hint="eastAsia"/>
                <w:b/>
                <w:color w:val="000000"/>
                <w:lang w:eastAsia="zh-CN"/>
              </w:rPr>
              <w:t>失业率继续稳定在低位</w:t>
            </w:r>
            <w:r w:rsidRPr="00CA02FA">
              <w:rPr>
                <w:rFonts w:eastAsia="宋体"/>
                <w:b/>
                <w:color w:val="000000"/>
                <w:lang w:eastAsia="zh-CN"/>
              </w:rPr>
              <w:t>。</w:t>
            </w:r>
            <w:r w:rsidRPr="00CA02FA">
              <w:rPr>
                <w:rFonts w:eastAsia="宋体" w:hint="eastAsia"/>
                <w:bCs/>
                <w:color w:val="000000"/>
                <w:lang w:eastAsia="zh-CN"/>
              </w:rPr>
              <w:t>2</w:t>
            </w:r>
            <w:r w:rsidRPr="00CA02FA">
              <w:rPr>
                <w:rFonts w:eastAsia="宋体"/>
                <w:bCs/>
                <w:color w:val="000000"/>
                <w:lang w:eastAsia="zh-CN"/>
              </w:rPr>
              <w:t>02</w:t>
            </w:r>
            <w:r w:rsidRPr="00CA02FA">
              <w:rPr>
                <w:rFonts w:eastAsia="宋体" w:hint="eastAsia"/>
                <w:bCs/>
                <w:color w:val="000000"/>
                <w:lang w:eastAsia="zh-CN"/>
              </w:rPr>
              <w:t>5</w:t>
            </w:r>
            <w:r w:rsidRPr="00CA02FA">
              <w:rPr>
                <w:rFonts w:eastAsia="宋体" w:hint="eastAsia"/>
                <w:bCs/>
                <w:color w:val="000000"/>
                <w:lang w:eastAsia="zh-CN"/>
              </w:rPr>
              <w:t>年</w:t>
            </w:r>
            <w:r w:rsidRPr="00CA02FA">
              <w:rPr>
                <w:rFonts w:eastAsia="宋体" w:hint="eastAsia"/>
                <w:bCs/>
                <w:color w:val="000000"/>
                <w:lang w:eastAsia="zh-CN"/>
              </w:rPr>
              <w:t>2</w:t>
            </w:r>
            <w:r w:rsidRPr="00CA02FA">
              <w:rPr>
                <w:rFonts w:eastAsia="宋体"/>
                <w:color w:val="000000"/>
                <w:lang w:eastAsia="zh-CN"/>
              </w:rPr>
              <w:t>月欧元区</w:t>
            </w:r>
            <w:r w:rsidRPr="00CA02FA">
              <w:rPr>
                <w:rFonts w:eastAsia="宋体"/>
                <w:color w:val="000000"/>
                <w:lang w:eastAsia="zh-CN"/>
              </w:rPr>
              <w:t>20</w:t>
            </w:r>
            <w:r w:rsidRPr="00CA02FA">
              <w:rPr>
                <w:rFonts w:eastAsia="宋体"/>
                <w:color w:val="000000"/>
                <w:lang w:eastAsia="zh-CN"/>
              </w:rPr>
              <w:t>国</w:t>
            </w:r>
            <w:r w:rsidRPr="00CA02FA">
              <w:rPr>
                <w:rFonts w:eastAsia="宋体" w:hint="eastAsia"/>
                <w:color w:val="000000"/>
                <w:lang w:eastAsia="zh-CN"/>
              </w:rPr>
              <w:t>经季节性调整后的</w:t>
            </w:r>
            <w:r w:rsidRPr="00CA02FA">
              <w:rPr>
                <w:rFonts w:eastAsia="宋体"/>
                <w:color w:val="000000"/>
                <w:lang w:eastAsia="zh-CN"/>
              </w:rPr>
              <w:t>失业率</w:t>
            </w:r>
            <w:r w:rsidRPr="00CA02FA">
              <w:rPr>
                <w:rFonts w:eastAsia="宋体" w:hint="eastAsia"/>
                <w:color w:val="000000"/>
                <w:lang w:eastAsia="zh-CN"/>
              </w:rPr>
              <w:t>为</w:t>
            </w:r>
            <w:r w:rsidRPr="00CA02FA">
              <w:rPr>
                <w:rFonts w:eastAsia="宋体"/>
                <w:color w:val="000000"/>
                <w:lang w:eastAsia="zh-CN"/>
              </w:rPr>
              <w:t>6.</w:t>
            </w:r>
            <w:r w:rsidRPr="00CA02FA">
              <w:rPr>
                <w:rFonts w:eastAsia="宋体" w:hint="eastAsia"/>
                <w:color w:val="000000"/>
                <w:lang w:eastAsia="zh-CN"/>
              </w:rPr>
              <w:t>1</w:t>
            </w:r>
            <w:r w:rsidRPr="00CA02FA">
              <w:rPr>
                <w:rFonts w:eastAsia="宋体"/>
                <w:color w:val="000000"/>
                <w:lang w:eastAsia="zh-CN"/>
              </w:rPr>
              <w:t>%</w:t>
            </w:r>
            <w:r w:rsidRPr="00CA02FA">
              <w:rPr>
                <w:rFonts w:eastAsia="宋体"/>
                <w:color w:val="000000"/>
                <w:lang w:eastAsia="zh-CN"/>
              </w:rPr>
              <w:t>，</w:t>
            </w:r>
            <w:r w:rsidRPr="00CA02FA">
              <w:rPr>
                <w:rFonts w:eastAsia="宋体" w:hint="eastAsia"/>
                <w:color w:val="000000"/>
                <w:lang w:eastAsia="zh-CN"/>
              </w:rPr>
              <w:t>与</w:t>
            </w:r>
            <w:r w:rsidRPr="00CA02FA">
              <w:rPr>
                <w:rFonts w:eastAsia="宋体" w:hint="eastAsia"/>
                <w:color w:val="000000"/>
                <w:lang w:eastAsia="zh-CN"/>
              </w:rPr>
              <w:t>2025</w:t>
            </w:r>
            <w:r w:rsidRPr="00CA02FA">
              <w:rPr>
                <w:rFonts w:eastAsia="宋体" w:hint="eastAsia"/>
                <w:color w:val="000000"/>
                <w:lang w:eastAsia="zh-CN"/>
              </w:rPr>
              <w:t>年</w:t>
            </w:r>
            <w:r w:rsidRPr="00CA02FA">
              <w:rPr>
                <w:rFonts w:eastAsia="宋体" w:hint="eastAsia"/>
                <w:color w:val="000000"/>
                <w:lang w:eastAsia="zh-CN"/>
              </w:rPr>
              <w:t>1</w:t>
            </w:r>
            <w:r w:rsidRPr="00CA02FA">
              <w:rPr>
                <w:rFonts w:eastAsia="宋体" w:hint="eastAsia"/>
                <w:color w:val="000000"/>
                <w:lang w:eastAsia="zh-CN"/>
              </w:rPr>
              <w:t>月下降</w:t>
            </w:r>
            <w:r w:rsidRPr="00CA02FA">
              <w:rPr>
                <w:rFonts w:eastAsia="宋体" w:hint="eastAsia"/>
                <w:color w:val="000000"/>
                <w:lang w:eastAsia="zh-CN"/>
              </w:rPr>
              <w:t>0.1</w:t>
            </w:r>
            <w:r w:rsidRPr="00CA02FA">
              <w:rPr>
                <w:rFonts w:eastAsia="宋体" w:hint="eastAsia"/>
                <w:color w:val="000000"/>
                <w:lang w:eastAsia="zh-CN"/>
              </w:rPr>
              <w:t>个百分点，表明欧元区劳动力市场表现依旧良好。</w:t>
            </w:r>
            <w:r w:rsidRPr="00CA02FA">
              <w:rPr>
                <w:rFonts w:eastAsia="宋体" w:hint="eastAsia"/>
                <w:color w:val="000000"/>
                <w:lang w:eastAsia="zh-CN"/>
              </w:rPr>
              <w:t>2</w:t>
            </w:r>
            <w:r w:rsidRPr="00CA02FA">
              <w:rPr>
                <w:rFonts w:eastAsia="宋体" w:hint="eastAsia"/>
                <w:color w:val="000000"/>
                <w:lang w:eastAsia="zh-CN"/>
              </w:rPr>
              <w:t>月欧元区</w:t>
            </w:r>
            <w:r w:rsidRPr="00CA02FA">
              <w:rPr>
                <w:rFonts w:eastAsia="宋体" w:hint="eastAsia"/>
                <w:color w:val="000000"/>
                <w:lang w:eastAsia="zh-CN"/>
              </w:rPr>
              <w:t>20</w:t>
            </w:r>
            <w:r w:rsidRPr="00CA02FA">
              <w:rPr>
                <w:rFonts w:eastAsia="宋体" w:hint="eastAsia"/>
                <w:color w:val="000000"/>
                <w:lang w:eastAsia="zh-CN"/>
              </w:rPr>
              <w:t>国失业人数为</w:t>
            </w:r>
            <w:r w:rsidRPr="00CA02FA">
              <w:rPr>
                <w:rFonts w:eastAsia="宋体" w:hint="eastAsia"/>
                <w:color w:val="000000"/>
                <w:lang w:eastAsia="zh-CN"/>
              </w:rPr>
              <w:t>1058</w:t>
            </w:r>
            <w:r w:rsidRPr="00CA02FA">
              <w:rPr>
                <w:rFonts w:eastAsia="宋体" w:hint="eastAsia"/>
                <w:color w:val="000000"/>
                <w:lang w:eastAsia="zh-CN"/>
              </w:rPr>
              <w:t>万，比前一个月减少了</w:t>
            </w:r>
            <w:r w:rsidRPr="00CA02FA">
              <w:rPr>
                <w:rFonts w:eastAsia="宋体" w:hint="eastAsia"/>
                <w:color w:val="000000"/>
                <w:lang w:eastAsia="zh-CN"/>
              </w:rPr>
              <w:t>70</w:t>
            </w:r>
            <w:r w:rsidRPr="00CA02FA">
              <w:rPr>
                <w:rFonts w:eastAsia="宋体" w:hint="eastAsia"/>
                <w:color w:val="000000"/>
                <w:lang w:eastAsia="zh-CN"/>
              </w:rPr>
              <w:t>万人，较</w:t>
            </w:r>
            <w:r w:rsidRPr="00CA02FA">
              <w:rPr>
                <w:rFonts w:eastAsia="宋体" w:hint="eastAsia"/>
                <w:color w:val="000000"/>
                <w:lang w:eastAsia="zh-CN"/>
              </w:rPr>
              <w:t>2023</w:t>
            </w:r>
            <w:r w:rsidRPr="00CA02FA">
              <w:rPr>
                <w:rFonts w:eastAsia="宋体" w:hint="eastAsia"/>
                <w:color w:val="000000"/>
                <w:lang w:eastAsia="zh-CN"/>
              </w:rPr>
              <w:t>年同期减少了</w:t>
            </w:r>
            <w:r w:rsidRPr="00CA02FA">
              <w:rPr>
                <w:rFonts w:eastAsia="宋体" w:hint="eastAsia"/>
                <w:color w:val="000000"/>
                <w:lang w:eastAsia="zh-CN"/>
              </w:rPr>
              <w:t>64</w:t>
            </w:r>
            <w:r w:rsidRPr="00CA02FA">
              <w:rPr>
                <w:rFonts w:eastAsia="宋体" w:hint="eastAsia"/>
                <w:color w:val="000000"/>
                <w:lang w:eastAsia="zh-CN"/>
              </w:rPr>
              <w:t>万人。</w:t>
            </w:r>
            <w:r w:rsidRPr="00CA02FA">
              <w:rPr>
                <w:rFonts w:eastAsia="宋体" w:hint="eastAsia"/>
                <w:color w:val="000000"/>
                <w:lang w:eastAsia="zh-CN"/>
              </w:rPr>
              <w:t>2025</w:t>
            </w:r>
            <w:r w:rsidRPr="00CA02FA">
              <w:rPr>
                <w:rFonts w:eastAsia="宋体" w:hint="eastAsia"/>
                <w:color w:val="000000"/>
                <w:lang w:eastAsia="zh-CN"/>
              </w:rPr>
              <w:t>年</w:t>
            </w:r>
            <w:r w:rsidRPr="00CA02FA">
              <w:rPr>
                <w:rFonts w:eastAsia="宋体" w:hint="eastAsia"/>
                <w:color w:val="000000"/>
                <w:lang w:eastAsia="zh-CN"/>
              </w:rPr>
              <w:t>2</w:t>
            </w:r>
            <w:r w:rsidRPr="00CA02FA">
              <w:rPr>
                <w:rFonts w:eastAsia="宋体" w:hint="eastAsia"/>
                <w:color w:val="000000"/>
                <w:lang w:eastAsia="zh-CN"/>
              </w:rPr>
              <w:t>月欧元区</w:t>
            </w:r>
            <w:r w:rsidRPr="00CA02FA">
              <w:rPr>
                <w:rFonts w:eastAsia="宋体" w:hint="eastAsia"/>
                <w:color w:val="000000"/>
                <w:lang w:eastAsia="zh-CN"/>
              </w:rPr>
              <w:t>20</w:t>
            </w:r>
            <w:r w:rsidRPr="00CA02FA">
              <w:rPr>
                <w:rFonts w:eastAsia="宋体" w:hint="eastAsia"/>
                <w:color w:val="000000"/>
                <w:lang w:eastAsia="zh-CN"/>
              </w:rPr>
              <w:t>国青年失业率为</w:t>
            </w:r>
            <w:r w:rsidRPr="00CA02FA">
              <w:rPr>
                <w:rFonts w:eastAsia="宋体" w:hint="eastAsia"/>
                <w:color w:val="000000"/>
                <w:lang w:eastAsia="zh-CN"/>
              </w:rPr>
              <w:t>14.2%</w:t>
            </w:r>
            <w:r w:rsidRPr="00CA02FA">
              <w:rPr>
                <w:rFonts w:eastAsia="宋体" w:hint="eastAsia"/>
                <w:color w:val="000000"/>
                <w:lang w:eastAsia="zh-CN"/>
              </w:rPr>
              <w:t>，较</w:t>
            </w:r>
            <w:r w:rsidRPr="00CA02FA">
              <w:rPr>
                <w:rFonts w:eastAsia="宋体" w:hint="eastAsia"/>
                <w:color w:val="000000"/>
                <w:lang w:eastAsia="zh-CN"/>
              </w:rPr>
              <w:t>1</w:t>
            </w:r>
            <w:r w:rsidRPr="00CA02FA">
              <w:rPr>
                <w:rFonts w:eastAsia="宋体" w:hint="eastAsia"/>
                <w:color w:val="000000"/>
                <w:lang w:eastAsia="zh-CN"/>
              </w:rPr>
              <w:t>月上升了</w:t>
            </w:r>
            <w:r w:rsidRPr="00CA02FA">
              <w:rPr>
                <w:rFonts w:eastAsia="宋体" w:hint="eastAsia"/>
                <w:color w:val="000000"/>
                <w:lang w:eastAsia="zh-CN"/>
              </w:rPr>
              <w:t>0.1</w:t>
            </w:r>
            <w:r w:rsidRPr="00CA02FA">
              <w:rPr>
                <w:rFonts w:eastAsia="宋体" w:hint="eastAsia"/>
                <w:color w:val="000000"/>
                <w:lang w:eastAsia="zh-CN"/>
              </w:rPr>
              <w:t>个百分点。</w:t>
            </w:r>
          </w:p>
          <w:p w14:paraId="3189EC6B" w14:textId="77777777" w:rsidR="00CA02FA" w:rsidRPr="00CA02FA" w:rsidRDefault="00CA02FA" w:rsidP="00CA02FA">
            <w:pPr>
              <w:ind w:left="34" w:firstLineChars="234" w:firstLine="562"/>
              <w:contextualSpacing/>
              <w:rPr>
                <w:rFonts w:eastAsia="宋体"/>
                <w:color w:val="000000"/>
                <w:lang w:eastAsia="zh-CN"/>
              </w:rPr>
            </w:pPr>
            <w:r w:rsidRPr="00CA02FA">
              <w:rPr>
                <w:rFonts w:eastAsia="宋体" w:hint="eastAsia"/>
                <w:color w:val="000000"/>
                <w:lang w:eastAsia="zh-CN"/>
              </w:rPr>
              <w:t>分国家来看，</w:t>
            </w:r>
            <w:r w:rsidRPr="00CA02FA">
              <w:rPr>
                <w:rFonts w:eastAsia="宋体" w:hint="eastAsia"/>
                <w:color w:val="000000"/>
                <w:lang w:eastAsia="zh-CN"/>
              </w:rPr>
              <w:t>3</w:t>
            </w:r>
            <w:r w:rsidRPr="00CA02FA">
              <w:rPr>
                <w:rFonts w:eastAsia="宋体" w:hint="eastAsia"/>
                <w:color w:val="000000"/>
                <w:lang w:eastAsia="zh-CN"/>
              </w:rPr>
              <w:t>月德国失业率为</w:t>
            </w:r>
            <w:r w:rsidRPr="00CA02FA">
              <w:rPr>
                <w:rFonts w:eastAsia="宋体" w:hint="eastAsia"/>
                <w:color w:val="000000"/>
                <w:lang w:eastAsia="zh-CN"/>
              </w:rPr>
              <w:t>6.4%</w:t>
            </w:r>
            <w:r w:rsidRPr="00CA02FA">
              <w:rPr>
                <w:rFonts w:eastAsia="宋体" w:hint="eastAsia"/>
                <w:color w:val="000000"/>
                <w:lang w:eastAsia="zh-CN"/>
              </w:rPr>
              <w:t>，连续第三个月保持在该水平。</w:t>
            </w:r>
            <w:r w:rsidRPr="00CA02FA">
              <w:rPr>
                <w:rFonts w:eastAsia="宋体" w:hint="eastAsia"/>
                <w:color w:val="000000"/>
                <w:lang w:eastAsia="zh-CN"/>
              </w:rPr>
              <w:t>2</w:t>
            </w:r>
            <w:r w:rsidRPr="00CA02FA">
              <w:rPr>
                <w:rFonts w:eastAsia="宋体" w:hint="eastAsia"/>
                <w:color w:val="000000"/>
                <w:lang w:eastAsia="zh-CN"/>
              </w:rPr>
              <w:t>月意大利失业率下降</w:t>
            </w:r>
            <w:r w:rsidRPr="00CA02FA">
              <w:rPr>
                <w:rFonts w:eastAsia="宋体" w:hint="eastAsia"/>
                <w:color w:val="000000"/>
                <w:lang w:eastAsia="zh-CN"/>
              </w:rPr>
              <w:t>0.3</w:t>
            </w:r>
            <w:r w:rsidRPr="00CA02FA">
              <w:rPr>
                <w:rFonts w:eastAsia="宋体" w:hint="eastAsia"/>
                <w:color w:val="000000"/>
                <w:lang w:eastAsia="zh-CN"/>
              </w:rPr>
              <w:t>个百分点至</w:t>
            </w:r>
            <w:r w:rsidRPr="00CA02FA">
              <w:rPr>
                <w:rFonts w:eastAsia="宋体" w:hint="eastAsia"/>
                <w:color w:val="000000"/>
                <w:lang w:eastAsia="zh-CN"/>
              </w:rPr>
              <w:t>5.9%</w:t>
            </w:r>
            <w:r w:rsidRPr="00CA02FA">
              <w:rPr>
                <w:rFonts w:eastAsia="宋体" w:hint="eastAsia"/>
                <w:color w:val="000000"/>
                <w:lang w:eastAsia="zh-CN"/>
              </w:rPr>
              <w:t>，法国失业率上升</w:t>
            </w:r>
            <w:r w:rsidRPr="00CA02FA">
              <w:rPr>
                <w:rFonts w:eastAsia="宋体" w:hint="eastAsia"/>
                <w:color w:val="000000"/>
                <w:lang w:eastAsia="zh-CN"/>
              </w:rPr>
              <w:t>0.1</w:t>
            </w:r>
            <w:r w:rsidRPr="00CA02FA">
              <w:rPr>
                <w:rFonts w:eastAsia="宋体" w:hint="eastAsia"/>
                <w:color w:val="000000"/>
                <w:lang w:eastAsia="zh-CN"/>
              </w:rPr>
              <w:t>个百分点至</w:t>
            </w:r>
            <w:r w:rsidRPr="00CA02FA">
              <w:rPr>
                <w:rFonts w:eastAsia="宋体" w:hint="eastAsia"/>
                <w:color w:val="000000"/>
                <w:lang w:eastAsia="zh-CN"/>
              </w:rPr>
              <w:t>7.4%</w:t>
            </w:r>
            <w:r w:rsidRPr="00CA02FA">
              <w:rPr>
                <w:rFonts w:eastAsia="宋体" w:hint="eastAsia"/>
                <w:color w:val="000000"/>
                <w:lang w:eastAsia="zh-CN"/>
              </w:rPr>
              <w:t>，西班牙失业率相较于三个月前下降</w:t>
            </w:r>
            <w:r w:rsidRPr="00CA02FA">
              <w:rPr>
                <w:rFonts w:eastAsia="宋体" w:hint="eastAsia"/>
                <w:color w:val="000000"/>
                <w:lang w:eastAsia="zh-CN"/>
              </w:rPr>
              <w:t>0.3</w:t>
            </w:r>
            <w:r w:rsidRPr="00CA02FA">
              <w:rPr>
                <w:rFonts w:eastAsia="宋体" w:hint="eastAsia"/>
                <w:color w:val="000000"/>
                <w:lang w:eastAsia="zh-CN"/>
              </w:rPr>
              <w:t>个百分点，为</w:t>
            </w:r>
            <w:r w:rsidRPr="00CA02FA">
              <w:rPr>
                <w:rFonts w:eastAsia="宋体" w:hint="eastAsia"/>
                <w:color w:val="000000"/>
                <w:lang w:eastAsia="zh-CN"/>
              </w:rPr>
              <w:t>10.4%</w:t>
            </w:r>
            <w:r w:rsidRPr="00CA02FA">
              <w:rPr>
                <w:rFonts w:eastAsia="宋体" w:hint="eastAsia"/>
                <w:color w:val="000000"/>
                <w:lang w:eastAsia="zh-CN"/>
              </w:rPr>
              <w:t>。</w:t>
            </w:r>
          </w:p>
        </w:tc>
      </w:tr>
      <w:tr w:rsidR="00CA02FA" w:rsidRPr="00CA02FA" w14:paraId="4A6FCE0A" w14:textId="77777777" w:rsidTr="00D72849">
        <w:trPr>
          <w:trHeight w:val="3625"/>
        </w:trPr>
        <w:tc>
          <w:tcPr>
            <w:tcW w:w="9637" w:type="dxa"/>
            <w:gridSpan w:val="3"/>
            <w:vAlign w:val="center"/>
          </w:tcPr>
          <w:p w14:paraId="0970CC89" w14:textId="5C4C1AEF" w:rsidR="00CA02FA" w:rsidRPr="00CA02FA" w:rsidRDefault="00DB2622" w:rsidP="00D37774">
            <w:pPr>
              <w:pStyle w:val="a4"/>
            </w:pPr>
            <w:bookmarkStart w:id="27" w:name="_Toc520407624"/>
            <w:bookmarkStart w:id="28" w:name="_Toc196399421"/>
            <w:r>
              <w:rPr>
                <w:rFonts w:hint="eastAsia"/>
              </w:rPr>
              <w:lastRenderedPageBreak/>
              <w:t xml:space="preserve">图表 </w:t>
            </w:r>
            <w:r>
              <w:rPr>
                <w:rFonts w:hint="eastAsia"/>
              </w:rPr>
              <w:fldChar w:fldCharType="begin"/>
            </w:r>
            <w:r>
              <w:rPr>
                <w:rFonts w:hint="eastAsia"/>
              </w:rPr>
              <w:instrText xml:space="preserve"> SEQ 图表 \* ARABIC </w:instrText>
            </w:r>
            <w:r>
              <w:rPr>
                <w:rFonts w:hint="eastAsia"/>
              </w:rPr>
              <w:fldChar w:fldCharType="separate"/>
            </w:r>
            <w:r w:rsidR="00530ED7">
              <w:rPr>
                <w:rFonts w:hint="eastAsia"/>
                <w:noProof/>
              </w:rPr>
              <w:t>10</w:t>
            </w:r>
            <w:r>
              <w:rPr>
                <w:rFonts w:hint="eastAsia"/>
              </w:rPr>
              <w:fldChar w:fldCharType="end"/>
            </w:r>
            <w:bookmarkEnd w:id="27"/>
            <w:r w:rsidR="00D37774" w:rsidRPr="00D37774">
              <w:t xml:space="preserve">  </w:t>
            </w:r>
            <w:r w:rsidR="00CA02FA" w:rsidRPr="00CA02FA">
              <w:rPr>
                <w:rFonts w:hint="eastAsia"/>
              </w:rPr>
              <w:t>失业率继续稳定在低位</w:t>
            </w:r>
            <w:bookmarkEnd w:id="28"/>
          </w:p>
          <w:p w14:paraId="4763603D" w14:textId="77777777" w:rsidR="00CA02FA" w:rsidRPr="00CA02FA" w:rsidRDefault="00CA02FA" w:rsidP="00CA02FA">
            <w:pPr>
              <w:ind w:firstLineChars="0" w:firstLine="480"/>
              <w:jc w:val="center"/>
              <w:rPr>
                <w:rFonts w:eastAsia="宋体"/>
                <w:b/>
                <w:iCs/>
                <w:color w:val="FF0000"/>
              </w:rPr>
            </w:pPr>
            <w:r w:rsidRPr="00CA02FA">
              <w:rPr>
                <w:rFonts w:ascii="等线" w:eastAsia="等线" w:hAnsi="等线"/>
                <w:noProof/>
                <w:sz w:val="21"/>
                <w:szCs w:val="22"/>
                <w:lang w:eastAsia="zh-CN" w:bidi="ar-SA"/>
              </w:rPr>
              <w:drawing>
                <wp:inline distT="0" distB="0" distL="114300" distR="114300" wp14:anchorId="12447228" wp14:editId="66DC1A35">
                  <wp:extent cx="4713605" cy="2738755"/>
                  <wp:effectExtent l="0" t="0" r="10795" b="4445"/>
                  <wp:docPr id="2145779861" name="图片 2145779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29"/>
                          <a:stretch>
                            <a:fillRect/>
                          </a:stretch>
                        </pic:blipFill>
                        <pic:spPr>
                          <a:xfrm>
                            <a:off x="0" y="0"/>
                            <a:ext cx="4713605" cy="2738755"/>
                          </a:xfrm>
                          <a:prstGeom prst="rect">
                            <a:avLst/>
                          </a:prstGeom>
                          <a:noFill/>
                          <a:ln>
                            <a:noFill/>
                          </a:ln>
                        </pic:spPr>
                      </pic:pic>
                    </a:graphicData>
                  </a:graphic>
                </wp:inline>
              </w:drawing>
            </w:r>
          </w:p>
        </w:tc>
      </w:tr>
      <w:tr w:rsidR="00CA02FA" w:rsidRPr="00CA02FA" w14:paraId="63215690" w14:textId="77777777" w:rsidTr="00D72849">
        <w:trPr>
          <w:trHeight w:val="3374"/>
        </w:trPr>
        <w:tc>
          <w:tcPr>
            <w:tcW w:w="2158" w:type="dxa"/>
          </w:tcPr>
          <w:p w14:paraId="3E403338" w14:textId="77777777" w:rsidR="00CA02FA" w:rsidRPr="00CA02FA" w:rsidRDefault="00CA02FA" w:rsidP="00CA02FA">
            <w:pPr>
              <w:spacing w:beforeLines="50" w:before="163"/>
              <w:ind w:firstLineChars="0" w:firstLine="562"/>
              <w:rPr>
                <w:rFonts w:eastAsia="宋体"/>
                <w:b/>
                <w:sz w:val="28"/>
                <w:szCs w:val="28"/>
                <w:lang w:eastAsia="zh-CN" w:bidi="ar-SA"/>
              </w:rPr>
            </w:pPr>
          </w:p>
          <w:p w14:paraId="3FF9C02A" w14:textId="77777777" w:rsidR="00CA02FA" w:rsidRPr="00CA02FA" w:rsidRDefault="00CA02FA" w:rsidP="00CA02FA">
            <w:pPr>
              <w:ind w:firstLineChars="0" w:firstLine="482"/>
              <w:rPr>
                <w:rFonts w:ascii="楷体" w:eastAsia="楷体" w:hAnsi="楷体"/>
                <w:b/>
                <w:lang w:eastAsia="zh-CN" w:bidi="ar-SA"/>
              </w:rPr>
            </w:pPr>
            <w:r w:rsidRPr="00CA02FA">
              <w:rPr>
                <w:rFonts w:ascii="楷体" w:eastAsia="楷体" w:hAnsi="楷体" w:hint="eastAsia"/>
                <w:b/>
                <w:color w:val="000000"/>
                <w:lang w:eastAsia="zh-CN" w:bidi="ar-SA"/>
              </w:rPr>
              <w:t>消费者信心持续下滑。</w:t>
            </w:r>
          </w:p>
        </w:tc>
        <w:tc>
          <w:tcPr>
            <w:tcW w:w="300" w:type="dxa"/>
          </w:tcPr>
          <w:p w14:paraId="6B4DD669" w14:textId="77777777" w:rsidR="00CA02FA" w:rsidRPr="00CA02FA" w:rsidRDefault="00CA02FA" w:rsidP="00CA02FA">
            <w:pPr>
              <w:keepNext/>
              <w:keepLines/>
              <w:spacing w:before="260" w:after="260"/>
              <w:ind w:firstLine="480"/>
              <w:rPr>
                <w:rFonts w:eastAsia="楷体_GB2312"/>
                <w:lang w:eastAsia="zh-CN"/>
              </w:rPr>
            </w:pPr>
          </w:p>
        </w:tc>
        <w:tc>
          <w:tcPr>
            <w:tcW w:w="7179" w:type="dxa"/>
          </w:tcPr>
          <w:p w14:paraId="24275B1B" w14:textId="77777777" w:rsidR="00CA02FA" w:rsidRPr="00CA02FA" w:rsidRDefault="00CA02FA" w:rsidP="001244F7">
            <w:pPr>
              <w:ind w:firstLineChars="0" w:firstLine="0"/>
              <w:contextualSpacing/>
              <w:rPr>
                <w:rFonts w:eastAsia="宋体"/>
                <w:b/>
                <w:sz w:val="28"/>
                <w:szCs w:val="28"/>
                <w:lang w:eastAsia="zh-CN" w:bidi="ar-SA"/>
              </w:rPr>
            </w:pPr>
            <w:r w:rsidRPr="00CA02FA">
              <w:rPr>
                <w:rFonts w:eastAsia="宋体"/>
                <w:b/>
                <w:sz w:val="28"/>
                <w:szCs w:val="28"/>
                <w:lang w:eastAsia="zh-CN" w:bidi="ar-SA"/>
              </w:rPr>
              <w:t>二、支出法</w:t>
            </w:r>
            <w:r w:rsidRPr="00CA02FA">
              <w:rPr>
                <w:rFonts w:eastAsia="宋体" w:hint="eastAsia"/>
                <w:b/>
                <w:sz w:val="28"/>
                <w:szCs w:val="28"/>
                <w:lang w:eastAsia="zh-CN" w:bidi="ar-SA"/>
              </w:rPr>
              <w:t>G</w:t>
            </w:r>
            <w:r w:rsidRPr="00CA02FA">
              <w:rPr>
                <w:rFonts w:eastAsia="宋体"/>
                <w:b/>
                <w:sz w:val="28"/>
                <w:szCs w:val="28"/>
                <w:lang w:eastAsia="zh-CN" w:bidi="ar-SA"/>
              </w:rPr>
              <w:t>DP</w:t>
            </w:r>
            <w:r w:rsidRPr="00CA02FA">
              <w:rPr>
                <w:rFonts w:eastAsia="宋体"/>
                <w:b/>
                <w:sz w:val="28"/>
                <w:szCs w:val="28"/>
                <w:lang w:eastAsia="zh-CN" w:bidi="ar-SA"/>
              </w:rPr>
              <w:t>分解</w:t>
            </w:r>
          </w:p>
          <w:p w14:paraId="14DED016" w14:textId="77777777" w:rsidR="00CA02FA" w:rsidRPr="00CA02FA" w:rsidRDefault="00CA02FA" w:rsidP="00CA02FA">
            <w:pPr>
              <w:ind w:left="34" w:firstLineChars="234" w:firstLine="564"/>
              <w:contextualSpacing/>
              <w:rPr>
                <w:rFonts w:eastAsia="宋体"/>
                <w:color w:val="000000"/>
                <w:lang w:eastAsia="zh-CN"/>
              </w:rPr>
            </w:pPr>
            <w:r w:rsidRPr="00CA02FA">
              <w:rPr>
                <w:rFonts w:eastAsia="宋体" w:hint="eastAsia"/>
                <w:b/>
                <w:color w:val="000000"/>
                <w:lang w:eastAsia="zh-CN"/>
              </w:rPr>
              <w:t>消费者信心持续下滑</w:t>
            </w:r>
            <w:r w:rsidRPr="00CA02FA">
              <w:rPr>
                <w:rFonts w:eastAsia="宋体"/>
                <w:b/>
                <w:color w:val="000000"/>
                <w:lang w:eastAsia="zh-CN"/>
              </w:rPr>
              <w:t>。</w:t>
            </w:r>
            <w:r w:rsidRPr="00CA02FA">
              <w:rPr>
                <w:rFonts w:eastAsia="宋体" w:hint="eastAsia"/>
                <w:bCs/>
                <w:color w:val="000000"/>
                <w:lang w:eastAsia="zh-CN"/>
              </w:rPr>
              <w:t>2025</w:t>
            </w:r>
            <w:r w:rsidRPr="00CA02FA">
              <w:rPr>
                <w:rFonts w:eastAsia="宋体" w:hint="eastAsia"/>
                <w:bCs/>
                <w:color w:val="000000"/>
                <w:lang w:eastAsia="zh-CN"/>
              </w:rPr>
              <w:t>年第</w:t>
            </w:r>
            <w:r w:rsidRPr="00CA02FA">
              <w:rPr>
                <w:rFonts w:eastAsia="宋体" w:hint="eastAsia"/>
                <w:bCs/>
                <w:color w:val="000000"/>
                <w:lang w:eastAsia="zh-CN"/>
              </w:rPr>
              <w:t>1</w:t>
            </w:r>
            <w:r w:rsidRPr="00CA02FA">
              <w:rPr>
                <w:rFonts w:eastAsia="宋体" w:hint="eastAsia"/>
                <w:bCs/>
                <w:color w:val="000000"/>
                <w:lang w:eastAsia="zh-CN"/>
              </w:rPr>
              <w:t>季度，受经济复苏乏力的影响，</w:t>
            </w:r>
            <w:r w:rsidRPr="00CA02FA">
              <w:rPr>
                <w:rFonts w:eastAsia="宋体" w:hint="eastAsia"/>
                <w:color w:val="000000"/>
                <w:lang w:eastAsia="zh-CN"/>
              </w:rPr>
              <w:t>欧元区消费者信心持续下滑。</w:t>
            </w:r>
            <w:r w:rsidRPr="00CA02FA">
              <w:rPr>
                <w:rFonts w:eastAsia="宋体" w:hint="eastAsia"/>
                <w:color w:val="000000"/>
                <w:lang w:eastAsia="zh-CN"/>
              </w:rPr>
              <w:t>3</w:t>
            </w:r>
            <w:r w:rsidRPr="00CA02FA">
              <w:rPr>
                <w:rFonts w:eastAsia="宋体" w:hint="eastAsia"/>
                <w:color w:val="000000"/>
                <w:lang w:eastAsia="zh-CN"/>
              </w:rPr>
              <w:t>月欧元区消费者信心指数为</w:t>
            </w:r>
            <w:r w:rsidRPr="00CA02FA">
              <w:rPr>
                <w:rFonts w:eastAsia="宋体" w:hint="eastAsia"/>
                <w:color w:val="000000"/>
                <w:lang w:eastAsia="zh-CN"/>
              </w:rPr>
              <w:t>-14.5</w:t>
            </w:r>
            <w:r w:rsidRPr="00CA02FA">
              <w:rPr>
                <w:rFonts w:eastAsia="宋体" w:hint="eastAsia"/>
                <w:color w:val="000000"/>
                <w:lang w:eastAsia="zh-CN"/>
              </w:rPr>
              <w:t>，较</w:t>
            </w:r>
            <w:r w:rsidRPr="00CA02FA">
              <w:rPr>
                <w:rFonts w:eastAsia="宋体" w:hint="eastAsia"/>
                <w:color w:val="000000"/>
                <w:lang w:eastAsia="zh-CN"/>
              </w:rPr>
              <w:t>2</w:t>
            </w:r>
            <w:r w:rsidRPr="00CA02FA">
              <w:rPr>
                <w:rFonts w:eastAsia="宋体" w:hint="eastAsia"/>
                <w:color w:val="000000"/>
                <w:lang w:eastAsia="zh-CN"/>
              </w:rPr>
              <w:t>月的</w:t>
            </w:r>
            <w:r w:rsidRPr="00CA02FA">
              <w:rPr>
                <w:rFonts w:eastAsia="宋体" w:hint="eastAsia"/>
                <w:color w:val="000000"/>
                <w:lang w:eastAsia="zh-CN"/>
              </w:rPr>
              <w:t>-13.6</w:t>
            </w:r>
            <w:r w:rsidRPr="00CA02FA">
              <w:rPr>
                <w:rFonts w:eastAsia="宋体" w:hint="eastAsia"/>
                <w:color w:val="000000"/>
                <w:lang w:eastAsia="zh-CN"/>
              </w:rPr>
              <w:t>下行了</w:t>
            </w:r>
            <w:r w:rsidRPr="00CA02FA">
              <w:rPr>
                <w:rFonts w:eastAsia="宋体" w:hint="eastAsia"/>
                <w:color w:val="000000"/>
                <w:lang w:eastAsia="zh-CN"/>
              </w:rPr>
              <w:t>0.9</w:t>
            </w:r>
            <w:r w:rsidRPr="00CA02FA">
              <w:rPr>
                <w:rFonts w:eastAsia="宋体" w:hint="eastAsia"/>
                <w:color w:val="000000"/>
                <w:lang w:eastAsia="zh-CN"/>
              </w:rPr>
              <w:t>个点。分国别来看，德国消费者信心出现小幅回升，</w:t>
            </w:r>
            <w:r w:rsidRPr="00CA02FA">
              <w:rPr>
                <w:rFonts w:eastAsia="宋体" w:hint="eastAsia"/>
                <w:color w:val="000000"/>
                <w:lang w:eastAsia="zh-CN"/>
              </w:rPr>
              <w:t>2025</w:t>
            </w:r>
            <w:r w:rsidRPr="00CA02FA">
              <w:rPr>
                <w:rFonts w:eastAsia="宋体" w:hint="eastAsia"/>
                <w:color w:val="000000"/>
                <w:lang w:eastAsia="zh-CN"/>
              </w:rPr>
              <w:t>年</w:t>
            </w:r>
            <w:r w:rsidRPr="00CA02FA">
              <w:rPr>
                <w:rFonts w:eastAsia="宋体" w:hint="eastAsia"/>
                <w:color w:val="000000"/>
                <w:lang w:eastAsia="zh-CN"/>
              </w:rPr>
              <w:t>4</w:t>
            </w:r>
            <w:r w:rsidRPr="00CA02FA">
              <w:rPr>
                <w:rFonts w:eastAsia="宋体" w:hint="eastAsia"/>
                <w:color w:val="000000"/>
                <w:lang w:eastAsia="zh-CN"/>
              </w:rPr>
              <w:t>月</w:t>
            </w:r>
            <w:r w:rsidRPr="00CA02FA">
              <w:rPr>
                <w:rFonts w:eastAsia="宋体" w:hint="eastAsia"/>
                <w:color w:val="000000"/>
                <w:lang w:eastAsia="zh-CN"/>
              </w:rPr>
              <w:t>GFK</w:t>
            </w:r>
            <w:r w:rsidRPr="00CA02FA">
              <w:rPr>
                <w:rFonts w:eastAsia="宋体" w:hint="eastAsia"/>
                <w:color w:val="000000"/>
                <w:lang w:eastAsia="zh-CN"/>
              </w:rPr>
              <w:t>消费者信心先行指数较</w:t>
            </w:r>
            <w:r w:rsidRPr="00CA02FA">
              <w:rPr>
                <w:rFonts w:eastAsia="宋体" w:hint="eastAsia"/>
                <w:color w:val="000000"/>
                <w:lang w:eastAsia="zh-CN"/>
              </w:rPr>
              <w:t>3</w:t>
            </w:r>
            <w:r w:rsidRPr="00CA02FA">
              <w:rPr>
                <w:rFonts w:eastAsia="宋体" w:hint="eastAsia"/>
                <w:color w:val="000000"/>
                <w:lang w:eastAsia="zh-CN"/>
              </w:rPr>
              <w:t>月修正后的数据上升</w:t>
            </w:r>
            <w:r w:rsidRPr="00CA02FA">
              <w:rPr>
                <w:rFonts w:eastAsia="宋体" w:hint="eastAsia"/>
                <w:color w:val="000000"/>
                <w:lang w:eastAsia="zh-CN"/>
              </w:rPr>
              <w:t>0.1</w:t>
            </w:r>
            <w:r w:rsidRPr="00CA02FA">
              <w:rPr>
                <w:rFonts w:eastAsia="宋体" w:hint="eastAsia"/>
                <w:color w:val="000000"/>
                <w:lang w:eastAsia="zh-CN"/>
              </w:rPr>
              <w:t>点，达到</w:t>
            </w:r>
            <w:r w:rsidRPr="00CA02FA">
              <w:rPr>
                <w:rFonts w:eastAsia="宋体" w:hint="eastAsia"/>
                <w:color w:val="000000"/>
                <w:lang w:eastAsia="zh-CN"/>
              </w:rPr>
              <w:t>-24.5</w:t>
            </w:r>
            <w:r w:rsidRPr="00CA02FA">
              <w:rPr>
                <w:rFonts w:eastAsia="宋体" w:hint="eastAsia"/>
                <w:color w:val="000000"/>
                <w:lang w:eastAsia="zh-CN"/>
              </w:rPr>
              <w:t>，但仍处于较低水平。法国方面，</w:t>
            </w:r>
            <w:r w:rsidRPr="00CA02FA">
              <w:rPr>
                <w:rFonts w:eastAsia="宋体" w:hint="eastAsia"/>
                <w:color w:val="000000"/>
                <w:lang w:eastAsia="zh-CN"/>
              </w:rPr>
              <w:t>2025</w:t>
            </w:r>
            <w:r w:rsidRPr="00CA02FA">
              <w:rPr>
                <w:rFonts w:eastAsia="宋体" w:hint="eastAsia"/>
                <w:color w:val="000000"/>
                <w:lang w:eastAsia="zh-CN"/>
              </w:rPr>
              <w:t>年</w:t>
            </w:r>
            <w:r w:rsidRPr="00CA02FA">
              <w:rPr>
                <w:rFonts w:eastAsia="宋体" w:hint="eastAsia"/>
                <w:color w:val="000000"/>
                <w:lang w:eastAsia="zh-CN"/>
              </w:rPr>
              <w:t>3</w:t>
            </w:r>
            <w:r w:rsidRPr="00CA02FA">
              <w:rPr>
                <w:rFonts w:eastAsia="宋体" w:hint="eastAsia"/>
                <w:color w:val="000000"/>
                <w:lang w:eastAsia="zh-CN"/>
              </w:rPr>
              <w:t>月消费者信心指数为</w:t>
            </w:r>
            <w:r w:rsidRPr="00CA02FA">
              <w:rPr>
                <w:rFonts w:eastAsia="宋体" w:hint="eastAsia"/>
                <w:color w:val="000000"/>
                <w:lang w:eastAsia="zh-CN"/>
              </w:rPr>
              <w:t>-14.7</w:t>
            </w:r>
            <w:r w:rsidRPr="00CA02FA">
              <w:rPr>
                <w:rFonts w:eastAsia="宋体" w:hint="eastAsia"/>
                <w:color w:val="000000"/>
                <w:lang w:eastAsia="zh-CN"/>
              </w:rPr>
              <w:t>，相较于</w:t>
            </w:r>
            <w:r w:rsidRPr="00CA02FA">
              <w:rPr>
                <w:rFonts w:eastAsia="宋体" w:hint="eastAsia"/>
                <w:color w:val="000000"/>
                <w:lang w:eastAsia="zh-CN"/>
              </w:rPr>
              <w:t>2</w:t>
            </w:r>
            <w:r w:rsidRPr="00CA02FA">
              <w:rPr>
                <w:rFonts w:eastAsia="宋体" w:hint="eastAsia"/>
                <w:color w:val="000000"/>
                <w:lang w:eastAsia="zh-CN"/>
              </w:rPr>
              <w:t>月</w:t>
            </w:r>
            <w:r w:rsidRPr="00CA02FA">
              <w:rPr>
                <w:rFonts w:eastAsia="宋体" w:hint="eastAsia"/>
                <w:color w:val="000000"/>
                <w:lang w:eastAsia="zh-CN"/>
              </w:rPr>
              <w:t>-12.9</w:t>
            </w:r>
            <w:r w:rsidRPr="00CA02FA">
              <w:rPr>
                <w:rFonts w:eastAsia="宋体" w:hint="eastAsia"/>
                <w:color w:val="000000"/>
                <w:lang w:eastAsia="zh-CN"/>
              </w:rPr>
              <w:t>再次下降</w:t>
            </w:r>
            <w:r w:rsidRPr="00CA02FA">
              <w:rPr>
                <w:rFonts w:eastAsia="宋体" w:hint="eastAsia"/>
                <w:color w:val="000000"/>
                <w:lang w:eastAsia="zh-CN"/>
              </w:rPr>
              <w:t>1.8</w:t>
            </w:r>
            <w:r w:rsidRPr="00CA02FA">
              <w:rPr>
                <w:rFonts w:eastAsia="宋体" w:hint="eastAsia"/>
                <w:color w:val="000000"/>
                <w:lang w:eastAsia="zh-CN"/>
              </w:rPr>
              <w:t>点。</w:t>
            </w:r>
            <w:r w:rsidRPr="00CA02FA">
              <w:rPr>
                <w:rFonts w:eastAsia="宋体" w:hint="eastAsia"/>
                <w:color w:val="000000"/>
                <w:lang w:eastAsia="zh-CN"/>
              </w:rPr>
              <w:t>3</w:t>
            </w:r>
            <w:r w:rsidRPr="00CA02FA">
              <w:rPr>
                <w:rFonts w:eastAsia="宋体" w:hint="eastAsia"/>
                <w:color w:val="000000"/>
                <w:lang w:eastAsia="zh-CN"/>
              </w:rPr>
              <w:t>月</w:t>
            </w:r>
            <w:r w:rsidRPr="00CA02FA">
              <w:rPr>
                <w:rFonts w:eastAsia="宋体" w:hint="eastAsia"/>
                <w:color w:val="000000"/>
                <w:lang w:eastAsia="zh-CN"/>
              </w:rPr>
              <w:t>Insee</w:t>
            </w:r>
            <w:r w:rsidRPr="00CA02FA">
              <w:rPr>
                <w:rFonts w:eastAsia="宋体" w:hint="eastAsia"/>
                <w:color w:val="000000"/>
                <w:lang w:eastAsia="zh-CN"/>
              </w:rPr>
              <w:t>综合消费者信心指数</w:t>
            </w:r>
            <w:r w:rsidRPr="00CA02FA">
              <w:rPr>
                <w:rFonts w:eastAsia="宋体"/>
                <w:color w:val="000000"/>
                <w:lang w:eastAsia="zh-CN"/>
              </w:rPr>
              <w:t>为</w:t>
            </w:r>
            <w:r w:rsidRPr="00CA02FA">
              <w:rPr>
                <w:rFonts w:eastAsia="宋体"/>
                <w:color w:val="000000"/>
                <w:lang w:eastAsia="zh-CN"/>
              </w:rPr>
              <w:t>92</w:t>
            </w:r>
            <w:r w:rsidRPr="00CA02FA">
              <w:rPr>
                <w:rFonts w:eastAsia="宋体"/>
                <w:color w:val="000000"/>
                <w:lang w:eastAsia="zh-CN"/>
              </w:rPr>
              <w:t>，预期</w:t>
            </w:r>
            <w:r w:rsidRPr="00CA02FA">
              <w:rPr>
                <w:rFonts w:eastAsia="宋体"/>
                <w:color w:val="000000"/>
                <w:lang w:eastAsia="zh-CN"/>
              </w:rPr>
              <w:t>94</w:t>
            </w:r>
            <w:r w:rsidRPr="00CA02FA">
              <w:rPr>
                <w:rFonts w:eastAsia="宋体" w:hint="eastAsia"/>
                <w:color w:val="000000"/>
                <w:lang w:eastAsia="zh-CN"/>
              </w:rPr>
              <w:t>。其中，</w:t>
            </w:r>
            <w:r w:rsidRPr="00CA02FA">
              <w:rPr>
                <w:rFonts w:eastAsia="宋体" w:hint="eastAsia"/>
                <w:color w:val="000000"/>
                <w:lang w:eastAsia="zh-CN"/>
              </w:rPr>
              <w:t>3</w:t>
            </w:r>
            <w:r w:rsidRPr="00CA02FA">
              <w:rPr>
                <w:rFonts w:eastAsia="宋体" w:hint="eastAsia"/>
                <w:color w:val="000000"/>
                <w:lang w:eastAsia="zh-CN"/>
              </w:rPr>
              <w:t>月对服务业信心指数为</w:t>
            </w:r>
            <w:r w:rsidRPr="00CA02FA">
              <w:rPr>
                <w:rFonts w:eastAsia="宋体" w:hint="eastAsia"/>
                <w:color w:val="000000"/>
                <w:lang w:eastAsia="zh-CN"/>
              </w:rPr>
              <w:t>-4.6</w:t>
            </w:r>
            <w:r w:rsidRPr="00CA02FA">
              <w:rPr>
                <w:rFonts w:eastAsia="宋体" w:hint="eastAsia"/>
                <w:color w:val="000000"/>
                <w:lang w:eastAsia="zh-CN"/>
              </w:rPr>
              <w:t>，较</w:t>
            </w:r>
            <w:r w:rsidRPr="00CA02FA">
              <w:rPr>
                <w:rFonts w:eastAsia="宋体" w:hint="eastAsia"/>
                <w:color w:val="000000"/>
                <w:lang w:eastAsia="zh-CN"/>
              </w:rPr>
              <w:t>2</w:t>
            </w:r>
            <w:r w:rsidRPr="00CA02FA">
              <w:rPr>
                <w:rFonts w:eastAsia="宋体" w:hint="eastAsia"/>
                <w:color w:val="000000"/>
                <w:lang w:eastAsia="zh-CN"/>
              </w:rPr>
              <w:t>月的</w:t>
            </w:r>
            <w:r w:rsidRPr="00CA02FA">
              <w:rPr>
                <w:rFonts w:eastAsia="宋体" w:hint="eastAsia"/>
                <w:color w:val="000000"/>
                <w:lang w:eastAsia="zh-CN"/>
              </w:rPr>
              <w:t>-1.3</w:t>
            </w:r>
            <w:r w:rsidRPr="00CA02FA">
              <w:rPr>
                <w:rFonts w:eastAsia="宋体" w:hint="eastAsia"/>
                <w:color w:val="000000"/>
                <w:lang w:eastAsia="zh-CN"/>
              </w:rPr>
              <w:t>下降</w:t>
            </w:r>
            <w:r w:rsidRPr="00CA02FA">
              <w:rPr>
                <w:rFonts w:eastAsia="宋体" w:hint="eastAsia"/>
                <w:color w:val="000000"/>
                <w:lang w:eastAsia="zh-CN"/>
              </w:rPr>
              <w:t>3.3</w:t>
            </w:r>
            <w:r w:rsidRPr="00CA02FA">
              <w:rPr>
                <w:rFonts w:eastAsia="宋体" w:hint="eastAsia"/>
                <w:color w:val="000000"/>
                <w:lang w:eastAsia="zh-CN"/>
              </w:rPr>
              <w:t>点，出现较大跌幅。</w:t>
            </w:r>
          </w:p>
          <w:p w14:paraId="42E19516" w14:textId="77777777" w:rsidR="00CA02FA" w:rsidRPr="00CA02FA" w:rsidRDefault="00CA02FA" w:rsidP="00CA02FA">
            <w:pPr>
              <w:ind w:left="34" w:firstLineChars="234" w:firstLine="562"/>
              <w:contextualSpacing/>
              <w:rPr>
                <w:rFonts w:eastAsia="宋体"/>
                <w:color w:val="000000"/>
                <w:lang w:eastAsia="zh-CN"/>
              </w:rPr>
            </w:pPr>
            <w:r w:rsidRPr="00CA02FA">
              <w:rPr>
                <w:rFonts w:eastAsia="宋体" w:hint="eastAsia"/>
                <w:color w:val="000000"/>
                <w:lang w:eastAsia="zh-CN"/>
              </w:rPr>
              <w:t>虽然消费者信息下滑，但消费支出依旧维持正增长。</w:t>
            </w:r>
            <w:r w:rsidRPr="00CA02FA">
              <w:rPr>
                <w:rFonts w:eastAsia="宋体" w:hint="eastAsia"/>
                <w:color w:val="000000"/>
                <w:lang w:eastAsia="zh-CN"/>
              </w:rPr>
              <w:t>2024</w:t>
            </w:r>
            <w:r w:rsidRPr="00CA02FA">
              <w:rPr>
                <w:rFonts w:eastAsia="宋体" w:hint="eastAsia"/>
                <w:color w:val="000000"/>
                <w:lang w:eastAsia="zh-CN"/>
              </w:rPr>
              <w:t>年第</w:t>
            </w:r>
            <w:r w:rsidRPr="00CA02FA">
              <w:rPr>
                <w:rFonts w:eastAsia="宋体" w:hint="eastAsia"/>
                <w:color w:val="000000"/>
                <w:lang w:eastAsia="zh-CN"/>
              </w:rPr>
              <w:t>4</w:t>
            </w:r>
            <w:r w:rsidRPr="00CA02FA">
              <w:rPr>
                <w:rFonts w:eastAsia="宋体" w:hint="eastAsia"/>
                <w:color w:val="000000"/>
                <w:lang w:eastAsia="zh-CN"/>
              </w:rPr>
              <w:t>季度，根据现价计算，欧元区最终消费支出同比上升</w:t>
            </w:r>
            <w:r w:rsidRPr="00CA02FA">
              <w:rPr>
                <w:rFonts w:eastAsia="宋体" w:hint="eastAsia"/>
                <w:color w:val="000000"/>
                <w:lang w:eastAsia="zh-CN"/>
              </w:rPr>
              <w:t>4.04</w:t>
            </w:r>
            <w:r w:rsidRPr="00CA02FA">
              <w:rPr>
                <w:rFonts w:eastAsia="宋体" w:hint="eastAsia"/>
                <w:color w:val="000000"/>
                <w:lang w:eastAsia="zh-CN"/>
              </w:rPr>
              <w:t>个百分点，其中家庭消费支出同比上升</w:t>
            </w:r>
            <w:r w:rsidRPr="00CA02FA">
              <w:rPr>
                <w:rFonts w:eastAsia="宋体" w:hint="eastAsia"/>
                <w:color w:val="000000"/>
                <w:lang w:eastAsia="zh-CN"/>
              </w:rPr>
              <w:t>3.51</w:t>
            </w:r>
            <w:r w:rsidRPr="00CA02FA">
              <w:rPr>
                <w:rFonts w:eastAsia="宋体" w:hint="eastAsia"/>
                <w:color w:val="000000"/>
                <w:lang w:eastAsia="zh-CN"/>
              </w:rPr>
              <w:t>个百分点，政府消费支出同比上升</w:t>
            </w:r>
            <w:r w:rsidRPr="00CA02FA">
              <w:rPr>
                <w:rFonts w:eastAsia="宋体" w:hint="eastAsia"/>
                <w:color w:val="000000"/>
                <w:lang w:eastAsia="zh-CN"/>
              </w:rPr>
              <w:t>5.28</w:t>
            </w:r>
            <w:r w:rsidRPr="00CA02FA">
              <w:rPr>
                <w:rFonts w:eastAsia="宋体" w:hint="eastAsia"/>
                <w:color w:val="000000"/>
                <w:lang w:eastAsia="zh-CN"/>
              </w:rPr>
              <w:t>个百分点。</w:t>
            </w:r>
          </w:p>
        </w:tc>
      </w:tr>
      <w:tr w:rsidR="00CA02FA" w:rsidRPr="00CA02FA" w14:paraId="1F0F8115" w14:textId="77777777" w:rsidTr="00D72849">
        <w:trPr>
          <w:trHeight w:val="4828"/>
        </w:trPr>
        <w:tc>
          <w:tcPr>
            <w:tcW w:w="9637" w:type="dxa"/>
            <w:gridSpan w:val="3"/>
            <w:vAlign w:val="center"/>
          </w:tcPr>
          <w:p w14:paraId="1102CFE5" w14:textId="47D7E2CE" w:rsidR="00CA02FA" w:rsidRPr="00CA02FA" w:rsidRDefault="00DB2622" w:rsidP="00D37774">
            <w:pPr>
              <w:pStyle w:val="a4"/>
            </w:pPr>
            <w:bookmarkStart w:id="29" w:name="_Toc520407625"/>
            <w:bookmarkStart w:id="30" w:name="_Toc196399422"/>
            <w:r>
              <w:rPr>
                <w:rFonts w:hint="eastAsia"/>
              </w:rPr>
              <w:lastRenderedPageBreak/>
              <w:t xml:space="preserve">图表 </w:t>
            </w:r>
            <w:r>
              <w:rPr>
                <w:rFonts w:hint="eastAsia"/>
              </w:rPr>
              <w:fldChar w:fldCharType="begin"/>
            </w:r>
            <w:r>
              <w:rPr>
                <w:rFonts w:hint="eastAsia"/>
              </w:rPr>
              <w:instrText xml:space="preserve"> SEQ 图表 \* ARABIC </w:instrText>
            </w:r>
            <w:r>
              <w:rPr>
                <w:rFonts w:hint="eastAsia"/>
              </w:rPr>
              <w:fldChar w:fldCharType="separate"/>
            </w:r>
            <w:r w:rsidR="00530ED7">
              <w:rPr>
                <w:rFonts w:hint="eastAsia"/>
                <w:noProof/>
              </w:rPr>
              <w:t>11</w:t>
            </w:r>
            <w:r>
              <w:rPr>
                <w:rFonts w:hint="eastAsia"/>
              </w:rPr>
              <w:fldChar w:fldCharType="end"/>
            </w:r>
            <w:bookmarkEnd w:id="29"/>
            <w:r w:rsidR="00D37774" w:rsidRPr="00D37774">
              <w:t xml:space="preserve">  </w:t>
            </w:r>
            <w:r w:rsidR="00CA02FA" w:rsidRPr="00CA02FA">
              <w:rPr>
                <w:rFonts w:hint="eastAsia"/>
              </w:rPr>
              <w:t>消费者信心持续下滑</w:t>
            </w:r>
            <w:bookmarkEnd w:id="30"/>
          </w:p>
          <w:p w14:paraId="33EE4827" w14:textId="77777777" w:rsidR="00CA02FA" w:rsidRPr="00CA02FA" w:rsidRDefault="00CA02FA" w:rsidP="001244F7">
            <w:pPr>
              <w:spacing w:beforeLines="50" w:before="163"/>
              <w:ind w:firstLineChars="0" w:firstLine="0"/>
              <w:jc w:val="center"/>
              <w:rPr>
                <w:rFonts w:eastAsia="宋体"/>
                <w:b/>
                <w:sz w:val="28"/>
                <w:szCs w:val="28"/>
                <w:lang w:eastAsia="zh-CN" w:bidi="ar-SA"/>
              </w:rPr>
            </w:pPr>
            <w:r w:rsidRPr="00CA02FA">
              <w:rPr>
                <w:rFonts w:ascii="等线" w:eastAsia="等线" w:hAnsi="等线"/>
                <w:noProof/>
                <w:sz w:val="21"/>
                <w:szCs w:val="22"/>
                <w:lang w:eastAsia="zh-CN" w:bidi="ar-SA"/>
              </w:rPr>
              <w:drawing>
                <wp:inline distT="0" distB="0" distL="114300" distR="114300" wp14:anchorId="24E64D81" wp14:editId="32381712">
                  <wp:extent cx="4446905" cy="2247900"/>
                  <wp:effectExtent l="0" t="0" r="1079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30"/>
                          <a:stretch>
                            <a:fillRect/>
                          </a:stretch>
                        </pic:blipFill>
                        <pic:spPr>
                          <a:xfrm>
                            <a:off x="0" y="0"/>
                            <a:ext cx="4446905" cy="2247900"/>
                          </a:xfrm>
                          <a:prstGeom prst="rect">
                            <a:avLst/>
                          </a:prstGeom>
                          <a:noFill/>
                          <a:ln>
                            <a:noFill/>
                          </a:ln>
                        </pic:spPr>
                      </pic:pic>
                    </a:graphicData>
                  </a:graphic>
                </wp:inline>
              </w:drawing>
            </w:r>
          </w:p>
          <w:p w14:paraId="5752D057" w14:textId="77777777" w:rsidR="00CA02FA" w:rsidRPr="00CA02FA" w:rsidRDefault="00CA02FA" w:rsidP="00CA02FA">
            <w:pPr>
              <w:spacing w:beforeLines="50" w:before="163"/>
              <w:ind w:firstLineChars="0" w:firstLine="562"/>
              <w:rPr>
                <w:rFonts w:eastAsia="宋体"/>
                <w:b/>
                <w:sz w:val="28"/>
                <w:szCs w:val="28"/>
                <w:lang w:eastAsia="zh-CN" w:bidi="ar-SA"/>
              </w:rPr>
            </w:pPr>
          </w:p>
        </w:tc>
      </w:tr>
      <w:tr w:rsidR="00CA02FA" w:rsidRPr="00CA02FA" w14:paraId="5AE291BB" w14:textId="77777777" w:rsidTr="00D72849">
        <w:trPr>
          <w:trHeight w:val="3374"/>
        </w:trPr>
        <w:tc>
          <w:tcPr>
            <w:tcW w:w="9637" w:type="dxa"/>
            <w:gridSpan w:val="3"/>
            <w:vAlign w:val="center"/>
          </w:tcPr>
          <w:p w14:paraId="30D7D68D" w14:textId="7209FAA4" w:rsidR="00CA02FA" w:rsidRPr="00CA02FA" w:rsidRDefault="00DB2622" w:rsidP="00D37774">
            <w:pPr>
              <w:pStyle w:val="a4"/>
            </w:pPr>
            <w:bookmarkStart w:id="31" w:name="_Toc520407626"/>
            <w:bookmarkStart w:id="32" w:name="_Toc196399423"/>
            <w:r>
              <w:rPr>
                <w:rFonts w:hint="eastAsia"/>
              </w:rPr>
              <w:t xml:space="preserve">图表 </w:t>
            </w:r>
            <w:r>
              <w:rPr>
                <w:rFonts w:hint="eastAsia"/>
              </w:rPr>
              <w:fldChar w:fldCharType="begin"/>
            </w:r>
            <w:r>
              <w:rPr>
                <w:rFonts w:hint="eastAsia"/>
              </w:rPr>
              <w:instrText xml:space="preserve"> SEQ 图表 \* ARABIC </w:instrText>
            </w:r>
            <w:r>
              <w:rPr>
                <w:rFonts w:hint="eastAsia"/>
              </w:rPr>
              <w:fldChar w:fldCharType="separate"/>
            </w:r>
            <w:r w:rsidR="00530ED7">
              <w:rPr>
                <w:rFonts w:hint="eastAsia"/>
                <w:noProof/>
              </w:rPr>
              <w:t>12</w:t>
            </w:r>
            <w:r>
              <w:rPr>
                <w:rFonts w:hint="eastAsia"/>
              </w:rPr>
              <w:fldChar w:fldCharType="end"/>
            </w:r>
            <w:bookmarkEnd w:id="31"/>
            <w:r w:rsidR="00D37774" w:rsidRPr="00D37774">
              <w:t xml:space="preserve">  </w:t>
            </w:r>
            <w:r w:rsidR="00CA02FA" w:rsidRPr="00CA02FA">
              <w:rPr>
                <w:rFonts w:hint="eastAsia"/>
              </w:rPr>
              <w:t>企业投资波动</w:t>
            </w:r>
            <w:bookmarkEnd w:id="32"/>
          </w:p>
          <w:p w14:paraId="634EA37B" w14:textId="77777777" w:rsidR="00CA02FA" w:rsidRPr="00CA02FA" w:rsidRDefault="00CA02FA" w:rsidP="00CA02FA">
            <w:pPr>
              <w:ind w:firstLine="420"/>
              <w:jc w:val="center"/>
              <w:rPr>
                <w:rFonts w:eastAsia="宋体"/>
                <w:b/>
                <w:sz w:val="28"/>
                <w:szCs w:val="28"/>
                <w:lang w:eastAsia="zh-CN" w:bidi="ar-SA"/>
              </w:rPr>
            </w:pPr>
            <w:r w:rsidRPr="00CA02FA">
              <w:rPr>
                <w:rFonts w:ascii="等线" w:eastAsia="等线" w:hAnsi="等线"/>
                <w:noProof/>
                <w:sz w:val="21"/>
                <w:szCs w:val="22"/>
                <w:lang w:eastAsia="zh-CN" w:bidi="ar-SA"/>
              </w:rPr>
              <w:drawing>
                <wp:inline distT="0" distB="0" distL="114300" distR="114300" wp14:anchorId="2CD9D2C6" wp14:editId="3B77C97A">
                  <wp:extent cx="4108450" cy="3152140"/>
                  <wp:effectExtent l="0" t="0" r="6350" b="1016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31"/>
                          <a:stretch>
                            <a:fillRect/>
                          </a:stretch>
                        </pic:blipFill>
                        <pic:spPr>
                          <a:xfrm>
                            <a:off x="0" y="0"/>
                            <a:ext cx="4108450" cy="3152140"/>
                          </a:xfrm>
                          <a:prstGeom prst="rect">
                            <a:avLst/>
                          </a:prstGeom>
                          <a:noFill/>
                          <a:ln>
                            <a:noFill/>
                          </a:ln>
                        </pic:spPr>
                      </pic:pic>
                    </a:graphicData>
                  </a:graphic>
                </wp:inline>
              </w:drawing>
            </w:r>
          </w:p>
        </w:tc>
      </w:tr>
      <w:tr w:rsidR="00CA02FA" w:rsidRPr="00CA02FA" w14:paraId="02F9C3C4" w14:textId="77777777" w:rsidTr="00D72849">
        <w:trPr>
          <w:trHeight w:val="1851"/>
        </w:trPr>
        <w:tc>
          <w:tcPr>
            <w:tcW w:w="2158" w:type="dxa"/>
          </w:tcPr>
          <w:p w14:paraId="40FD89ED" w14:textId="77777777" w:rsidR="00CA02FA" w:rsidRPr="00CA02FA" w:rsidRDefault="00CA02FA" w:rsidP="00000FFC">
            <w:pPr>
              <w:ind w:firstLineChars="0" w:firstLine="0"/>
              <w:rPr>
                <w:rFonts w:ascii="楷体" w:eastAsia="楷体" w:hAnsi="楷体"/>
                <w:b/>
                <w:lang w:eastAsia="zh-CN" w:bidi="ar-SA"/>
              </w:rPr>
            </w:pPr>
            <w:r w:rsidRPr="00CA02FA">
              <w:rPr>
                <w:rFonts w:ascii="楷体" w:eastAsia="楷体" w:hAnsi="楷体" w:hint="eastAsia"/>
                <w:b/>
                <w:color w:val="000000"/>
                <w:lang w:eastAsia="zh-CN" w:bidi="ar-SA"/>
              </w:rPr>
              <w:t>企业投资波动</w:t>
            </w:r>
          </w:p>
        </w:tc>
        <w:tc>
          <w:tcPr>
            <w:tcW w:w="300" w:type="dxa"/>
          </w:tcPr>
          <w:p w14:paraId="59A11E84" w14:textId="77777777" w:rsidR="00CA02FA" w:rsidRPr="00CA02FA" w:rsidRDefault="00CA02FA" w:rsidP="00CA02FA">
            <w:pPr>
              <w:keepNext/>
              <w:keepLines/>
              <w:spacing w:before="260" w:after="260"/>
              <w:ind w:firstLine="480"/>
              <w:rPr>
                <w:rFonts w:eastAsia="楷体_GB2312"/>
                <w:lang w:eastAsia="zh-CN"/>
              </w:rPr>
            </w:pPr>
          </w:p>
        </w:tc>
        <w:tc>
          <w:tcPr>
            <w:tcW w:w="7179" w:type="dxa"/>
          </w:tcPr>
          <w:p w14:paraId="151C8A7E" w14:textId="77777777" w:rsidR="00CA02FA" w:rsidRPr="00CA02FA" w:rsidRDefault="00CA02FA" w:rsidP="00CA02FA">
            <w:pPr>
              <w:ind w:left="34" w:firstLineChars="234" w:firstLine="564"/>
              <w:contextualSpacing/>
              <w:rPr>
                <w:rFonts w:eastAsia="宋体"/>
                <w:b/>
                <w:color w:val="000000"/>
                <w:lang w:eastAsia="zh-CN"/>
              </w:rPr>
            </w:pPr>
            <w:r w:rsidRPr="00CA02FA">
              <w:rPr>
                <w:rFonts w:eastAsia="宋体" w:hint="eastAsia"/>
                <w:b/>
                <w:color w:val="000000"/>
                <w:lang w:eastAsia="zh-CN"/>
              </w:rPr>
              <w:t>企业投资波动</w:t>
            </w:r>
            <w:r w:rsidRPr="00CA02FA">
              <w:rPr>
                <w:rFonts w:eastAsia="宋体"/>
                <w:b/>
                <w:color w:val="000000"/>
                <w:lang w:eastAsia="zh-CN"/>
              </w:rPr>
              <w:t>。</w:t>
            </w:r>
            <w:r w:rsidRPr="00CA02FA">
              <w:rPr>
                <w:rFonts w:eastAsia="宋体" w:hint="eastAsia"/>
                <w:bCs/>
                <w:color w:val="000000"/>
                <w:lang w:eastAsia="zh-CN"/>
              </w:rPr>
              <w:t>2</w:t>
            </w:r>
            <w:r w:rsidRPr="00CA02FA">
              <w:rPr>
                <w:rFonts w:eastAsia="宋体"/>
                <w:bCs/>
                <w:color w:val="000000"/>
                <w:lang w:eastAsia="zh-CN"/>
              </w:rPr>
              <w:t>02</w:t>
            </w:r>
            <w:r w:rsidRPr="00CA02FA">
              <w:rPr>
                <w:rFonts w:eastAsia="宋体" w:hint="eastAsia"/>
                <w:bCs/>
                <w:color w:val="000000"/>
                <w:lang w:eastAsia="zh-CN"/>
              </w:rPr>
              <w:t>4</w:t>
            </w:r>
            <w:r w:rsidRPr="00CA02FA">
              <w:rPr>
                <w:rFonts w:eastAsia="宋体" w:hint="eastAsia"/>
                <w:bCs/>
                <w:color w:val="000000"/>
                <w:lang w:eastAsia="zh-CN"/>
              </w:rPr>
              <w:t>年</w:t>
            </w:r>
            <w:r w:rsidRPr="00CA02FA">
              <w:rPr>
                <w:rFonts w:eastAsia="宋体" w:hint="eastAsia"/>
                <w:bCs/>
                <w:color w:val="000000"/>
                <w:lang w:eastAsia="zh-CN"/>
              </w:rPr>
              <w:t>4</w:t>
            </w:r>
            <w:r w:rsidRPr="00CA02FA">
              <w:rPr>
                <w:rFonts w:eastAsia="宋体" w:hint="eastAsia"/>
                <w:bCs/>
                <w:color w:val="000000"/>
                <w:lang w:eastAsia="zh-CN"/>
              </w:rPr>
              <w:t>季度，按照不变价计算欧元区固定资本形成总额环比上升</w:t>
            </w:r>
            <w:r w:rsidRPr="00CA02FA">
              <w:rPr>
                <w:rFonts w:eastAsia="宋体" w:hint="eastAsia"/>
                <w:bCs/>
                <w:color w:val="000000"/>
                <w:lang w:eastAsia="zh-CN"/>
              </w:rPr>
              <w:t>0.6</w:t>
            </w:r>
            <w:r w:rsidRPr="00CA02FA">
              <w:rPr>
                <w:rFonts w:eastAsia="宋体" w:hint="eastAsia"/>
                <w:bCs/>
                <w:color w:val="000000"/>
                <w:lang w:eastAsia="zh-CN"/>
              </w:rPr>
              <w:t>个百分点，同比下降</w:t>
            </w:r>
            <w:r w:rsidRPr="00CA02FA">
              <w:rPr>
                <w:rFonts w:eastAsia="宋体" w:hint="eastAsia"/>
                <w:bCs/>
                <w:color w:val="000000"/>
                <w:lang w:eastAsia="zh-CN"/>
              </w:rPr>
              <w:t>1.8</w:t>
            </w:r>
            <w:r w:rsidRPr="00CA02FA">
              <w:rPr>
                <w:rFonts w:eastAsia="宋体" w:hint="eastAsia"/>
                <w:bCs/>
                <w:color w:val="000000"/>
                <w:lang w:eastAsia="zh-CN"/>
              </w:rPr>
              <w:t>个百分点。从对</w:t>
            </w:r>
            <w:r w:rsidRPr="00CA02FA">
              <w:rPr>
                <w:rFonts w:eastAsia="宋体" w:hint="eastAsia"/>
                <w:bCs/>
                <w:color w:val="000000"/>
                <w:lang w:eastAsia="zh-CN"/>
              </w:rPr>
              <w:t>GDP</w:t>
            </w:r>
            <w:r w:rsidRPr="00CA02FA">
              <w:rPr>
                <w:rFonts w:eastAsia="宋体" w:hint="eastAsia"/>
                <w:bCs/>
                <w:color w:val="000000"/>
                <w:lang w:eastAsia="zh-CN"/>
              </w:rPr>
              <w:t>的拉动效果而言，固定资本形成总额同比仍出现</w:t>
            </w:r>
            <w:r w:rsidRPr="00CA02FA">
              <w:rPr>
                <w:rFonts w:eastAsia="宋体" w:hint="eastAsia"/>
                <w:bCs/>
                <w:color w:val="000000"/>
                <w:lang w:eastAsia="zh-CN"/>
              </w:rPr>
              <w:t>0.47</w:t>
            </w:r>
            <w:r w:rsidRPr="00CA02FA">
              <w:rPr>
                <w:rFonts w:eastAsia="宋体" w:hint="eastAsia"/>
                <w:bCs/>
                <w:color w:val="000000"/>
                <w:lang w:eastAsia="zh-CN"/>
              </w:rPr>
              <w:t>个点的下降。</w:t>
            </w:r>
            <w:r w:rsidRPr="00CA02FA">
              <w:rPr>
                <w:rFonts w:eastAsia="宋体" w:hint="eastAsia"/>
                <w:bCs/>
                <w:color w:val="000000"/>
                <w:lang w:eastAsia="zh-CN"/>
              </w:rPr>
              <w:t>2025</w:t>
            </w:r>
            <w:r w:rsidRPr="00CA02FA">
              <w:rPr>
                <w:rFonts w:eastAsia="宋体" w:hint="eastAsia"/>
                <w:bCs/>
                <w:color w:val="000000"/>
                <w:lang w:eastAsia="zh-CN"/>
              </w:rPr>
              <w:t>年</w:t>
            </w:r>
            <w:r w:rsidRPr="00CA02FA">
              <w:rPr>
                <w:rFonts w:eastAsia="宋体" w:hint="eastAsia"/>
                <w:bCs/>
                <w:color w:val="000000"/>
                <w:lang w:eastAsia="zh-CN"/>
              </w:rPr>
              <w:t>1</w:t>
            </w:r>
            <w:r w:rsidRPr="00CA02FA">
              <w:rPr>
                <w:rFonts w:eastAsia="宋体" w:hint="eastAsia"/>
                <w:bCs/>
                <w:color w:val="000000"/>
                <w:lang w:eastAsia="zh-CN"/>
              </w:rPr>
              <w:t>季度，产能利用率相较上季度下降</w:t>
            </w:r>
            <w:r w:rsidRPr="00CA02FA">
              <w:rPr>
                <w:rFonts w:eastAsia="宋体" w:hint="eastAsia"/>
                <w:bCs/>
                <w:color w:val="000000"/>
                <w:lang w:eastAsia="zh-CN"/>
              </w:rPr>
              <w:t>0.4</w:t>
            </w:r>
            <w:r w:rsidRPr="00CA02FA">
              <w:rPr>
                <w:rFonts w:eastAsia="宋体" w:hint="eastAsia"/>
                <w:bCs/>
                <w:color w:val="000000"/>
                <w:lang w:eastAsia="zh-CN"/>
              </w:rPr>
              <w:t>个百分点至</w:t>
            </w:r>
            <w:r w:rsidRPr="00CA02FA">
              <w:rPr>
                <w:rFonts w:eastAsia="宋体" w:hint="eastAsia"/>
                <w:bCs/>
                <w:color w:val="000000"/>
                <w:lang w:eastAsia="zh-CN"/>
              </w:rPr>
              <w:t>76.8</w:t>
            </w:r>
            <w:r w:rsidRPr="00CA02FA">
              <w:rPr>
                <w:rFonts w:eastAsia="宋体" w:hint="eastAsia"/>
                <w:bCs/>
                <w:color w:val="000000"/>
                <w:lang w:eastAsia="zh-CN"/>
              </w:rPr>
              <w:t>，自</w:t>
            </w:r>
            <w:r w:rsidRPr="00CA02FA">
              <w:rPr>
                <w:rFonts w:eastAsia="宋体" w:hint="eastAsia"/>
                <w:bCs/>
                <w:color w:val="000000"/>
                <w:lang w:eastAsia="zh-CN"/>
              </w:rPr>
              <w:t>2022</w:t>
            </w:r>
            <w:r w:rsidRPr="00CA02FA">
              <w:rPr>
                <w:rFonts w:eastAsia="宋体" w:hint="eastAsia"/>
                <w:bCs/>
                <w:color w:val="000000"/>
                <w:lang w:eastAsia="zh-CN"/>
              </w:rPr>
              <w:t>年</w:t>
            </w:r>
            <w:r w:rsidRPr="00CA02FA">
              <w:rPr>
                <w:rFonts w:eastAsia="宋体" w:hint="eastAsia"/>
                <w:bCs/>
                <w:color w:val="000000"/>
                <w:lang w:eastAsia="zh-CN"/>
              </w:rPr>
              <w:t>6</w:t>
            </w:r>
            <w:r w:rsidRPr="00CA02FA">
              <w:rPr>
                <w:rFonts w:eastAsia="宋体" w:hint="eastAsia"/>
                <w:bCs/>
                <w:color w:val="000000"/>
                <w:lang w:eastAsia="zh-CN"/>
              </w:rPr>
              <w:t>月起已出现持续</w:t>
            </w:r>
            <w:r w:rsidRPr="00CA02FA">
              <w:rPr>
                <w:rFonts w:eastAsia="宋体" w:hint="eastAsia"/>
                <w:bCs/>
                <w:color w:val="000000"/>
                <w:lang w:eastAsia="zh-CN"/>
              </w:rPr>
              <w:t>11</w:t>
            </w:r>
            <w:r w:rsidRPr="00CA02FA">
              <w:rPr>
                <w:rFonts w:eastAsia="宋体" w:hint="eastAsia"/>
                <w:bCs/>
                <w:color w:val="000000"/>
                <w:lang w:eastAsia="zh-CN"/>
              </w:rPr>
              <w:t>季度的下降趋势。</w:t>
            </w:r>
          </w:p>
        </w:tc>
      </w:tr>
      <w:tr w:rsidR="00CA02FA" w:rsidRPr="00CA02FA" w14:paraId="654CA104" w14:textId="77777777" w:rsidTr="00D72849">
        <w:trPr>
          <w:trHeight w:val="3374"/>
        </w:trPr>
        <w:tc>
          <w:tcPr>
            <w:tcW w:w="9637" w:type="dxa"/>
            <w:gridSpan w:val="3"/>
            <w:vAlign w:val="center"/>
          </w:tcPr>
          <w:p w14:paraId="42D7EE53" w14:textId="71C5EECD" w:rsidR="00CA02FA" w:rsidRPr="00CA02FA" w:rsidRDefault="00DB2622" w:rsidP="00D37774">
            <w:pPr>
              <w:pStyle w:val="a4"/>
            </w:pPr>
            <w:bookmarkStart w:id="33" w:name="_Toc520407627"/>
            <w:bookmarkStart w:id="34" w:name="_Toc196399424"/>
            <w:r>
              <w:rPr>
                <w:rFonts w:hint="eastAsia"/>
              </w:rPr>
              <w:lastRenderedPageBreak/>
              <w:t xml:space="preserve">图表 </w:t>
            </w:r>
            <w:r>
              <w:rPr>
                <w:rFonts w:hint="eastAsia"/>
              </w:rPr>
              <w:fldChar w:fldCharType="begin"/>
            </w:r>
            <w:r>
              <w:rPr>
                <w:rFonts w:hint="eastAsia"/>
              </w:rPr>
              <w:instrText xml:space="preserve"> SEQ 图表 \* ARABIC </w:instrText>
            </w:r>
            <w:r>
              <w:rPr>
                <w:rFonts w:hint="eastAsia"/>
              </w:rPr>
              <w:fldChar w:fldCharType="separate"/>
            </w:r>
            <w:r w:rsidR="00530ED7">
              <w:rPr>
                <w:rFonts w:hint="eastAsia"/>
                <w:noProof/>
              </w:rPr>
              <w:t>13</w:t>
            </w:r>
            <w:r>
              <w:rPr>
                <w:rFonts w:hint="eastAsia"/>
              </w:rPr>
              <w:fldChar w:fldCharType="end"/>
            </w:r>
            <w:bookmarkEnd w:id="33"/>
            <w:r w:rsidR="00D37774" w:rsidRPr="00D37774">
              <w:t xml:space="preserve">  </w:t>
            </w:r>
            <w:r w:rsidR="00CA02FA" w:rsidRPr="00CA02FA">
              <w:rPr>
                <w:rFonts w:hint="eastAsia"/>
              </w:rPr>
              <w:t>贸易顺差收缩</w:t>
            </w:r>
            <w:bookmarkEnd w:id="34"/>
          </w:p>
          <w:p w14:paraId="70DEC1DD" w14:textId="77777777" w:rsidR="00CA02FA" w:rsidRPr="00CA02FA" w:rsidRDefault="00CA02FA" w:rsidP="00CA02FA">
            <w:pPr>
              <w:ind w:firstLineChars="0" w:firstLine="480"/>
              <w:jc w:val="center"/>
              <w:rPr>
                <w:rFonts w:eastAsia="宋体"/>
                <w:b/>
                <w:i/>
                <w:color w:val="FF0000"/>
              </w:rPr>
            </w:pPr>
            <w:r w:rsidRPr="00CA02FA">
              <w:rPr>
                <w:rFonts w:ascii="等线" w:eastAsia="等线" w:hAnsi="等线"/>
                <w:noProof/>
                <w:sz w:val="21"/>
                <w:szCs w:val="22"/>
                <w:lang w:eastAsia="zh-CN" w:bidi="ar-SA"/>
              </w:rPr>
              <w:drawing>
                <wp:inline distT="0" distB="0" distL="114300" distR="114300" wp14:anchorId="7D791519" wp14:editId="292B60BC">
                  <wp:extent cx="4774565" cy="2413635"/>
                  <wp:effectExtent l="0" t="0" r="6985" b="571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32"/>
                          <a:stretch>
                            <a:fillRect/>
                          </a:stretch>
                        </pic:blipFill>
                        <pic:spPr>
                          <a:xfrm>
                            <a:off x="0" y="0"/>
                            <a:ext cx="4774565" cy="2413635"/>
                          </a:xfrm>
                          <a:prstGeom prst="rect">
                            <a:avLst/>
                          </a:prstGeom>
                          <a:noFill/>
                          <a:ln>
                            <a:noFill/>
                          </a:ln>
                        </pic:spPr>
                      </pic:pic>
                    </a:graphicData>
                  </a:graphic>
                </wp:inline>
              </w:drawing>
            </w:r>
          </w:p>
          <w:p w14:paraId="2CC038B7" w14:textId="77777777" w:rsidR="00CA02FA" w:rsidRPr="00CA02FA" w:rsidRDefault="00CA02FA" w:rsidP="00CA02FA">
            <w:pPr>
              <w:ind w:left="34" w:firstLineChars="234" w:firstLine="564"/>
              <w:contextualSpacing/>
              <w:rPr>
                <w:rFonts w:eastAsia="宋体"/>
                <w:b/>
                <w:color w:val="000000"/>
                <w:lang w:eastAsia="zh-CN"/>
              </w:rPr>
            </w:pPr>
          </w:p>
        </w:tc>
      </w:tr>
      <w:tr w:rsidR="00CA02FA" w:rsidRPr="00CA02FA" w14:paraId="387903AF" w14:textId="77777777" w:rsidTr="00D72849">
        <w:trPr>
          <w:trHeight w:val="3374"/>
        </w:trPr>
        <w:tc>
          <w:tcPr>
            <w:tcW w:w="2158" w:type="dxa"/>
          </w:tcPr>
          <w:p w14:paraId="47C9FCCE" w14:textId="77777777" w:rsidR="00CA02FA" w:rsidRPr="00CA02FA" w:rsidRDefault="00CA02FA" w:rsidP="00000FFC">
            <w:pPr>
              <w:ind w:firstLineChars="0" w:firstLine="0"/>
              <w:rPr>
                <w:rFonts w:ascii="楷体" w:eastAsia="楷体" w:hAnsi="楷体"/>
                <w:b/>
                <w:sz w:val="28"/>
                <w:szCs w:val="28"/>
                <w:lang w:eastAsia="zh-CN" w:bidi="ar-SA"/>
              </w:rPr>
            </w:pPr>
            <w:r w:rsidRPr="00CA02FA">
              <w:rPr>
                <w:rFonts w:ascii="楷体" w:eastAsia="楷体" w:hAnsi="楷体" w:hint="eastAsia"/>
                <w:b/>
                <w:color w:val="000000"/>
                <w:lang w:eastAsia="zh-CN" w:bidi="ar-SA"/>
              </w:rPr>
              <w:t>贸易顺差收缩</w:t>
            </w:r>
          </w:p>
        </w:tc>
        <w:tc>
          <w:tcPr>
            <w:tcW w:w="300" w:type="dxa"/>
          </w:tcPr>
          <w:p w14:paraId="2AF44952" w14:textId="77777777" w:rsidR="00CA02FA" w:rsidRPr="00CA02FA" w:rsidRDefault="00CA02FA" w:rsidP="00CA02FA">
            <w:pPr>
              <w:keepNext/>
              <w:keepLines/>
              <w:spacing w:before="260" w:after="260"/>
              <w:ind w:firstLine="480"/>
              <w:rPr>
                <w:rFonts w:eastAsia="楷体_GB2312"/>
                <w:lang w:eastAsia="zh-CN"/>
              </w:rPr>
            </w:pPr>
          </w:p>
        </w:tc>
        <w:tc>
          <w:tcPr>
            <w:tcW w:w="7179" w:type="dxa"/>
          </w:tcPr>
          <w:p w14:paraId="78ADAA80" w14:textId="77777777" w:rsidR="00CA02FA" w:rsidRPr="00CA02FA" w:rsidRDefault="00CA02FA" w:rsidP="00CA02FA">
            <w:pPr>
              <w:ind w:left="34" w:firstLineChars="234" w:firstLine="564"/>
              <w:contextualSpacing/>
              <w:rPr>
                <w:rFonts w:eastAsia="宋体"/>
                <w:color w:val="000000"/>
                <w:lang w:eastAsia="zh-CN"/>
              </w:rPr>
            </w:pPr>
            <w:r w:rsidRPr="00CA02FA">
              <w:rPr>
                <w:rFonts w:eastAsia="宋体" w:hint="eastAsia"/>
                <w:b/>
                <w:color w:val="000000"/>
                <w:lang w:eastAsia="zh-CN"/>
              </w:rPr>
              <w:t>贸易顺差收缩</w:t>
            </w:r>
            <w:r w:rsidRPr="00CA02FA">
              <w:rPr>
                <w:rFonts w:eastAsia="宋体"/>
                <w:b/>
                <w:color w:val="000000"/>
                <w:lang w:eastAsia="zh-CN"/>
              </w:rPr>
              <w:t>。</w:t>
            </w:r>
            <w:r w:rsidRPr="00CA02FA">
              <w:rPr>
                <w:rFonts w:eastAsia="宋体"/>
                <w:color w:val="000000"/>
                <w:lang w:eastAsia="zh-CN"/>
              </w:rPr>
              <w:t>202</w:t>
            </w:r>
            <w:r w:rsidRPr="00CA02FA">
              <w:rPr>
                <w:rFonts w:eastAsia="宋体" w:hint="eastAsia"/>
                <w:color w:val="000000"/>
                <w:lang w:eastAsia="zh-CN"/>
              </w:rPr>
              <w:t>5</w:t>
            </w:r>
            <w:r w:rsidRPr="00CA02FA">
              <w:rPr>
                <w:rFonts w:eastAsia="宋体"/>
                <w:color w:val="000000"/>
                <w:lang w:eastAsia="zh-CN"/>
              </w:rPr>
              <w:t>年</w:t>
            </w:r>
            <w:r w:rsidRPr="00CA02FA">
              <w:rPr>
                <w:rFonts w:eastAsia="宋体" w:hint="eastAsia"/>
                <w:color w:val="000000"/>
                <w:lang w:eastAsia="zh-CN"/>
              </w:rPr>
              <w:t>1</w:t>
            </w:r>
            <w:r w:rsidRPr="00CA02FA">
              <w:rPr>
                <w:rFonts w:eastAsia="宋体"/>
                <w:color w:val="000000"/>
                <w:lang w:eastAsia="zh-CN"/>
              </w:rPr>
              <w:t>月，</w:t>
            </w:r>
            <w:r w:rsidRPr="00CA02FA">
              <w:rPr>
                <w:rFonts w:eastAsia="宋体" w:hint="eastAsia"/>
                <w:color w:val="000000"/>
                <w:lang w:eastAsia="zh-CN"/>
              </w:rPr>
              <w:t>欧元区</w:t>
            </w:r>
            <w:r w:rsidRPr="00CA02FA">
              <w:rPr>
                <w:rFonts w:eastAsia="宋体"/>
                <w:color w:val="000000"/>
                <w:lang w:eastAsia="zh-CN"/>
              </w:rPr>
              <w:t>20</w:t>
            </w:r>
            <w:r w:rsidRPr="00CA02FA">
              <w:rPr>
                <w:rFonts w:eastAsia="宋体"/>
                <w:color w:val="000000"/>
                <w:lang w:eastAsia="zh-CN"/>
              </w:rPr>
              <w:t>个国家与全球其他地区的货物贸易</w:t>
            </w:r>
            <w:r w:rsidRPr="00CA02FA">
              <w:rPr>
                <w:rFonts w:eastAsia="宋体" w:hint="eastAsia"/>
                <w:color w:val="000000"/>
                <w:lang w:eastAsia="zh-CN"/>
              </w:rPr>
              <w:t>顺差</w:t>
            </w:r>
            <w:r w:rsidRPr="00CA02FA">
              <w:rPr>
                <w:rFonts w:eastAsia="宋体"/>
                <w:color w:val="000000"/>
                <w:lang w:eastAsia="zh-CN"/>
              </w:rPr>
              <w:t>为</w:t>
            </w:r>
            <w:r w:rsidRPr="00CA02FA">
              <w:rPr>
                <w:rFonts w:eastAsia="宋体" w:hint="eastAsia"/>
                <w:color w:val="000000"/>
                <w:lang w:eastAsia="zh-CN"/>
              </w:rPr>
              <w:t>10</w:t>
            </w:r>
            <w:r w:rsidRPr="00CA02FA">
              <w:rPr>
                <w:rFonts w:eastAsia="宋体" w:hint="eastAsia"/>
                <w:color w:val="000000"/>
                <w:lang w:eastAsia="zh-CN"/>
              </w:rPr>
              <w:t>亿欧元，较前一个月</w:t>
            </w:r>
            <w:r w:rsidRPr="00CA02FA">
              <w:rPr>
                <w:rFonts w:eastAsia="宋体" w:hint="eastAsia"/>
                <w:color w:val="000000"/>
                <w:lang w:eastAsia="zh-CN"/>
              </w:rPr>
              <w:t>153</w:t>
            </w:r>
            <w:r w:rsidRPr="00CA02FA">
              <w:rPr>
                <w:rFonts w:eastAsia="宋体" w:hint="eastAsia"/>
                <w:color w:val="000000"/>
                <w:lang w:eastAsia="zh-CN"/>
              </w:rPr>
              <w:t>亿欧元的顺差显著收缩。其中，</w:t>
            </w:r>
            <w:r w:rsidRPr="00CA02FA">
              <w:rPr>
                <w:rFonts w:eastAsia="宋体" w:hint="eastAsia"/>
                <w:color w:val="000000"/>
                <w:lang w:eastAsia="zh-CN"/>
              </w:rPr>
              <w:t>12</w:t>
            </w:r>
            <w:r w:rsidRPr="00CA02FA">
              <w:rPr>
                <w:rFonts w:eastAsia="宋体" w:hint="eastAsia"/>
                <w:color w:val="000000"/>
                <w:lang w:eastAsia="zh-CN"/>
              </w:rPr>
              <w:t>月与中国的贸易逆差为</w:t>
            </w:r>
            <w:r w:rsidRPr="00CA02FA">
              <w:rPr>
                <w:rFonts w:eastAsia="宋体" w:hint="eastAsia"/>
                <w:color w:val="000000"/>
                <w:lang w:eastAsia="zh-CN"/>
              </w:rPr>
              <w:t>230</w:t>
            </w:r>
            <w:r w:rsidRPr="00CA02FA">
              <w:rPr>
                <w:rFonts w:eastAsia="宋体" w:hint="eastAsia"/>
                <w:color w:val="000000"/>
                <w:lang w:eastAsia="zh-CN"/>
              </w:rPr>
              <w:t>亿欧元，</w:t>
            </w:r>
            <w:r w:rsidRPr="00CA02FA">
              <w:rPr>
                <w:rFonts w:eastAsia="宋体" w:hint="eastAsia"/>
                <w:color w:val="000000"/>
                <w:lang w:eastAsia="zh-CN"/>
              </w:rPr>
              <w:t>2024</w:t>
            </w:r>
            <w:r w:rsidRPr="00CA02FA">
              <w:rPr>
                <w:rFonts w:eastAsia="宋体" w:hint="eastAsia"/>
                <w:color w:val="000000"/>
                <w:lang w:eastAsia="zh-CN"/>
              </w:rPr>
              <w:t>年</w:t>
            </w:r>
            <w:r w:rsidRPr="00CA02FA">
              <w:rPr>
                <w:rFonts w:eastAsia="宋体" w:hint="eastAsia"/>
                <w:color w:val="000000"/>
                <w:lang w:eastAsia="zh-CN"/>
              </w:rPr>
              <w:t>1</w:t>
            </w:r>
            <w:r w:rsidRPr="00CA02FA">
              <w:rPr>
                <w:rFonts w:eastAsia="宋体" w:hint="eastAsia"/>
                <w:color w:val="000000"/>
                <w:lang w:eastAsia="zh-CN"/>
              </w:rPr>
              <w:t>月扩大为</w:t>
            </w:r>
            <w:r w:rsidRPr="00CA02FA">
              <w:rPr>
                <w:rFonts w:eastAsia="宋体" w:hint="eastAsia"/>
                <w:color w:val="000000"/>
                <w:lang w:eastAsia="zh-CN"/>
              </w:rPr>
              <w:t>300</w:t>
            </w:r>
            <w:r w:rsidRPr="00CA02FA">
              <w:rPr>
                <w:rFonts w:eastAsia="宋体" w:hint="eastAsia"/>
                <w:color w:val="000000"/>
                <w:lang w:eastAsia="zh-CN"/>
              </w:rPr>
              <w:t>亿欧元，同比增加</w:t>
            </w:r>
            <w:r w:rsidRPr="00CA02FA">
              <w:rPr>
                <w:rFonts w:eastAsia="宋体" w:hint="eastAsia"/>
                <w:color w:val="000000"/>
                <w:lang w:eastAsia="zh-CN"/>
              </w:rPr>
              <w:t>46</w:t>
            </w:r>
            <w:r w:rsidRPr="00CA02FA">
              <w:rPr>
                <w:rFonts w:eastAsia="宋体" w:hint="eastAsia"/>
                <w:color w:val="000000"/>
                <w:lang w:eastAsia="zh-CN"/>
              </w:rPr>
              <w:t>个百分点的贸易逆差。</w:t>
            </w:r>
          </w:p>
          <w:p w14:paraId="3972D6ED" w14:textId="77777777" w:rsidR="00CA02FA" w:rsidRPr="00CA02FA" w:rsidRDefault="00CA02FA" w:rsidP="00CA02FA">
            <w:pPr>
              <w:ind w:left="34" w:firstLineChars="234" w:firstLine="562"/>
              <w:contextualSpacing/>
              <w:rPr>
                <w:rFonts w:eastAsia="宋体"/>
                <w:color w:val="000000"/>
                <w:lang w:eastAsia="zh-CN"/>
              </w:rPr>
            </w:pPr>
            <w:r w:rsidRPr="00CA02FA">
              <w:rPr>
                <w:rFonts w:eastAsia="宋体" w:hint="eastAsia"/>
                <w:color w:val="000000"/>
                <w:lang w:eastAsia="zh-CN"/>
              </w:rPr>
              <w:t>从进出口规模来看，欧元区</w:t>
            </w:r>
            <w:r w:rsidRPr="00CA02FA">
              <w:rPr>
                <w:rFonts w:eastAsia="宋体" w:hint="eastAsia"/>
                <w:color w:val="000000"/>
                <w:lang w:eastAsia="zh-CN"/>
              </w:rPr>
              <w:t>1</w:t>
            </w:r>
            <w:r w:rsidRPr="00CA02FA">
              <w:rPr>
                <w:rFonts w:eastAsia="宋体" w:hint="eastAsia"/>
                <w:color w:val="000000"/>
                <w:lang w:eastAsia="zh-CN"/>
              </w:rPr>
              <w:t>月对非欧盟国家的出口规模为</w:t>
            </w:r>
            <w:r w:rsidRPr="00CA02FA">
              <w:rPr>
                <w:rFonts w:eastAsia="宋体" w:hint="eastAsia"/>
                <w:color w:val="000000"/>
                <w:lang w:eastAsia="zh-CN"/>
              </w:rPr>
              <w:t>2325</w:t>
            </w:r>
            <w:r w:rsidRPr="00CA02FA">
              <w:rPr>
                <w:rFonts w:eastAsia="宋体" w:hint="eastAsia"/>
                <w:color w:val="000000"/>
                <w:lang w:eastAsia="zh-CN"/>
              </w:rPr>
              <w:t>亿欧元，同比增长</w:t>
            </w:r>
            <w:r w:rsidRPr="00CA02FA">
              <w:rPr>
                <w:rFonts w:eastAsia="宋体" w:hint="eastAsia"/>
                <w:color w:val="000000"/>
                <w:lang w:eastAsia="zh-CN"/>
              </w:rPr>
              <w:t>3%</w:t>
            </w:r>
            <w:r w:rsidRPr="00CA02FA">
              <w:rPr>
                <w:rFonts w:eastAsia="宋体" w:hint="eastAsia"/>
                <w:color w:val="000000"/>
                <w:lang w:eastAsia="zh-CN"/>
              </w:rPr>
              <w:t>；进口规模为</w:t>
            </w:r>
            <w:r w:rsidRPr="00CA02FA">
              <w:rPr>
                <w:rFonts w:eastAsia="宋体" w:hint="eastAsia"/>
                <w:color w:val="000000"/>
                <w:lang w:eastAsia="zh-CN"/>
              </w:rPr>
              <w:t>2315</w:t>
            </w:r>
            <w:r w:rsidRPr="00CA02FA">
              <w:rPr>
                <w:rFonts w:eastAsia="宋体" w:hint="eastAsia"/>
                <w:color w:val="000000"/>
                <w:lang w:eastAsia="zh-CN"/>
              </w:rPr>
              <w:t>亿欧元，同比增长</w:t>
            </w:r>
            <w:r w:rsidRPr="00CA02FA">
              <w:rPr>
                <w:rFonts w:eastAsia="宋体" w:hint="eastAsia"/>
                <w:color w:val="000000"/>
                <w:lang w:eastAsia="zh-CN"/>
              </w:rPr>
              <w:t>7.6%</w:t>
            </w:r>
            <w:r w:rsidRPr="00CA02FA">
              <w:rPr>
                <w:rFonts w:eastAsia="宋体" w:hint="eastAsia"/>
                <w:color w:val="000000"/>
                <w:lang w:eastAsia="zh-CN"/>
              </w:rPr>
              <w:t>。</w:t>
            </w:r>
          </w:p>
          <w:p w14:paraId="05AC27A1" w14:textId="77777777" w:rsidR="00CA02FA" w:rsidRPr="00CA02FA" w:rsidRDefault="00CA02FA" w:rsidP="00CA02FA">
            <w:pPr>
              <w:ind w:left="34" w:firstLineChars="234" w:firstLine="562"/>
              <w:contextualSpacing/>
              <w:rPr>
                <w:rFonts w:eastAsia="宋体"/>
                <w:color w:val="000000"/>
                <w:lang w:eastAsia="zh-CN"/>
              </w:rPr>
            </w:pPr>
            <w:r w:rsidRPr="00CA02FA">
              <w:rPr>
                <w:rFonts w:eastAsia="宋体" w:hint="eastAsia"/>
                <w:color w:val="000000"/>
                <w:lang w:eastAsia="zh-CN"/>
              </w:rPr>
              <w:t>就对外贸易状况而言，欧元区进出口贸易相较于</w:t>
            </w:r>
            <w:r w:rsidRPr="00CA02FA">
              <w:rPr>
                <w:rFonts w:eastAsia="宋体" w:hint="eastAsia"/>
                <w:color w:val="000000"/>
                <w:lang w:eastAsia="zh-CN"/>
              </w:rPr>
              <w:t>2024</w:t>
            </w:r>
            <w:r w:rsidRPr="00CA02FA">
              <w:rPr>
                <w:rFonts w:eastAsia="宋体" w:hint="eastAsia"/>
                <w:color w:val="000000"/>
                <w:lang w:eastAsia="zh-CN"/>
              </w:rPr>
              <w:t>年底均出现回升。</w:t>
            </w:r>
            <w:r w:rsidRPr="00CA02FA">
              <w:rPr>
                <w:rFonts w:eastAsia="宋体" w:hint="eastAsia"/>
                <w:color w:val="000000"/>
                <w:lang w:eastAsia="zh-CN"/>
              </w:rPr>
              <w:t>2025</w:t>
            </w:r>
            <w:r w:rsidRPr="00CA02FA">
              <w:rPr>
                <w:rFonts w:eastAsia="宋体" w:hint="eastAsia"/>
                <w:color w:val="000000"/>
                <w:lang w:eastAsia="zh-CN"/>
              </w:rPr>
              <w:t>年</w:t>
            </w:r>
            <w:r w:rsidRPr="00CA02FA">
              <w:rPr>
                <w:rFonts w:eastAsia="宋体" w:hint="eastAsia"/>
                <w:color w:val="000000"/>
                <w:lang w:eastAsia="zh-CN"/>
              </w:rPr>
              <w:t>1</w:t>
            </w:r>
            <w:r w:rsidRPr="00CA02FA">
              <w:rPr>
                <w:rFonts w:eastAsia="宋体" w:hint="eastAsia"/>
                <w:color w:val="000000"/>
                <w:lang w:eastAsia="zh-CN"/>
              </w:rPr>
              <w:t>月，欧元区经季节后的进口规模环比上升</w:t>
            </w:r>
            <w:r w:rsidRPr="00CA02FA">
              <w:rPr>
                <w:rFonts w:eastAsia="宋体" w:hint="eastAsia"/>
                <w:color w:val="000000"/>
                <w:lang w:eastAsia="zh-CN"/>
              </w:rPr>
              <w:t>2.3%</w:t>
            </w:r>
            <w:r w:rsidRPr="00CA02FA">
              <w:rPr>
                <w:rFonts w:eastAsia="宋体" w:hint="eastAsia"/>
                <w:color w:val="000000"/>
                <w:lang w:eastAsia="zh-CN"/>
              </w:rPr>
              <w:t>，出口规模环比上升</w:t>
            </w:r>
            <w:r w:rsidRPr="00CA02FA">
              <w:rPr>
                <w:rFonts w:eastAsia="宋体" w:hint="eastAsia"/>
                <w:color w:val="000000"/>
                <w:lang w:eastAsia="zh-CN"/>
              </w:rPr>
              <w:t>2.1%</w:t>
            </w:r>
            <w:r w:rsidRPr="00CA02FA">
              <w:rPr>
                <w:rFonts w:eastAsia="宋体" w:hint="eastAsia"/>
                <w:color w:val="000000"/>
                <w:lang w:eastAsia="zh-CN"/>
              </w:rPr>
              <w:t>。</w:t>
            </w:r>
          </w:p>
        </w:tc>
      </w:tr>
      <w:tr w:rsidR="00CA02FA" w:rsidRPr="00CA02FA" w14:paraId="3436214F" w14:textId="77777777" w:rsidTr="00D72849">
        <w:trPr>
          <w:trHeight w:val="875"/>
        </w:trPr>
        <w:tc>
          <w:tcPr>
            <w:tcW w:w="2158" w:type="dxa"/>
          </w:tcPr>
          <w:p w14:paraId="158F3342" w14:textId="77777777" w:rsidR="00CA02FA" w:rsidRPr="00CA02FA" w:rsidRDefault="00CA02FA" w:rsidP="00CA02FA">
            <w:pPr>
              <w:ind w:firstLineChars="0" w:firstLine="482"/>
              <w:rPr>
                <w:rFonts w:eastAsia="楷体_GB2312"/>
                <w:b/>
                <w:color w:val="000000"/>
                <w:lang w:eastAsia="zh-CN" w:bidi="ar-SA"/>
              </w:rPr>
            </w:pPr>
          </w:p>
          <w:p w14:paraId="31AE26EC" w14:textId="77777777" w:rsidR="00CA02FA" w:rsidRPr="00CA02FA" w:rsidRDefault="00CA02FA" w:rsidP="00CA02FA">
            <w:pPr>
              <w:ind w:firstLineChars="0" w:firstLine="482"/>
              <w:rPr>
                <w:rFonts w:eastAsia="楷体_GB2312"/>
                <w:b/>
                <w:color w:val="000000"/>
                <w:lang w:eastAsia="zh-CN" w:bidi="ar-SA"/>
              </w:rPr>
            </w:pPr>
          </w:p>
          <w:p w14:paraId="0117EB34" w14:textId="77777777" w:rsidR="00CA02FA" w:rsidRPr="00CA02FA" w:rsidRDefault="00CA02FA" w:rsidP="00000FFC">
            <w:pPr>
              <w:ind w:firstLineChars="0" w:firstLine="0"/>
              <w:rPr>
                <w:rFonts w:eastAsia="楷体"/>
                <w:b/>
                <w:sz w:val="28"/>
                <w:szCs w:val="28"/>
                <w:lang w:eastAsia="zh-CN" w:bidi="ar-SA"/>
              </w:rPr>
            </w:pPr>
            <w:r w:rsidRPr="00CA02FA">
              <w:rPr>
                <w:rFonts w:eastAsia="楷体" w:hint="eastAsia"/>
                <w:b/>
                <w:color w:val="000000"/>
                <w:lang w:eastAsia="zh-CN" w:bidi="ar-SA"/>
              </w:rPr>
              <w:t>欧央行降息</w:t>
            </w:r>
          </w:p>
        </w:tc>
        <w:tc>
          <w:tcPr>
            <w:tcW w:w="300" w:type="dxa"/>
          </w:tcPr>
          <w:p w14:paraId="0DA6D79A" w14:textId="77777777" w:rsidR="00CA02FA" w:rsidRPr="00CA02FA" w:rsidRDefault="00CA02FA" w:rsidP="00CA02FA">
            <w:pPr>
              <w:keepNext/>
              <w:keepLines/>
              <w:spacing w:before="260" w:after="260"/>
              <w:ind w:firstLine="480"/>
              <w:rPr>
                <w:rFonts w:eastAsia="楷体_GB2312"/>
                <w:lang w:eastAsia="zh-CN"/>
              </w:rPr>
            </w:pPr>
          </w:p>
        </w:tc>
        <w:tc>
          <w:tcPr>
            <w:tcW w:w="7179" w:type="dxa"/>
          </w:tcPr>
          <w:p w14:paraId="54A9DAC7" w14:textId="77777777" w:rsidR="00CA02FA" w:rsidRPr="00CA02FA" w:rsidRDefault="00CA02FA" w:rsidP="001244F7">
            <w:pPr>
              <w:spacing w:beforeLines="50" w:before="163"/>
              <w:ind w:firstLineChars="0" w:firstLine="0"/>
              <w:rPr>
                <w:rFonts w:eastAsia="宋体"/>
                <w:b/>
                <w:sz w:val="28"/>
                <w:szCs w:val="28"/>
                <w:lang w:eastAsia="zh-CN" w:bidi="ar-SA"/>
              </w:rPr>
            </w:pPr>
            <w:r w:rsidRPr="00CA02FA">
              <w:rPr>
                <w:rFonts w:eastAsia="宋体"/>
                <w:b/>
                <w:sz w:val="28"/>
                <w:szCs w:val="28"/>
                <w:lang w:eastAsia="zh-CN" w:bidi="ar-SA"/>
              </w:rPr>
              <w:t>三、政策走势</w:t>
            </w:r>
          </w:p>
          <w:p w14:paraId="133AF39A" w14:textId="77777777" w:rsidR="00CA02FA" w:rsidRPr="00CA02FA" w:rsidRDefault="00CA02FA" w:rsidP="00CA02FA">
            <w:pPr>
              <w:ind w:left="34" w:firstLineChars="234" w:firstLine="564"/>
              <w:contextualSpacing/>
              <w:rPr>
                <w:rFonts w:eastAsia="宋体"/>
                <w:bCs/>
                <w:color w:val="000000"/>
                <w:lang w:eastAsia="zh-CN"/>
              </w:rPr>
            </w:pPr>
            <w:r w:rsidRPr="00CA02FA">
              <w:rPr>
                <w:rFonts w:eastAsia="宋体" w:hint="eastAsia"/>
                <w:b/>
                <w:color w:val="000000"/>
                <w:lang w:eastAsia="zh-CN"/>
              </w:rPr>
              <w:t>欧央行降息</w:t>
            </w:r>
            <w:r w:rsidRPr="00CA02FA">
              <w:rPr>
                <w:rFonts w:eastAsia="宋体"/>
                <w:b/>
                <w:color w:val="000000"/>
                <w:lang w:eastAsia="zh-CN"/>
              </w:rPr>
              <w:t>。</w:t>
            </w:r>
            <w:r w:rsidRPr="00CA02FA">
              <w:rPr>
                <w:rFonts w:eastAsia="宋体"/>
                <w:bCs/>
                <w:color w:val="000000"/>
                <w:lang w:eastAsia="zh-CN"/>
              </w:rPr>
              <w:t>尽管通胀率上升，欧洲央行在</w:t>
            </w:r>
            <w:r w:rsidRPr="00CA02FA">
              <w:rPr>
                <w:rFonts w:eastAsia="宋体"/>
                <w:bCs/>
                <w:color w:val="000000"/>
                <w:lang w:eastAsia="zh-CN"/>
              </w:rPr>
              <w:t>2024</w:t>
            </w:r>
            <w:r w:rsidRPr="00CA02FA">
              <w:rPr>
                <w:rFonts w:eastAsia="宋体"/>
                <w:bCs/>
                <w:color w:val="000000"/>
                <w:lang w:eastAsia="zh-CN"/>
              </w:rPr>
              <w:t>年第一季度继续维持宽松的货币政策，以支持经济复苏</w:t>
            </w:r>
            <w:r w:rsidRPr="00CA02FA">
              <w:rPr>
                <w:rFonts w:eastAsia="宋体" w:hint="eastAsia"/>
                <w:bCs/>
                <w:color w:val="000000"/>
                <w:lang w:eastAsia="zh-CN"/>
              </w:rPr>
              <w:t>。</w:t>
            </w:r>
            <w:r w:rsidRPr="00CA02FA">
              <w:rPr>
                <w:rFonts w:eastAsia="宋体"/>
                <w:bCs/>
                <w:color w:val="000000"/>
                <w:lang w:eastAsia="zh-CN"/>
              </w:rPr>
              <w:t>欧洲央行在</w:t>
            </w:r>
            <w:r w:rsidRPr="00CA02FA">
              <w:rPr>
                <w:rFonts w:eastAsia="宋体"/>
                <w:bCs/>
                <w:color w:val="000000"/>
                <w:lang w:eastAsia="zh-CN"/>
              </w:rPr>
              <w:t>2025</w:t>
            </w:r>
            <w:r w:rsidRPr="00CA02FA">
              <w:rPr>
                <w:rFonts w:eastAsia="宋体"/>
                <w:bCs/>
                <w:color w:val="000000"/>
                <w:lang w:eastAsia="zh-CN"/>
              </w:rPr>
              <w:t>年</w:t>
            </w:r>
            <w:r w:rsidRPr="00CA02FA">
              <w:rPr>
                <w:rFonts w:eastAsia="宋体"/>
                <w:bCs/>
                <w:color w:val="000000"/>
                <w:lang w:eastAsia="zh-CN"/>
              </w:rPr>
              <w:t>1</w:t>
            </w:r>
            <w:r w:rsidRPr="00CA02FA">
              <w:rPr>
                <w:rFonts w:eastAsia="宋体"/>
                <w:bCs/>
                <w:color w:val="000000"/>
                <w:lang w:eastAsia="zh-CN"/>
              </w:rPr>
              <w:t>月降息</w:t>
            </w:r>
            <w:r w:rsidRPr="00CA02FA">
              <w:rPr>
                <w:rFonts w:eastAsia="宋体"/>
                <w:bCs/>
                <w:color w:val="000000"/>
                <w:lang w:eastAsia="zh-CN"/>
              </w:rPr>
              <w:t>25</w:t>
            </w:r>
            <w:r w:rsidRPr="00CA02FA">
              <w:rPr>
                <w:rFonts w:eastAsia="宋体"/>
                <w:bCs/>
                <w:color w:val="000000"/>
                <w:lang w:eastAsia="zh-CN"/>
              </w:rPr>
              <w:t>个基点，使存款机制利率降至</w:t>
            </w:r>
            <w:r w:rsidRPr="00CA02FA">
              <w:rPr>
                <w:rFonts w:eastAsia="宋体"/>
                <w:bCs/>
                <w:color w:val="000000"/>
                <w:lang w:eastAsia="zh-CN"/>
              </w:rPr>
              <w:t>2.75%</w:t>
            </w:r>
            <w:r w:rsidRPr="00CA02FA">
              <w:rPr>
                <w:rFonts w:eastAsia="宋体" w:hint="eastAsia"/>
                <w:bCs/>
                <w:color w:val="000000"/>
                <w:lang w:eastAsia="zh-CN"/>
              </w:rPr>
              <w:t>。</w:t>
            </w:r>
            <w:r w:rsidRPr="00CA02FA">
              <w:rPr>
                <w:rFonts w:eastAsia="宋体"/>
                <w:bCs/>
                <w:color w:val="000000"/>
                <w:lang w:eastAsia="zh-CN"/>
              </w:rPr>
              <w:t>市场普遍预期欧洲央行在</w:t>
            </w:r>
            <w:r w:rsidRPr="00CA02FA">
              <w:rPr>
                <w:rFonts w:eastAsia="宋体"/>
                <w:bCs/>
                <w:color w:val="000000"/>
                <w:lang w:eastAsia="zh-CN"/>
              </w:rPr>
              <w:t>2025</w:t>
            </w:r>
            <w:r w:rsidRPr="00CA02FA">
              <w:rPr>
                <w:rFonts w:eastAsia="宋体"/>
                <w:bCs/>
                <w:color w:val="000000"/>
                <w:lang w:eastAsia="zh-CN"/>
              </w:rPr>
              <w:t>年将进一步降息，预计全年可能降息</w:t>
            </w:r>
            <w:r w:rsidRPr="00CA02FA">
              <w:rPr>
                <w:rFonts w:eastAsia="宋体"/>
                <w:bCs/>
                <w:color w:val="000000"/>
                <w:lang w:eastAsia="zh-CN"/>
              </w:rPr>
              <w:t>3-4</w:t>
            </w:r>
            <w:r w:rsidRPr="00CA02FA">
              <w:rPr>
                <w:rFonts w:eastAsia="宋体"/>
                <w:bCs/>
                <w:color w:val="000000"/>
                <w:lang w:eastAsia="zh-CN"/>
              </w:rPr>
              <w:t>次，最终将存款利率降至</w:t>
            </w:r>
            <w:r w:rsidRPr="00CA02FA">
              <w:rPr>
                <w:rFonts w:eastAsia="宋体"/>
                <w:bCs/>
                <w:color w:val="000000"/>
                <w:lang w:eastAsia="zh-CN"/>
              </w:rPr>
              <w:t>1.5%</w:t>
            </w:r>
            <w:r w:rsidRPr="00CA02FA">
              <w:rPr>
                <w:rFonts w:eastAsia="宋体" w:hint="eastAsia"/>
                <w:bCs/>
                <w:color w:val="000000"/>
                <w:lang w:eastAsia="zh-CN"/>
              </w:rPr>
              <w:t>。</w:t>
            </w:r>
          </w:p>
          <w:p w14:paraId="57A01AEF" w14:textId="77777777" w:rsidR="00CA02FA" w:rsidRPr="00CA02FA" w:rsidRDefault="00CA02FA" w:rsidP="00CA02FA">
            <w:pPr>
              <w:ind w:left="34" w:firstLineChars="234" w:firstLine="562"/>
              <w:contextualSpacing/>
              <w:rPr>
                <w:rFonts w:eastAsia="宋体"/>
                <w:bCs/>
                <w:color w:val="000000"/>
                <w:lang w:eastAsia="zh-CN"/>
              </w:rPr>
            </w:pPr>
            <w:r w:rsidRPr="00CA02FA">
              <w:rPr>
                <w:rFonts w:eastAsia="宋体"/>
                <w:bCs/>
                <w:color w:val="000000"/>
                <w:lang w:eastAsia="zh-CN"/>
              </w:rPr>
              <w:t>欧洲央行执行委员会成员伊莎贝尔</w:t>
            </w:r>
            <w:r w:rsidRPr="00CA02FA">
              <w:rPr>
                <w:rFonts w:eastAsia="宋体"/>
                <w:bCs/>
                <w:color w:val="000000"/>
                <w:lang w:eastAsia="zh-CN"/>
              </w:rPr>
              <w:t>·</w:t>
            </w:r>
            <w:r w:rsidRPr="00CA02FA">
              <w:rPr>
                <w:rFonts w:eastAsia="宋体"/>
                <w:bCs/>
                <w:color w:val="000000"/>
                <w:lang w:eastAsia="zh-CN"/>
              </w:rPr>
              <w:t>施纳贝尔强调，欧洲央行在过去几年中通过坚定的货币政策行动展示了对价格稳定目标的</w:t>
            </w:r>
            <w:r w:rsidRPr="00CA02FA">
              <w:rPr>
                <w:rFonts w:eastAsia="宋体"/>
                <w:bCs/>
                <w:color w:val="000000"/>
                <w:lang w:eastAsia="zh-CN"/>
              </w:rPr>
              <w:lastRenderedPageBreak/>
              <w:t>承诺</w:t>
            </w:r>
            <w:r w:rsidRPr="00CA02FA">
              <w:rPr>
                <w:rFonts w:eastAsia="宋体" w:hint="eastAsia"/>
                <w:bCs/>
                <w:color w:val="000000"/>
                <w:lang w:eastAsia="zh-CN"/>
              </w:rPr>
              <w:t>。</w:t>
            </w:r>
            <w:r w:rsidRPr="00CA02FA">
              <w:rPr>
                <w:rFonts w:eastAsia="宋体"/>
                <w:bCs/>
                <w:color w:val="000000"/>
                <w:lang w:eastAsia="zh-CN"/>
              </w:rPr>
              <w:t>4</w:t>
            </w:r>
            <w:r w:rsidRPr="00CA02FA">
              <w:rPr>
                <w:rFonts w:eastAsia="宋体" w:hint="eastAsia"/>
                <w:bCs/>
                <w:color w:val="000000"/>
                <w:lang w:eastAsia="zh-CN"/>
              </w:rPr>
              <w:t>月</w:t>
            </w:r>
            <w:r w:rsidRPr="00CA02FA">
              <w:rPr>
                <w:rFonts w:eastAsia="宋体" w:hint="eastAsia"/>
                <w:bCs/>
                <w:color w:val="000000"/>
                <w:lang w:eastAsia="zh-CN"/>
              </w:rPr>
              <w:t>8</w:t>
            </w:r>
            <w:r w:rsidRPr="00CA02FA">
              <w:rPr>
                <w:rFonts w:eastAsia="宋体" w:hint="eastAsia"/>
                <w:bCs/>
                <w:color w:val="000000"/>
                <w:lang w:eastAsia="zh-CN"/>
              </w:rPr>
              <w:t>日，</w:t>
            </w:r>
            <w:r w:rsidRPr="00CA02FA">
              <w:rPr>
                <w:rFonts w:eastAsia="宋体"/>
                <w:bCs/>
                <w:color w:val="000000"/>
                <w:lang w:eastAsia="zh-CN"/>
              </w:rPr>
              <w:t>施纳贝尔</w:t>
            </w:r>
            <w:r w:rsidRPr="00CA02FA">
              <w:rPr>
                <w:rFonts w:eastAsia="宋体" w:hint="eastAsia"/>
                <w:bCs/>
                <w:color w:val="000000"/>
                <w:lang w:eastAsia="zh-CN"/>
              </w:rPr>
              <w:t>表示通胀数据显示出积极迹象，今年通胀有望回归</w:t>
            </w:r>
            <w:r w:rsidRPr="00CA02FA">
              <w:rPr>
                <w:rFonts w:eastAsia="宋体" w:hint="eastAsia"/>
                <w:bCs/>
                <w:color w:val="000000"/>
                <w:lang w:eastAsia="zh-CN"/>
              </w:rPr>
              <w:t>2%</w:t>
            </w:r>
            <w:r w:rsidRPr="00CA02FA">
              <w:rPr>
                <w:rFonts w:eastAsia="宋体" w:hint="eastAsia"/>
                <w:bCs/>
                <w:color w:val="000000"/>
                <w:lang w:eastAsia="zh-CN"/>
              </w:rPr>
              <w:t>的目标。</w:t>
            </w:r>
          </w:p>
        </w:tc>
      </w:tr>
      <w:tr w:rsidR="00CA02FA" w:rsidRPr="00CA02FA" w14:paraId="7B3E445C" w14:textId="77777777" w:rsidTr="00D72849">
        <w:trPr>
          <w:trHeight w:val="3909"/>
        </w:trPr>
        <w:tc>
          <w:tcPr>
            <w:tcW w:w="2158" w:type="dxa"/>
          </w:tcPr>
          <w:p w14:paraId="1BA8AF6A" w14:textId="77777777" w:rsidR="00CA02FA" w:rsidRPr="00CA02FA" w:rsidRDefault="00CA02FA" w:rsidP="00000FFC">
            <w:pPr>
              <w:ind w:firstLineChars="0" w:firstLine="0"/>
              <w:rPr>
                <w:rFonts w:eastAsia="楷体"/>
                <w:b/>
                <w:sz w:val="28"/>
                <w:szCs w:val="28"/>
                <w:lang w:eastAsia="zh-CN" w:bidi="ar-SA"/>
              </w:rPr>
            </w:pPr>
            <w:r w:rsidRPr="00CA02FA">
              <w:rPr>
                <w:rFonts w:eastAsia="楷体" w:hint="eastAsia"/>
                <w:b/>
                <w:lang w:eastAsia="zh-CN" w:bidi="ar-SA"/>
              </w:rPr>
              <w:lastRenderedPageBreak/>
              <w:t>欧盟对美国报复性关税。</w:t>
            </w:r>
          </w:p>
        </w:tc>
        <w:tc>
          <w:tcPr>
            <w:tcW w:w="300" w:type="dxa"/>
          </w:tcPr>
          <w:p w14:paraId="315E3593" w14:textId="77777777" w:rsidR="00CA02FA" w:rsidRPr="00CA02FA" w:rsidRDefault="00CA02FA" w:rsidP="00CA02FA">
            <w:pPr>
              <w:keepNext/>
              <w:keepLines/>
              <w:spacing w:before="260" w:after="260"/>
              <w:ind w:firstLine="480"/>
              <w:rPr>
                <w:rFonts w:eastAsia="楷体_GB2312"/>
                <w:lang w:eastAsia="zh-CN"/>
              </w:rPr>
            </w:pPr>
          </w:p>
        </w:tc>
        <w:tc>
          <w:tcPr>
            <w:tcW w:w="7179" w:type="dxa"/>
          </w:tcPr>
          <w:p w14:paraId="063A077F" w14:textId="77777777" w:rsidR="00CA02FA" w:rsidRPr="00CA02FA" w:rsidRDefault="00CA02FA" w:rsidP="00CA02FA">
            <w:pPr>
              <w:ind w:left="34" w:firstLineChars="234" w:firstLine="562"/>
              <w:contextualSpacing/>
              <w:rPr>
                <w:rFonts w:eastAsia="宋体"/>
                <w:bCs/>
                <w:color w:val="000000"/>
                <w:lang w:eastAsia="zh-CN"/>
              </w:rPr>
            </w:pPr>
            <w:r w:rsidRPr="00CA02FA">
              <w:rPr>
                <w:rFonts w:eastAsia="宋体" w:hint="eastAsia"/>
                <w:bCs/>
                <w:color w:val="000000"/>
                <w:lang w:eastAsia="zh-CN"/>
              </w:rPr>
              <w:t xml:space="preserve">    3</w:t>
            </w:r>
            <w:r w:rsidRPr="00CA02FA">
              <w:rPr>
                <w:rFonts w:eastAsia="宋体" w:hint="eastAsia"/>
                <w:bCs/>
                <w:color w:val="000000"/>
                <w:lang w:eastAsia="zh-CN"/>
              </w:rPr>
              <w:t>月</w:t>
            </w:r>
            <w:r w:rsidRPr="00CA02FA">
              <w:rPr>
                <w:rFonts w:eastAsia="宋体" w:hint="eastAsia"/>
                <w:bCs/>
                <w:color w:val="000000"/>
                <w:lang w:eastAsia="zh-CN"/>
              </w:rPr>
              <w:t>12</w:t>
            </w:r>
            <w:r w:rsidRPr="00CA02FA">
              <w:rPr>
                <w:rFonts w:eastAsia="宋体" w:hint="eastAsia"/>
                <w:bCs/>
                <w:color w:val="000000"/>
                <w:lang w:eastAsia="zh-CN"/>
              </w:rPr>
              <w:t>日，</w:t>
            </w:r>
            <w:r w:rsidRPr="00CA02FA">
              <w:rPr>
                <w:rFonts w:eastAsia="宋体"/>
                <w:bCs/>
                <w:color w:val="000000"/>
                <w:lang w:eastAsia="zh-CN"/>
              </w:rPr>
              <w:t>欧盟委员会确实宣布了对美国钢铁和铝关税的报复措施，计划对价值约</w:t>
            </w:r>
            <w:r w:rsidRPr="00CA02FA">
              <w:rPr>
                <w:rFonts w:eastAsia="宋体"/>
                <w:bCs/>
                <w:color w:val="000000"/>
                <w:lang w:eastAsia="zh-CN"/>
              </w:rPr>
              <w:t>260</w:t>
            </w:r>
            <w:r w:rsidRPr="00CA02FA">
              <w:rPr>
                <w:rFonts w:eastAsia="宋体"/>
                <w:bCs/>
                <w:color w:val="000000"/>
                <w:lang w:eastAsia="zh-CN"/>
              </w:rPr>
              <w:t>亿欧元的美国进口商品征收反制关税</w:t>
            </w:r>
            <w:r w:rsidRPr="00CA02FA">
              <w:rPr>
                <w:rFonts w:eastAsia="宋体" w:hint="eastAsia"/>
                <w:bCs/>
                <w:color w:val="000000"/>
                <w:lang w:eastAsia="zh-CN"/>
              </w:rPr>
              <w:t>。</w:t>
            </w:r>
            <w:r w:rsidRPr="00CA02FA">
              <w:rPr>
                <w:rFonts w:eastAsia="宋体"/>
                <w:bCs/>
                <w:color w:val="000000"/>
                <w:lang w:eastAsia="zh-CN"/>
              </w:rPr>
              <w:t>报复性关税将分两步实施</w:t>
            </w:r>
            <w:r w:rsidRPr="00CA02FA">
              <w:rPr>
                <w:rFonts w:eastAsia="宋体" w:hint="eastAsia"/>
                <w:bCs/>
                <w:color w:val="000000"/>
                <w:lang w:eastAsia="zh-CN"/>
              </w:rPr>
              <w:t>，</w:t>
            </w:r>
            <w:r w:rsidRPr="00CA02FA">
              <w:rPr>
                <w:rFonts w:eastAsia="宋体"/>
                <w:bCs/>
                <w:color w:val="000000"/>
                <w:lang w:eastAsia="zh-CN"/>
              </w:rPr>
              <w:t>从</w:t>
            </w:r>
            <w:r w:rsidRPr="00CA02FA">
              <w:rPr>
                <w:rFonts w:eastAsia="宋体"/>
                <w:bCs/>
                <w:color w:val="000000"/>
                <w:lang w:eastAsia="zh-CN"/>
              </w:rPr>
              <w:t>4</w:t>
            </w:r>
            <w:r w:rsidRPr="00CA02FA">
              <w:rPr>
                <w:rFonts w:eastAsia="宋体"/>
                <w:bCs/>
                <w:color w:val="000000"/>
                <w:lang w:eastAsia="zh-CN"/>
              </w:rPr>
              <w:t>月</w:t>
            </w:r>
            <w:r w:rsidRPr="00CA02FA">
              <w:rPr>
                <w:rFonts w:eastAsia="宋体"/>
                <w:bCs/>
                <w:color w:val="000000"/>
                <w:lang w:eastAsia="zh-CN"/>
              </w:rPr>
              <w:t>1</w:t>
            </w:r>
            <w:r w:rsidRPr="00CA02FA">
              <w:rPr>
                <w:rFonts w:eastAsia="宋体"/>
                <w:bCs/>
                <w:color w:val="000000"/>
                <w:lang w:eastAsia="zh-CN"/>
              </w:rPr>
              <w:t>日开始，恢复</w:t>
            </w:r>
            <w:r w:rsidRPr="00CA02FA">
              <w:rPr>
                <w:rFonts w:eastAsia="宋体"/>
                <w:bCs/>
                <w:color w:val="000000"/>
                <w:lang w:eastAsia="zh-CN"/>
              </w:rPr>
              <w:t>2018</w:t>
            </w:r>
            <w:r w:rsidRPr="00CA02FA">
              <w:rPr>
                <w:rFonts w:eastAsia="宋体"/>
                <w:bCs/>
                <w:color w:val="000000"/>
                <w:lang w:eastAsia="zh-CN"/>
              </w:rPr>
              <w:t>年和</w:t>
            </w:r>
            <w:r w:rsidRPr="00CA02FA">
              <w:rPr>
                <w:rFonts w:eastAsia="宋体"/>
                <w:bCs/>
                <w:color w:val="000000"/>
                <w:lang w:eastAsia="zh-CN"/>
              </w:rPr>
              <w:t>2020</w:t>
            </w:r>
            <w:r w:rsidRPr="00CA02FA">
              <w:rPr>
                <w:rFonts w:eastAsia="宋体"/>
                <w:bCs/>
                <w:color w:val="000000"/>
                <w:lang w:eastAsia="zh-CN"/>
              </w:rPr>
              <w:t>年为回应当年美国钢铝关税而加征的报复性关税，涉及产品总值约</w:t>
            </w:r>
            <w:r w:rsidRPr="00CA02FA">
              <w:rPr>
                <w:rFonts w:eastAsia="宋体"/>
                <w:bCs/>
                <w:color w:val="000000"/>
                <w:lang w:eastAsia="zh-CN"/>
              </w:rPr>
              <w:t>80</w:t>
            </w:r>
            <w:r w:rsidRPr="00CA02FA">
              <w:rPr>
                <w:rFonts w:eastAsia="宋体"/>
                <w:bCs/>
                <w:color w:val="000000"/>
                <w:lang w:eastAsia="zh-CN"/>
              </w:rPr>
              <w:t>亿欧元</w:t>
            </w:r>
            <w:r w:rsidRPr="00CA02FA">
              <w:rPr>
                <w:rFonts w:eastAsia="宋体" w:hint="eastAsia"/>
                <w:bCs/>
                <w:color w:val="000000"/>
                <w:lang w:eastAsia="zh-CN"/>
              </w:rPr>
              <w:t>。</w:t>
            </w:r>
            <w:r w:rsidRPr="00CA02FA">
              <w:rPr>
                <w:rFonts w:eastAsia="宋体"/>
                <w:bCs/>
                <w:color w:val="000000"/>
                <w:lang w:eastAsia="zh-CN"/>
              </w:rPr>
              <w:t>从</w:t>
            </w:r>
            <w:r w:rsidRPr="00CA02FA">
              <w:rPr>
                <w:rFonts w:eastAsia="宋体"/>
                <w:bCs/>
                <w:color w:val="000000"/>
                <w:lang w:eastAsia="zh-CN"/>
              </w:rPr>
              <w:t>4</w:t>
            </w:r>
            <w:r w:rsidRPr="00CA02FA">
              <w:rPr>
                <w:rFonts w:eastAsia="宋体"/>
                <w:bCs/>
                <w:color w:val="000000"/>
                <w:lang w:eastAsia="zh-CN"/>
              </w:rPr>
              <w:t>月中旬开始，对更多美国输欧产品加征报复性关税，</w:t>
            </w:r>
            <w:r w:rsidRPr="00CA02FA">
              <w:rPr>
                <w:rFonts w:eastAsia="宋体" w:hint="eastAsia"/>
                <w:bCs/>
                <w:color w:val="000000"/>
                <w:lang w:eastAsia="zh-CN"/>
              </w:rPr>
              <w:t>包括</w:t>
            </w:r>
            <w:r w:rsidRPr="00CA02FA">
              <w:rPr>
                <w:rFonts w:eastAsia="宋体"/>
                <w:bCs/>
                <w:color w:val="000000"/>
                <w:lang w:eastAsia="zh-CN"/>
              </w:rPr>
              <w:t>牛肉、海鲜、奶制品及家电、纺织品等产</w:t>
            </w:r>
            <w:r w:rsidRPr="00CA02FA">
              <w:rPr>
                <w:rFonts w:eastAsia="宋体" w:hint="eastAsia"/>
                <w:bCs/>
                <w:color w:val="000000"/>
                <w:lang w:eastAsia="zh-CN"/>
              </w:rPr>
              <w:t>品，</w:t>
            </w:r>
            <w:r w:rsidRPr="00CA02FA">
              <w:rPr>
                <w:rFonts w:eastAsia="宋体"/>
                <w:bCs/>
                <w:color w:val="000000"/>
                <w:lang w:eastAsia="zh-CN"/>
              </w:rPr>
              <w:t>涉及产品总值约</w:t>
            </w:r>
            <w:r w:rsidRPr="00CA02FA">
              <w:rPr>
                <w:rFonts w:eastAsia="宋体"/>
                <w:bCs/>
                <w:color w:val="000000"/>
                <w:lang w:eastAsia="zh-CN"/>
              </w:rPr>
              <w:t>180</w:t>
            </w:r>
            <w:r w:rsidRPr="00CA02FA">
              <w:rPr>
                <w:rFonts w:eastAsia="宋体"/>
                <w:bCs/>
                <w:color w:val="000000"/>
                <w:lang w:eastAsia="zh-CN"/>
              </w:rPr>
              <w:t>亿欧</w:t>
            </w:r>
            <w:r w:rsidRPr="00CA02FA">
              <w:rPr>
                <w:rFonts w:eastAsia="宋体" w:hint="eastAsia"/>
                <w:bCs/>
                <w:color w:val="000000"/>
                <w:lang w:eastAsia="zh-CN"/>
              </w:rPr>
              <w:t>元。报复性关税将对美国与欧盟双边关系产生负面影响，增加企业与消费者成本。</w:t>
            </w:r>
          </w:p>
        </w:tc>
      </w:tr>
      <w:tr w:rsidR="00CA02FA" w:rsidRPr="00CA02FA" w14:paraId="1198C92A" w14:textId="77777777" w:rsidTr="00D72849">
        <w:trPr>
          <w:trHeight w:val="1001"/>
        </w:trPr>
        <w:tc>
          <w:tcPr>
            <w:tcW w:w="2158" w:type="dxa"/>
          </w:tcPr>
          <w:p w14:paraId="1ED18A97" w14:textId="77777777" w:rsidR="00CA02FA" w:rsidRPr="00CA02FA" w:rsidRDefault="00CA02FA" w:rsidP="00000FFC">
            <w:pPr>
              <w:ind w:firstLineChars="0" w:firstLine="0"/>
              <w:rPr>
                <w:rFonts w:eastAsia="楷体"/>
                <w:b/>
                <w:szCs w:val="28"/>
                <w:lang w:eastAsia="zh-CN" w:bidi="ar-SA"/>
              </w:rPr>
            </w:pPr>
            <w:r w:rsidRPr="00CA02FA">
              <w:rPr>
                <w:rFonts w:eastAsia="楷体" w:hint="eastAsia"/>
                <w:b/>
                <w:szCs w:val="28"/>
                <w:lang w:eastAsia="zh-CN" w:bidi="ar-SA"/>
              </w:rPr>
              <w:t>欧洲增加防务开支。</w:t>
            </w:r>
          </w:p>
        </w:tc>
        <w:tc>
          <w:tcPr>
            <w:tcW w:w="300" w:type="dxa"/>
          </w:tcPr>
          <w:p w14:paraId="67BE7E6C" w14:textId="77777777" w:rsidR="00CA02FA" w:rsidRPr="00CA02FA" w:rsidRDefault="00CA02FA" w:rsidP="00CA02FA">
            <w:pPr>
              <w:keepNext/>
              <w:keepLines/>
              <w:spacing w:before="260" w:after="260"/>
              <w:ind w:firstLine="480"/>
              <w:rPr>
                <w:rFonts w:eastAsia="楷体_GB2312"/>
                <w:lang w:eastAsia="zh-CN"/>
              </w:rPr>
            </w:pPr>
          </w:p>
        </w:tc>
        <w:tc>
          <w:tcPr>
            <w:tcW w:w="7179" w:type="dxa"/>
          </w:tcPr>
          <w:p w14:paraId="1204DE96" w14:textId="77777777" w:rsidR="00CA02FA" w:rsidRPr="00CA02FA" w:rsidRDefault="00CA02FA" w:rsidP="00CA02FA">
            <w:pPr>
              <w:ind w:left="34" w:firstLineChars="234" w:firstLine="562"/>
              <w:contextualSpacing/>
              <w:rPr>
                <w:rFonts w:eastAsia="宋体"/>
                <w:bCs/>
                <w:color w:val="000000"/>
                <w:lang w:eastAsia="zh-CN"/>
              </w:rPr>
            </w:pPr>
            <w:r w:rsidRPr="00CA02FA">
              <w:rPr>
                <w:rFonts w:eastAsia="宋体"/>
                <w:bCs/>
                <w:color w:val="000000"/>
                <w:lang w:eastAsia="zh-CN"/>
              </w:rPr>
              <w:t>2025</w:t>
            </w:r>
            <w:r w:rsidRPr="00CA02FA">
              <w:rPr>
                <w:rFonts w:eastAsia="宋体"/>
                <w:bCs/>
                <w:color w:val="000000"/>
                <w:lang w:eastAsia="zh-CN"/>
              </w:rPr>
              <w:t>年</w:t>
            </w:r>
            <w:r w:rsidRPr="00CA02FA">
              <w:rPr>
                <w:rFonts w:eastAsia="宋体"/>
                <w:bCs/>
                <w:color w:val="000000"/>
                <w:lang w:eastAsia="zh-CN"/>
              </w:rPr>
              <w:t>3</w:t>
            </w:r>
            <w:r w:rsidRPr="00CA02FA">
              <w:rPr>
                <w:rFonts w:eastAsia="宋体"/>
                <w:bCs/>
                <w:color w:val="000000"/>
                <w:lang w:eastAsia="zh-CN"/>
              </w:rPr>
              <w:t>月，德国宣布将放松财政束缚，斥资数千亿欧元用于欧洲防务转型。这一政策转变被视为欧洲防务的</w:t>
            </w:r>
            <w:r w:rsidRPr="00CA02FA">
              <w:rPr>
                <w:rFonts w:eastAsia="宋体"/>
                <w:bCs/>
                <w:color w:val="000000"/>
                <w:lang w:eastAsia="zh-CN"/>
              </w:rPr>
              <w:t>“</w:t>
            </w:r>
            <w:r w:rsidRPr="00CA02FA">
              <w:rPr>
                <w:rFonts w:eastAsia="宋体"/>
                <w:bCs/>
                <w:color w:val="000000"/>
                <w:lang w:eastAsia="zh-CN"/>
              </w:rPr>
              <w:t>游戏规则改变者</w:t>
            </w:r>
            <w:r w:rsidRPr="00CA02FA">
              <w:rPr>
                <w:rFonts w:eastAsia="宋体"/>
                <w:bCs/>
                <w:color w:val="000000"/>
                <w:lang w:eastAsia="zh-CN"/>
              </w:rPr>
              <w:t>”</w:t>
            </w:r>
            <w:r w:rsidRPr="00CA02FA">
              <w:rPr>
                <w:rFonts w:eastAsia="宋体"/>
                <w:bCs/>
                <w:color w:val="000000"/>
                <w:lang w:eastAsia="zh-CN"/>
              </w:rPr>
              <w:t>，具有跨时代意义。德国财政政策的转变引发了市场的积极反应</w:t>
            </w:r>
            <w:r w:rsidRPr="00CA02FA">
              <w:rPr>
                <w:rFonts w:eastAsia="宋体" w:hint="eastAsia"/>
                <w:bCs/>
                <w:color w:val="000000"/>
                <w:lang w:eastAsia="zh-CN"/>
              </w:rPr>
              <w:t>，</w:t>
            </w:r>
            <w:r w:rsidRPr="00CA02FA">
              <w:rPr>
                <w:rFonts w:eastAsia="宋体"/>
                <w:bCs/>
                <w:color w:val="000000"/>
                <w:lang w:eastAsia="zh-CN"/>
              </w:rPr>
              <w:t>高盛集团提高了对欧元汇率的预测，德意志银行和法国兴业银行等机构也</w:t>
            </w:r>
            <w:r w:rsidRPr="00CA02FA">
              <w:rPr>
                <w:rFonts w:eastAsia="宋体" w:hint="eastAsia"/>
                <w:bCs/>
                <w:color w:val="000000"/>
                <w:lang w:eastAsia="zh-CN"/>
              </w:rPr>
              <w:t>对德国经济增长</w:t>
            </w:r>
            <w:r w:rsidRPr="00CA02FA">
              <w:rPr>
                <w:rFonts w:eastAsia="宋体"/>
                <w:bCs/>
                <w:color w:val="000000"/>
                <w:lang w:eastAsia="zh-CN"/>
              </w:rPr>
              <w:t>发布了更为乐观的预测</w:t>
            </w:r>
            <w:r w:rsidRPr="00CA02FA">
              <w:rPr>
                <w:rFonts w:eastAsia="宋体" w:hint="eastAsia"/>
                <w:bCs/>
                <w:color w:val="000000"/>
                <w:lang w:eastAsia="zh-CN"/>
              </w:rPr>
              <w:t>。</w:t>
            </w:r>
            <w:r w:rsidRPr="00CA02FA">
              <w:rPr>
                <w:rFonts w:eastAsia="宋体"/>
                <w:bCs/>
                <w:color w:val="000000"/>
                <w:lang w:eastAsia="zh-CN"/>
              </w:rPr>
              <w:t>然而，高盛警告称，对于已经债台高筑的欧洲国家来说，</w:t>
            </w:r>
            <w:r w:rsidRPr="00CA02FA">
              <w:rPr>
                <w:rFonts w:eastAsia="宋体" w:hint="eastAsia"/>
                <w:bCs/>
                <w:color w:val="000000"/>
                <w:lang w:eastAsia="zh-CN"/>
              </w:rPr>
              <w:t>是否能够继续发行债务以增加军费开支存在较大疑问。</w:t>
            </w:r>
          </w:p>
          <w:p w14:paraId="5FDBE2CD" w14:textId="77777777" w:rsidR="00CA02FA" w:rsidRPr="00CA02FA" w:rsidRDefault="00CA02FA" w:rsidP="00CA02FA">
            <w:pPr>
              <w:ind w:left="34" w:firstLineChars="234" w:firstLine="562"/>
              <w:contextualSpacing/>
              <w:rPr>
                <w:rFonts w:eastAsia="宋体"/>
                <w:b/>
                <w:color w:val="000000"/>
                <w:lang w:eastAsia="zh-CN"/>
              </w:rPr>
            </w:pPr>
            <w:r w:rsidRPr="00CA02FA">
              <w:rPr>
                <w:rFonts w:eastAsia="宋体"/>
                <w:bCs/>
                <w:color w:val="000000"/>
                <w:lang w:eastAsia="zh-CN"/>
              </w:rPr>
              <w:t>2025</w:t>
            </w:r>
            <w:r w:rsidRPr="00CA02FA">
              <w:rPr>
                <w:rFonts w:eastAsia="宋体"/>
                <w:bCs/>
                <w:color w:val="000000"/>
                <w:lang w:eastAsia="zh-CN"/>
              </w:rPr>
              <w:t>年</w:t>
            </w:r>
            <w:r w:rsidRPr="00CA02FA">
              <w:rPr>
                <w:rFonts w:eastAsia="宋体"/>
                <w:bCs/>
                <w:color w:val="000000"/>
                <w:lang w:eastAsia="zh-CN"/>
              </w:rPr>
              <w:t>3</w:t>
            </w:r>
            <w:r w:rsidRPr="00CA02FA">
              <w:rPr>
                <w:rFonts w:eastAsia="宋体"/>
                <w:bCs/>
                <w:color w:val="000000"/>
                <w:lang w:eastAsia="zh-CN"/>
              </w:rPr>
              <w:t>月</w:t>
            </w:r>
            <w:r w:rsidRPr="00CA02FA">
              <w:rPr>
                <w:rFonts w:eastAsia="宋体"/>
                <w:bCs/>
                <w:color w:val="000000"/>
                <w:lang w:eastAsia="zh-CN"/>
              </w:rPr>
              <w:t>26</w:t>
            </w:r>
            <w:r w:rsidRPr="00CA02FA">
              <w:rPr>
                <w:rFonts w:eastAsia="宋体" w:hint="eastAsia"/>
                <w:bCs/>
                <w:color w:val="000000"/>
                <w:lang w:eastAsia="zh-CN"/>
              </w:rPr>
              <w:t>日，</w:t>
            </w:r>
            <w:r w:rsidRPr="00CA02FA">
              <w:rPr>
                <w:rFonts w:eastAsia="宋体"/>
                <w:bCs/>
                <w:color w:val="000000"/>
                <w:lang w:eastAsia="zh-CN"/>
              </w:rPr>
              <w:t>英国财政大臣里夫斯</w:t>
            </w:r>
            <w:r w:rsidRPr="00CA02FA">
              <w:rPr>
                <w:rFonts w:eastAsia="宋体" w:hint="eastAsia"/>
                <w:bCs/>
                <w:color w:val="000000"/>
                <w:lang w:eastAsia="zh-CN"/>
              </w:rPr>
              <w:t>宣布英国</w:t>
            </w:r>
            <w:r w:rsidRPr="00CA02FA">
              <w:rPr>
                <w:rFonts w:eastAsia="宋体"/>
                <w:bCs/>
                <w:color w:val="000000"/>
                <w:lang w:eastAsia="zh-CN"/>
              </w:rPr>
              <w:t>计划增加国防开</w:t>
            </w:r>
            <w:r w:rsidRPr="00CA02FA">
              <w:rPr>
                <w:rFonts w:eastAsia="宋体" w:hint="eastAsia"/>
                <w:bCs/>
                <w:color w:val="000000"/>
                <w:lang w:eastAsia="zh-CN"/>
              </w:rPr>
              <w:t>支，</w:t>
            </w:r>
            <w:r w:rsidRPr="00CA02FA">
              <w:rPr>
                <w:rFonts w:eastAsia="宋体"/>
                <w:bCs/>
                <w:color w:val="000000"/>
                <w:lang w:eastAsia="zh-CN"/>
              </w:rPr>
              <w:t>特别是在海军力量和太空防御领域的投入</w:t>
            </w:r>
            <w:r w:rsidRPr="00CA02FA">
              <w:rPr>
                <w:rFonts w:eastAsia="宋体" w:hint="eastAsia"/>
                <w:bCs/>
                <w:color w:val="000000"/>
                <w:lang w:eastAsia="zh-CN"/>
              </w:rPr>
              <w:t>，以促进</w:t>
            </w:r>
            <w:r w:rsidRPr="00CA02FA">
              <w:rPr>
                <w:rFonts w:eastAsia="宋体"/>
                <w:bCs/>
                <w:color w:val="000000"/>
                <w:lang w:eastAsia="zh-CN"/>
              </w:rPr>
              <w:t>国内军事工业的发展</w:t>
            </w:r>
            <w:r w:rsidRPr="00CA02FA">
              <w:rPr>
                <w:rFonts w:eastAsia="宋体" w:hint="eastAsia"/>
                <w:bCs/>
                <w:color w:val="000000"/>
                <w:lang w:eastAsia="zh-CN"/>
              </w:rPr>
              <w:t>。</w:t>
            </w:r>
          </w:p>
        </w:tc>
      </w:tr>
      <w:tr w:rsidR="00CA02FA" w:rsidRPr="00CA02FA" w14:paraId="0BF83AE8" w14:textId="77777777" w:rsidTr="00D72849">
        <w:trPr>
          <w:trHeight w:val="2416"/>
        </w:trPr>
        <w:tc>
          <w:tcPr>
            <w:tcW w:w="2158" w:type="dxa"/>
          </w:tcPr>
          <w:p w14:paraId="2D69F8F2" w14:textId="77777777" w:rsidR="00CA02FA" w:rsidRPr="00CA02FA" w:rsidRDefault="00CA02FA" w:rsidP="00CA02FA">
            <w:pPr>
              <w:spacing w:beforeLines="50" w:before="163"/>
              <w:ind w:firstLineChars="0" w:firstLine="562"/>
              <w:rPr>
                <w:rFonts w:eastAsia="宋体"/>
                <w:b/>
                <w:sz w:val="28"/>
                <w:szCs w:val="28"/>
                <w:lang w:eastAsia="zh-CN" w:bidi="ar-SA"/>
              </w:rPr>
            </w:pPr>
            <w:bookmarkStart w:id="35" w:name="_Hlk108266833"/>
          </w:p>
          <w:p w14:paraId="55802797" w14:textId="77777777" w:rsidR="00CA02FA" w:rsidRPr="00CA02FA" w:rsidRDefault="00CA02FA" w:rsidP="00000FFC">
            <w:pPr>
              <w:ind w:firstLineChars="0" w:firstLine="0"/>
              <w:rPr>
                <w:rFonts w:eastAsia="楷体"/>
                <w:b/>
                <w:color w:val="000000"/>
                <w:lang w:eastAsia="zh-CN" w:bidi="ar-SA"/>
              </w:rPr>
            </w:pPr>
            <w:r w:rsidRPr="00CA02FA">
              <w:rPr>
                <w:rFonts w:eastAsia="楷体" w:hint="eastAsia"/>
                <w:b/>
                <w:color w:val="000000"/>
                <w:lang w:eastAsia="zh-CN" w:bidi="ar-SA"/>
              </w:rPr>
              <w:t>年初经济活动将继续低迷。</w:t>
            </w:r>
          </w:p>
        </w:tc>
        <w:tc>
          <w:tcPr>
            <w:tcW w:w="300" w:type="dxa"/>
          </w:tcPr>
          <w:p w14:paraId="307BB73B" w14:textId="77777777" w:rsidR="00CA02FA" w:rsidRPr="00CA02FA" w:rsidRDefault="00CA02FA" w:rsidP="00CA02FA">
            <w:pPr>
              <w:keepNext/>
              <w:keepLines/>
              <w:spacing w:before="260" w:after="260"/>
              <w:ind w:firstLine="480"/>
              <w:rPr>
                <w:rFonts w:eastAsia="楷体_GB2312"/>
                <w:lang w:eastAsia="zh-CN"/>
              </w:rPr>
            </w:pPr>
          </w:p>
        </w:tc>
        <w:tc>
          <w:tcPr>
            <w:tcW w:w="7179" w:type="dxa"/>
          </w:tcPr>
          <w:p w14:paraId="15311114" w14:textId="77777777" w:rsidR="00CA02FA" w:rsidRPr="00CA02FA" w:rsidRDefault="00CA02FA" w:rsidP="001244F7">
            <w:pPr>
              <w:ind w:firstLineChars="0" w:firstLine="0"/>
              <w:contextualSpacing/>
              <w:rPr>
                <w:rFonts w:eastAsia="宋体"/>
                <w:b/>
                <w:color w:val="000000"/>
                <w:lang w:eastAsia="zh-CN"/>
              </w:rPr>
            </w:pPr>
            <w:r w:rsidRPr="00CA02FA">
              <w:rPr>
                <w:rFonts w:eastAsia="宋体"/>
                <w:b/>
                <w:color w:val="000000"/>
                <w:lang w:eastAsia="zh-CN"/>
              </w:rPr>
              <w:t>四、经济形势展望</w:t>
            </w:r>
          </w:p>
          <w:p w14:paraId="1668DA0D" w14:textId="37068CEC" w:rsidR="00CA02FA" w:rsidRPr="00CA02FA" w:rsidRDefault="00CA02FA" w:rsidP="00CA02FA">
            <w:pPr>
              <w:ind w:left="34" w:firstLineChars="234" w:firstLine="562"/>
              <w:contextualSpacing/>
              <w:rPr>
                <w:rFonts w:eastAsia="宋体"/>
                <w:bCs/>
                <w:color w:val="000000"/>
                <w:lang w:eastAsia="zh-CN"/>
              </w:rPr>
            </w:pPr>
            <w:r w:rsidRPr="00CA02FA">
              <w:rPr>
                <w:rFonts w:eastAsia="宋体"/>
                <w:bCs/>
                <w:color w:val="000000"/>
                <w:lang w:eastAsia="zh-CN"/>
              </w:rPr>
              <w:t>2025</w:t>
            </w:r>
            <w:r w:rsidRPr="00CA02FA">
              <w:rPr>
                <w:rFonts w:eastAsia="宋体"/>
                <w:bCs/>
                <w:color w:val="000000"/>
                <w:lang w:eastAsia="zh-CN"/>
              </w:rPr>
              <w:t>年第二季度，欧洲经济面临多重挑战，包括全球经济</w:t>
            </w:r>
            <w:r w:rsidR="00BE10E2">
              <w:rPr>
                <w:rFonts w:eastAsia="宋体" w:hint="eastAsia"/>
                <w:bCs/>
                <w:color w:val="000000"/>
                <w:lang w:eastAsia="zh-CN"/>
              </w:rPr>
              <w:t>增长</w:t>
            </w:r>
            <w:r w:rsidRPr="00CA02FA">
              <w:rPr>
                <w:rFonts w:eastAsia="宋体"/>
                <w:bCs/>
                <w:color w:val="000000"/>
                <w:lang w:eastAsia="zh-CN"/>
              </w:rPr>
              <w:t>放缓、贸易紧张局势和内部结构性问题</w:t>
            </w:r>
            <w:r w:rsidRPr="00CA02FA">
              <w:rPr>
                <w:rFonts w:eastAsia="宋体" w:hint="eastAsia"/>
                <w:bCs/>
                <w:color w:val="000000"/>
                <w:lang w:eastAsia="zh-CN"/>
              </w:rPr>
              <w:t>。</w:t>
            </w:r>
            <w:r w:rsidRPr="00CA02FA">
              <w:rPr>
                <w:rFonts w:eastAsia="宋体"/>
                <w:bCs/>
                <w:color w:val="000000"/>
                <w:lang w:eastAsia="zh-CN"/>
              </w:rPr>
              <w:t>由于美国贸易伙伴对新关税的强烈反应以及普遍存在的不确定性，第二季度欧洲经济情绪可能比预期更差</w:t>
            </w:r>
            <w:r w:rsidRPr="00CA02FA">
              <w:rPr>
                <w:rFonts w:eastAsia="宋体" w:hint="eastAsia"/>
                <w:bCs/>
                <w:color w:val="000000"/>
                <w:lang w:eastAsia="zh-CN"/>
              </w:rPr>
              <w:t>。</w:t>
            </w:r>
            <w:r w:rsidRPr="00CA02FA">
              <w:rPr>
                <w:rFonts w:eastAsia="宋体"/>
                <w:bCs/>
                <w:color w:val="000000"/>
                <w:lang w:eastAsia="zh-CN"/>
              </w:rPr>
              <w:t>德国贝伦伯格银</w:t>
            </w:r>
            <w:r w:rsidRPr="00CA02FA">
              <w:rPr>
                <w:rFonts w:eastAsia="宋体" w:hint="eastAsia"/>
                <w:bCs/>
                <w:color w:val="000000"/>
                <w:lang w:eastAsia="zh-CN"/>
              </w:rPr>
              <w:t>行</w:t>
            </w:r>
            <w:r w:rsidRPr="00CA02FA">
              <w:rPr>
                <w:rFonts w:eastAsia="宋体"/>
                <w:bCs/>
                <w:color w:val="000000"/>
                <w:lang w:eastAsia="zh-CN"/>
              </w:rPr>
              <w:t>将欧元区和英国第二季度实际</w:t>
            </w:r>
            <w:r w:rsidRPr="00CA02FA">
              <w:rPr>
                <w:rFonts w:eastAsia="宋体"/>
                <w:bCs/>
                <w:color w:val="000000"/>
                <w:lang w:eastAsia="zh-CN"/>
              </w:rPr>
              <w:t>GDP</w:t>
            </w:r>
            <w:r w:rsidRPr="00CA02FA">
              <w:rPr>
                <w:rFonts w:eastAsia="宋体"/>
                <w:bCs/>
                <w:color w:val="000000"/>
                <w:lang w:eastAsia="zh-CN"/>
              </w:rPr>
              <w:t>增长预期分别下调</w:t>
            </w:r>
            <w:r w:rsidRPr="00CA02FA">
              <w:rPr>
                <w:rFonts w:eastAsia="宋体"/>
                <w:bCs/>
                <w:color w:val="000000"/>
                <w:lang w:eastAsia="zh-CN"/>
              </w:rPr>
              <w:t>0.1</w:t>
            </w:r>
            <w:r w:rsidRPr="00CA02FA">
              <w:rPr>
                <w:rFonts w:eastAsia="宋体"/>
                <w:bCs/>
                <w:color w:val="000000"/>
                <w:lang w:eastAsia="zh-CN"/>
              </w:rPr>
              <w:t>个百分点，至环比增长</w:t>
            </w:r>
            <w:r w:rsidRPr="00CA02FA">
              <w:rPr>
                <w:rFonts w:eastAsia="宋体"/>
                <w:bCs/>
                <w:color w:val="000000"/>
                <w:lang w:eastAsia="zh-CN"/>
              </w:rPr>
              <w:t>0.1%</w:t>
            </w:r>
            <w:r w:rsidRPr="00CA02FA">
              <w:rPr>
                <w:rFonts w:eastAsia="宋体"/>
                <w:bCs/>
                <w:color w:val="000000"/>
                <w:lang w:eastAsia="zh-CN"/>
              </w:rPr>
              <w:t>和</w:t>
            </w:r>
            <w:r w:rsidRPr="00CA02FA">
              <w:rPr>
                <w:rFonts w:eastAsia="宋体"/>
                <w:bCs/>
                <w:color w:val="000000"/>
                <w:lang w:eastAsia="zh-CN"/>
              </w:rPr>
              <w:t>0.2%</w:t>
            </w:r>
            <w:r w:rsidRPr="00CA02FA">
              <w:rPr>
                <w:rFonts w:eastAsia="宋体" w:hint="eastAsia"/>
                <w:bCs/>
                <w:color w:val="000000"/>
                <w:lang w:eastAsia="zh-CN"/>
              </w:rPr>
              <w:t>。</w:t>
            </w:r>
          </w:p>
          <w:p w14:paraId="4F81D786" w14:textId="77777777" w:rsidR="00CA02FA" w:rsidRPr="00CA02FA" w:rsidRDefault="00CA02FA" w:rsidP="00CA02FA">
            <w:pPr>
              <w:ind w:left="34" w:firstLineChars="234" w:firstLine="562"/>
              <w:contextualSpacing/>
              <w:rPr>
                <w:rFonts w:eastAsia="宋体"/>
                <w:bCs/>
                <w:color w:val="000000"/>
                <w:lang w:eastAsia="zh-CN"/>
              </w:rPr>
            </w:pPr>
            <w:r w:rsidRPr="00CA02FA">
              <w:rPr>
                <w:rFonts w:eastAsia="宋体" w:hint="eastAsia"/>
                <w:bCs/>
                <w:color w:val="000000"/>
                <w:lang w:eastAsia="zh-CN"/>
              </w:rPr>
              <w:t>通胀方面，</w:t>
            </w:r>
            <w:r w:rsidRPr="00CA02FA">
              <w:rPr>
                <w:rFonts w:eastAsia="宋体"/>
                <w:bCs/>
                <w:color w:val="000000"/>
                <w:lang w:eastAsia="zh-CN"/>
              </w:rPr>
              <w:t>根据</w:t>
            </w:r>
            <w:r w:rsidRPr="00CA02FA">
              <w:rPr>
                <w:rFonts w:eastAsia="宋体"/>
                <w:bCs/>
                <w:color w:val="000000"/>
                <w:lang w:eastAsia="zh-CN"/>
              </w:rPr>
              <w:t>IMF</w:t>
            </w:r>
            <w:r w:rsidRPr="00CA02FA">
              <w:rPr>
                <w:rFonts w:eastAsia="宋体"/>
                <w:bCs/>
                <w:color w:val="000000"/>
                <w:lang w:eastAsia="zh-CN"/>
              </w:rPr>
              <w:t>的预测，</w:t>
            </w:r>
            <w:r w:rsidRPr="00CA02FA">
              <w:rPr>
                <w:rFonts w:eastAsia="宋体"/>
                <w:bCs/>
                <w:color w:val="000000"/>
                <w:lang w:eastAsia="zh-CN"/>
              </w:rPr>
              <w:t>2025</w:t>
            </w:r>
            <w:r w:rsidRPr="00CA02FA">
              <w:rPr>
                <w:rFonts w:eastAsia="宋体"/>
                <w:bCs/>
                <w:color w:val="000000"/>
                <w:lang w:eastAsia="zh-CN"/>
              </w:rPr>
              <w:t>年第二季度欧洲整体的</w:t>
            </w:r>
            <w:r w:rsidRPr="00CA02FA">
              <w:rPr>
                <w:rFonts w:eastAsia="宋体"/>
                <w:bCs/>
                <w:color w:val="000000"/>
                <w:lang w:eastAsia="zh-CN"/>
              </w:rPr>
              <w:t>CPI</w:t>
            </w:r>
            <w:r w:rsidRPr="00CA02FA">
              <w:rPr>
                <w:rFonts w:eastAsia="宋体"/>
                <w:bCs/>
                <w:color w:val="000000"/>
                <w:lang w:eastAsia="zh-CN"/>
              </w:rPr>
              <w:t>同比增幅为</w:t>
            </w:r>
            <w:r w:rsidRPr="00CA02FA">
              <w:rPr>
                <w:rFonts w:eastAsia="宋体"/>
                <w:bCs/>
                <w:color w:val="000000"/>
                <w:lang w:eastAsia="zh-CN"/>
              </w:rPr>
              <w:t>2</w:t>
            </w:r>
            <w:r w:rsidRPr="00CA02FA">
              <w:rPr>
                <w:rFonts w:eastAsia="宋体" w:hint="eastAsia"/>
                <w:bCs/>
                <w:color w:val="000000"/>
                <w:lang w:eastAsia="zh-CN"/>
              </w:rPr>
              <w:t>.</w:t>
            </w:r>
            <w:r w:rsidRPr="00CA02FA">
              <w:rPr>
                <w:rFonts w:eastAsia="宋体"/>
                <w:bCs/>
                <w:color w:val="000000"/>
                <w:lang w:eastAsia="zh-CN"/>
              </w:rPr>
              <w:t>25</w:t>
            </w:r>
            <w:r w:rsidRPr="00CA02FA">
              <w:rPr>
                <w:rFonts w:eastAsia="宋体" w:hint="eastAsia"/>
                <w:bCs/>
                <w:color w:val="000000"/>
                <w:lang w:eastAsia="zh-CN"/>
              </w:rPr>
              <w:t>个点</w:t>
            </w:r>
            <w:r w:rsidRPr="00CA02FA">
              <w:rPr>
                <w:rFonts w:eastAsia="宋体"/>
                <w:bCs/>
                <w:color w:val="000000"/>
                <w:lang w:eastAsia="zh-CN"/>
              </w:rPr>
              <w:t>。这一较低的通胀水平表明，欧洲央行</w:t>
            </w:r>
            <w:r w:rsidRPr="00CA02FA">
              <w:rPr>
                <w:rFonts w:eastAsia="宋体"/>
                <w:bCs/>
                <w:color w:val="000000"/>
                <w:lang w:eastAsia="zh-CN"/>
              </w:rPr>
              <w:lastRenderedPageBreak/>
              <w:t>可能继续保持宽松的货币政策以刺激经济增长</w:t>
            </w:r>
            <w:r w:rsidRPr="00CA02FA">
              <w:rPr>
                <w:rFonts w:eastAsia="宋体" w:hint="eastAsia"/>
                <w:bCs/>
                <w:color w:val="000000"/>
                <w:lang w:eastAsia="zh-CN"/>
              </w:rPr>
              <w:t>。</w:t>
            </w:r>
          </w:p>
          <w:p w14:paraId="43360F5D" w14:textId="77777777" w:rsidR="00CA02FA" w:rsidRPr="00CA02FA" w:rsidRDefault="00CA02FA" w:rsidP="00CA02FA">
            <w:pPr>
              <w:ind w:left="34" w:firstLineChars="234" w:firstLine="562"/>
              <w:contextualSpacing/>
              <w:rPr>
                <w:rFonts w:eastAsia="宋体"/>
                <w:bCs/>
                <w:color w:val="000000"/>
                <w:lang w:eastAsia="zh-CN"/>
              </w:rPr>
            </w:pPr>
            <w:r w:rsidRPr="00CA02FA">
              <w:rPr>
                <w:rFonts w:eastAsia="宋体" w:hint="eastAsia"/>
                <w:bCs/>
                <w:color w:val="000000"/>
                <w:lang w:eastAsia="zh-CN"/>
              </w:rPr>
              <w:t>分国别来看，</w:t>
            </w:r>
            <w:r w:rsidRPr="00CA02FA">
              <w:rPr>
                <w:rFonts w:eastAsia="宋体"/>
                <w:bCs/>
                <w:color w:val="000000"/>
                <w:lang w:eastAsia="zh-CN"/>
              </w:rPr>
              <w:t>作为欧洲最大的经济体，德国可能因美国关税政策和全球需求疲软而面临较大挑战。德国的制造业和出口导向型经济将直接受到这些因素的影响</w:t>
            </w:r>
            <w:r w:rsidRPr="00CA02FA">
              <w:rPr>
                <w:rFonts w:eastAsia="宋体" w:hint="eastAsia"/>
                <w:bCs/>
                <w:color w:val="000000"/>
                <w:lang w:eastAsia="zh-CN"/>
              </w:rPr>
              <w:t>。</w:t>
            </w:r>
            <w:r w:rsidRPr="00CA02FA">
              <w:rPr>
                <w:rFonts w:eastAsia="宋体"/>
                <w:bCs/>
                <w:color w:val="000000"/>
                <w:lang w:eastAsia="zh-CN"/>
              </w:rPr>
              <w:t>相比之下，法国经济预计受到的影响较小。法国的经济结构较为多元化，内需强劲，能够更好地抵御外部冲击</w:t>
            </w:r>
            <w:r w:rsidRPr="00CA02FA">
              <w:rPr>
                <w:rFonts w:eastAsia="宋体" w:hint="eastAsia"/>
                <w:bCs/>
                <w:color w:val="000000"/>
                <w:lang w:eastAsia="zh-CN"/>
              </w:rPr>
              <w:t>。</w:t>
            </w:r>
          </w:p>
        </w:tc>
      </w:tr>
      <w:bookmarkEnd w:id="35"/>
    </w:tbl>
    <w:p w14:paraId="181BF887" w14:textId="6E6CC1F5" w:rsidR="00CA02FA" w:rsidRPr="00485B69" w:rsidRDefault="00CA02FA" w:rsidP="00CA02FA">
      <w:pPr>
        <w:spacing w:line="240" w:lineRule="auto"/>
        <w:ind w:firstLineChars="0" w:firstLine="0"/>
        <w:jc w:val="left"/>
        <w:rPr>
          <w:lang w:eastAsia="zh-CN"/>
        </w:rPr>
        <w:sectPr w:rsidR="00CA02FA" w:rsidRPr="00485B69" w:rsidSect="00894D49">
          <w:headerReference w:type="default" r:id="rId33"/>
          <w:pgSz w:w="11906" w:h="16838"/>
          <w:pgMar w:top="1440" w:right="1800" w:bottom="1440" w:left="1800" w:header="851" w:footer="992" w:gutter="0"/>
          <w:cols w:space="425"/>
          <w:docGrid w:type="lines" w:linePitch="326"/>
        </w:sectPr>
      </w:pPr>
      <w:r>
        <w:rPr>
          <w:lang w:eastAsia="zh-CN"/>
        </w:rPr>
        <w:lastRenderedPageBreak/>
        <w:br w:type="page"/>
      </w:r>
    </w:p>
    <w:tbl>
      <w:tblPr>
        <w:tblW w:w="9639" w:type="dxa"/>
        <w:jc w:val="center"/>
        <w:tblLayout w:type="fixed"/>
        <w:tblLook w:val="04A0" w:firstRow="1" w:lastRow="0" w:firstColumn="1" w:lastColumn="0" w:noHBand="0" w:noVBand="1"/>
      </w:tblPr>
      <w:tblGrid>
        <w:gridCol w:w="2168"/>
        <w:gridCol w:w="251"/>
        <w:gridCol w:w="7220"/>
      </w:tblGrid>
      <w:tr w:rsidR="001304E4" w:rsidRPr="00A9552F" w14:paraId="359366F4" w14:textId="77777777" w:rsidTr="001304E4">
        <w:trPr>
          <w:trHeight w:val="859"/>
          <w:jc w:val="center"/>
        </w:trPr>
        <w:tc>
          <w:tcPr>
            <w:tcW w:w="9639" w:type="dxa"/>
            <w:gridSpan w:val="3"/>
          </w:tcPr>
          <w:p w14:paraId="5A9C3468" w14:textId="77777777" w:rsidR="001304E4" w:rsidRPr="0097404B" w:rsidRDefault="001304E4" w:rsidP="0097404B">
            <w:pPr>
              <w:pStyle w:val="1"/>
            </w:pPr>
            <w:bookmarkStart w:id="36" w:name="_Toc196364975"/>
            <w:r w:rsidRPr="0097404B">
              <w:rPr>
                <w:rFonts w:hint="eastAsia"/>
              </w:rPr>
              <w:lastRenderedPageBreak/>
              <w:t>日本：压力显现</w:t>
            </w:r>
            <w:bookmarkEnd w:id="36"/>
          </w:p>
        </w:tc>
      </w:tr>
      <w:tr w:rsidR="001304E4" w:rsidRPr="00A9552F" w14:paraId="4CD54F81" w14:textId="77777777" w:rsidTr="001304E4">
        <w:trPr>
          <w:trHeight w:val="859"/>
          <w:jc w:val="center"/>
        </w:trPr>
        <w:tc>
          <w:tcPr>
            <w:tcW w:w="9639" w:type="dxa"/>
            <w:gridSpan w:val="3"/>
          </w:tcPr>
          <w:p w14:paraId="72E16B11" w14:textId="39ED92B1" w:rsidR="001304E4" w:rsidRPr="001304E4" w:rsidRDefault="001304E4" w:rsidP="0097404B">
            <w:pPr>
              <w:ind w:firstLine="480"/>
              <w:rPr>
                <w:lang w:eastAsia="zh-CN" w:bidi="ar-SA"/>
              </w:rPr>
            </w:pPr>
            <w:r w:rsidRPr="001304E4">
              <w:rPr>
                <w:rFonts w:hint="eastAsia"/>
                <w:lang w:eastAsia="zh-CN"/>
              </w:rPr>
              <w:t>2025</w:t>
            </w:r>
            <w:r w:rsidRPr="001304E4">
              <w:rPr>
                <w:rFonts w:hint="eastAsia"/>
                <w:lang w:eastAsia="zh-CN"/>
              </w:rPr>
              <w:t>年第</w:t>
            </w:r>
            <w:r w:rsidR="00032ADB">
              <w:rPr>
                <w:rFonts w:hint="eastAsia"/>
                <w:lang w:eastAsia="zh-CN"/>
              </w:rPr>
              <w:t>1</w:t>
            </w:r>
            <w:r w:rsidRPr="001304E4">
              <w:rPr>
                <w:rFonts w:hint="eastAsia"/>
                <w:lang w:eastAsia="zh-CN"/>
              </w:rPr>
              <w:t>季度，日本经济亮点有限。制造业</w:t>
            </w:r>
            <w:r w:rsidRPr="001304E4">
              <w:rPr>
                <w:rFonts w:hint="eastAsia"/>
                <w:lang w:eastAsia="zh-CN"/>
              </w:rPr>
              <w:t>PMI</w:t>
            </w:r>
            <w:r w:rsidRPr="001304E4">
              <w:rPr>
                <w:rFonts w:hint="eastAsia"/>
                <w:lang w:eastAsia="zh-CN"/>
              </w:rPr>
              <w:t>显著下滑，服务业</w:t>
            </w:r>
            <w:r w:rsidRPr="001304E4">
              <w:rPr>
                <w:rFonts w:hint="eastAsia"/>
                <w:lang w:eastAsia="zh-CN"/>
              </w:rPr>
              <w:t>PMI</w:t>
            </w:r>
            <w:r w:rsidRPr="001304E4">
              <w:rPr>
                <w:rFonts w:hint="eastAsia"/>
                <w:lang w:eastAsia="zh-CN"/>
              </w:rPr>
              <w:t>则有一定反弹。随着物价不断上升，日本民众的实际收入再次恶化，基本消化掉了</w:t>
            </w:r>
            <w:r w:rsidRPr="001304E4">
              <w:rPr>
                <w:rFonts w:hint="eastAsia"/>
                <w:lang w:eastAsia="zh-CN"/>
              </w:rPr>
              <w:t>2024</w:t>
            </w:r>
            <w:r w:rsidRPr="001304E4">
              <w:rPr>
                <w:rFonts w:hint="eastAsia"/>
                <w:lang w:eastAsia="zh-CN"/>
              </w:rPr>
              <w:t>年“春斗”的成果。实际收入的恶化也连累了消费，日本依然面临消费不足的情况，由于价格上涨的项目主要集中在食品和能源等刚需领域，日本民众的体感欠佳。日本央行在</w:t>
            </w:r>
            <w:r w:rsidRPr="001304E4">
              <w:rPr>
                <w:rFonts w:hint="eastAsia"/>
                <w:lang w:eastAsia="zh-CN"/>
              </w:rPr>
              <w:t>1</w:t>
            </w:r>
            <w:r w:rsidRPr="001304E4">
              <w:rPr>
                <w:rFonts w:hint="eastAsia"/>
                <w:lang w:eastAsia="zh-CN"/>
              </w:rPr>
              <w:t>月继续收紧货币政策，在</w:t>
            </w:r>
            <w:r w:rsidRPr="001304E4">
              <w:rPr>
                <w:rFonts w:hint="eastAsia"/>
                <w:lang w:eastAsia="zh-CN"/>
              </w:rPr>
              <w:t>3</w:t>
            </w:r>
            <w:r w:rsidRPr="001304E4">
              <w:rPr>
                <w:rFonts w:hint="eastAsia"/>
                <w:lang w:eastAsia="zh-CN"/>
              </w:rPr>
              <w:t>月则按兵不动。不过，面对物价再次上升，以及复杂的国外经济环境，在第二季度“加息”未必可行。金融市场方面，日元对美元保持升值态势，日本股市随美国股市一起下调。预计日元的涨势和日本股市的跌势并未结束。后续金融市场动荡，日元升值，以及川普的贸易政策带来的影响需高度关注。</w:t>
            </w:r>
          </w:p>
        </w:tc>
      </w:tr>
      <w:tr w:rsidR="001304E4" w:rsidRPr="00A9552F" w14:paraId="28AEB454" w14:textId="77777777" w:rsidTr="00D72849">
        <w:trPr>
          <w:trHeight w:val="150"/>
          <w:jc w:val="center"/>
        </w:trPr>
        <w:tc>
          <w:tcPr>
            <w:tcW w:w="2168" w:type="dxa"/>
            <w:vAlign w:val="center"/>
          </w:tcPr>
          <w:p w14:paraId="2E57EA18" w14:textId="77777777" w:rsidR="001304E4" w:rsidRPr="00A9552F" w:rsidRDefault="001304E4" w:rsidP="00000FFC">
            <w:pPr>
              <w:ind w:firstLineChars="0" w:firstLine="0"/>
              <w:rPr>
                <w:rFonts w:ascii="Times" w:eastAsia="宋体" w:hAnsi="Times"/>
                <w:b/>
                <w:color w:val="000000" w:themeColor="text1"/>
                <w:lang w:eastAsia="zh-CN"/>
              </w:rPr>
            </w:pPr>
            <w:r w:rsidRPr="00A9552F">
              <w:rPr>
                <w:rFonts w:ascii="Times" w:eastAsia="宋体" w:hAnsi="Times" w:hint="eastAsia"/>
                <w:b/>
                <w:color w:val="000000" w:themeColor="text1"/>
                <w:lang w:eastAsia="zh-CN"/>
              </w:rPr>
              <w:t>202</w:t>
            </w:r>
            <w:r>
              <w:rPr>
                <w:rFonts w:ascii="Times" w:eastAsia="宋体" w:hAnsi="Times" w:hint="eastAsia"/>
                <w:b/>
                <w:color w:val="000000" w:themeColor="text1"/>
                <w:lang w:eastAsia="zh-CN"/>
              </w:rPr>
              <w:t>5</w:t>
            </w:r>
            <w:r w:rsidRPr="00A9552F">
              <w:rPr>
                <w:rFonts w:ascii="Times" w:eastAsia="宋体" w:hAnsi="Times" w:hint="eastAsia"/>
                <w:b/>
                <w:color w:val="000000" w:themeColor="text1"/>
                <w:lang w:eastAsia="zh-CN"/>
              </w:rPr>
              <w:t>年第</w:t>
            </w:r>
            <w:r>
              <w:rPr>
                <w:rFonts w:ascii="Times" w:eastAsia="宋体" w:hAnsi="Times" w:hint="eastAsia"/>
                <w:b/>
                <w:color w:val="000000" w:themeColor="text1"/>
                <w:lang w:eastAsia="zh-CN"/>
              </w:rPr>
              <w:t>一</w:t>
            </w:r>
            <w:r w:rsidRPr="00A9552F">
              <w:rPr>
                <w:rFonts w:ascii="Times" w:eastAsia="宋体" w:hAnsi="Times" w:hint="eastAsia"/>
                <w:b/>
                <w:color w:val="000000" w:themeColor="text1"/>
                <w:lang w:eastAsia="zh-CN"/>
              </w:rPr>
              <w:t>季度日本经济</w:t>
            </w:r>
            <w:r>
              <w:rPr>
                <w:rFonts w:ascii="Times" w:eastAsia="宋体" w:hAnsi="Times" w:hint="eastAsia"/>
                <w:b/>
                <w:color w:val="000000" w:themeColor="text1"/>
                <w:lang w:eastAsia="zh-CN"/>
              </w:rPr>
              <w:t>有所</w:t>
            </w:r>
            <w:r w:rsidRPr="00A9552F">
              <w:rPr>
                <w:rFonts w:ascii="Times" w:eastAsia="宋体" w:hAnsi="Times" w:hint="eastAsia"/>
                <w:b/>
                <w:color w:val="000000" w:themeColor="text1"/>
                <w:lang w:eastAsia="zh-CN"/>
              </w:rPr>
              <w:t>降温</w:t>
            </w:r>
            <w:r>
              <w:rPr>
                <w:rFonts w:ascii="Times" w:eastAsia="宋体" w:hAnsi="Times" w:hint="eastAsia"/>
                <w:b/>
                <w:color w:val="000000" w:themeColor="text1"/>
                <w:lang w:eastAsia="zh-CN"/>
              </w:rPr>
              <w:t>，并预计继续下滑</w:t>
            </w:r>
            <w:r w:rsidRPr="00A9552F">
              <w:rPr>
                <w:rFonts w:ascii="Times" w:eastAsia="宋体" w:hAnsi="Times" w:hint="eastAsia"/>
                <w:b/>
                <w:color w:val="000000" w:themeColor="text1"/>
                <w:lang w:eastAsia="zh-CN"/>
              </w:rPr>
              <w:t>。</w:t>
            </w:r>
          </w:p>
        </w:tc>
        <w:tc>
          <w:tcPr>
            <w:tcW w:w="251" w:type="dxa"/>
          </w:tcPr>
          <w:p w14:paraId="7DBC7993" w14:textId="77777777" w:rsidR="001304E4" w:rsidRPr="00A9552F" w:rsidRDefault="001304E4" w:rsidP="00D72849">
            <w:pPr>
              <w:keepNext/>
              <w:keepLines/>
              <w:spacing w:before="260" w:after="260"/>
              <w:ind w:firstLine="480"/>
              <w:rPr>
                <w:rFonts w:ascii="Times" w:eastAsia="宋体" w:hAnsi="Times"/>
                <w:lang w:eastAsia="zh-CN"/>
              </w:rPr>
            </w:pPr>
          </w:p>
        </w:tc>
        <w:tc>
          <w:tcPr>
            <w:tcW w:w="7220" w:type="dxa"/>
          </w:tcPr>
          <w:p w14:paraId="4290FAF5" w14:textId="77777777" w:rsidR="001304E4" w:rsidRPr="00A9552F" w:rsidRDefault="001304E4" w:rsidP="001244F7">
            <w:pPr>
              <w:spacing w:beforeLines="50" w:before="163"/>
              <w:ind w:firstLineChars="0" w:firstLine="0"/>
              <w:rPr>
                <w:rFonts w:ascii="Times" w:eastAsia="宋体" w:hAnsi="Times"/>
                <w:b/>
                <w:sz w:val="28"/>
                <w:szCs w:val="28"/>
                <w:lang w:eastAsia="zh-CN"/>
              </w:rPr>
            </w:pPr>
            <w:r w:rsidRPr="00A9552F">
              <w:rPr>
                <w:rFonts w:ascii="Times" w:eastAsia="宋体" w:hAnsi="Times"/>
                <w:b/>
                <w:sz w:val="28"/>
                <w:szCs w:val="28"/>
                <w:lang w:eastAsia="zh-CN"/>
              </w:rPr>
              <w:t>一、</w:t>
            </w:r>
            <w:r w:rsidRPr="00101895">
              <w:rPr>
                <w:rFonts w:ascii="Times" w:eastAsia="宋体" w:hAnsi="Times" w:hint="eastAsia"/>
                <w:b/>
                <w:sz w:val="28"/>
                <w:szCs w:val="28"/>
                <w:lang w:eastAsia="zh-CN"/>
              </w:rPr>
              <w:t>第一季度日本宏观经济制造业冷服务业暖</w:t>
            </w:r>
          </w:p>
          <w:p w14:paraId="4EF85AE6" w14:textId="77777777" w:rsidR="001304E4" w:rsidRDefault="001304E4" w:rsidP="00D72849">
            <w:pPr>
              <w:ind w:firstLine="480"/>
              <w:rPr>
                <w:rFonts w:ascii="Times" w:eastAsia="宋体" w:hAnsi="Times"/>
                <w:lang w:eastAsia="zh-CN"/>
              </w:rPr>
            </w:pPr>
            <w:r>
              <w:rPr>
                <w:rFonts w:ascii="Times" w:eastAsia="宋体" w:hAnsi="Times" w:hint="eastAsia"/>
                <w:lang w:eastAsia="zh-CN"/>
              </w:rPr>
              <w:t>2025</w:t>
            </w:r>
            <w:r>
              <w:rPr>
                <w:rFonts w:ascii="Times" w:eastAsia="宋体" w:hAnsi="Times" w:hint="eastAsia"/>
                <w:lang w:eastAsia="zh-CN"/>
              </w:rPr>
              <w:t>年第一季度，日本经济继续承受压力。</w:t>
            </w:r>
            <w:r>
              <w:rPr>
                <w:rFonts w:ascii="Times" w:eastAsia="宋体" w:hAnsi="Times" w:hint="eastAsia"/>
                <w:lang w:eastAsia="zh-CN"/>
              </w:rPr>
              <w:t>1</w:t>
            </w:r>
            <w:r>
              <w:rPr>
                <w:rFonts w:ascii="Times" w:eastAsia="宋体" w:hAnsi="Times" w:hint="eastAsia"/>
                <w:lang w:eastAsia="zh-CN"/>
              </w:rPr>
              <w:t>月到</w:t>
            </w:r>
            <w:r>
              <w:rPr>
                <w:rFonts w:ascii="Times" w:eastAsia="宋体" w:hAnsi="Times" w:hint="eastAsia"/>
                <w:lang w:eastAsia="zh-CN"/>
              </w:rPr>
              <w:t>3</w:t>
            </w:r>
            <w:r>
              <w:rPr>
                <w:rFonts w:ascii="Times" w:eastAsia="宋体" w:hAnsi="Times" w:hint="eastAsia"/>
                <w:lang w:eastAsia="zh-CN"/>
              </w:rPr>
              <w:t>月，日本制造业</w:t>
            </w:r>
            <w:r>
              <w:rPr>
                <w:rFonts w:ascii="Times" w:eastAsia="宋体" w:hAnsi="Times" w:hint="eastAsia"/>
                <w:lang w:eastAsia="zh-CN"/>
              </w:rPr>
              <w:t>PMI</w:t>
            </w:r>
            <w:r>
              <w:rPr>
                <w:rFonts w:ascii="Times" w:eastAsia="宋体" w:hAnsi="Times" w:hint="eastAsia"/>
                <w:lang w:eastAsia="zh-CN"/>
              </w:rPr>
              <w:t>分别为</w:t>
            </w:r>
            <w:r>
              <w:rPr>
                <w:rFonts w:ascii="Times" w:eastAsia="宋体" w:hAnsi="Times" w:hint="eastAsia"/>
                <w:lang w:eastAsia="zh-CN"/>
              </w:rPr>
              <w:t>48.7</w:t>
            </w:r>
            <w:r>
              <w:rPr>
                <w:rFonts w:ascii="Times" w:eastAsia="宋体" w:hAnsi="Times" w:hint="eastAsia"/>
                <w:lang w:eastAsia="zh-CN"/>
              </w:rPr>
              <w:t>、</w:t>
            </w:r>
            <w:r>
              <w:rPr>
                <w:rFonts w:ascii="Times" w:eastAsia="宋体" w:hAnsi="Times" w:hint="eastAsia"/>
                <w:lang w:eastAsia="zh-CN"/>
              </w:rPr>
              <w:t>49.0</w:t>
            </w:r>
            <w:r>
              <w:rPr>
                <w:rFonts w:ascii="Times" w:eastAsia="宋体" w:hAnsi="Times" w:hint="eastAsia"/>
                <w:lang w:eastAsia="zh-CN"/>
              </w:rPr>
              <w:t>和</w:t>
            </w:r>
            <w:r>
              <w:rPr>
                <w:rFonts w:ascii="Times" w:eastAsia="宋体" w:hAnsi="Times" w:hint="eastAsia"/>
                <w:lang w:eastAsia="zh-CN"/>
              </w:rPr>
              <w:t>48.4</w:t>
            </w:r>
            <w:r>
              <w:rPr>
                <w:rFonts w:ascii="Times" w:eastAsia="宋体" w:hAnsi="Times" w:hint="eastAsia"/>
                <w:lang w:eastAsia="zh-CN"/>
              </w:rPr>
              <w:t>，均值为</w:t>
            </w:r>
            <w:r>
              <w:rPr>
                <w:rFonts w:ascii="Times" w:eastAsia="宋体" w:hAnsi="Times" w:hint="eastAsia"/>
                <w:lang w:eastAsia="zh-CN"/>
              </w:rPr>
              <w:t>48.7</w:t>
            </w:r>
            <w:r>
              <w:rPr>
                <w:rFonts w:ascii="Times" w:eastAsia="宋体" w:hAnsi="Times" w:hint="eastAsia"/>
                <w:lang w:eastAsia="zh-CN"/>
              </w:rPr>
              <w:t>，相比于</w:t>
            </w:r>
            <w:r>
              <w:rPr>
                <w:rFonts w:ascii="Times" w:eastAsia="宋体" w:hAnsi="Times" w:hint="eastAsia"/>
                <w:lang w:eastAsia="zh-CN"/>
              </w:rPr>
              <w:t>2024</w:t>
            </w:r>
            <w:r>
              <w:rPr>
                <w:rFonts w:ascii="Times" w:eastAsia="宋体" w:hAnsi="Times" w:hint="eastAsia"/>
                <w:lang w:eastAsia="zh-CN"/>
              </w:rPr>
              <w:t>年第四季度的</w:t>
            </w:r>
            <w:r>
              <w:rPr>
                <w:rFonts w:ascii="Times" w:eastAsia="宋体" w:hAnsi="Times" w:hint="eastAsia"/>
                <w:lang w:eastAsia="zh-CN"/>
              </w:rPr>
              <w:t>49.3</w:t>
            </w:r>
            <w:r>
              <w:rPr>
                <w:rFonts w:ascii="Times" w:eastAsia="宋体" w:hAnsi="Times" w:hint="eastAsia"/>
                <w:lang w:eastAsia="zh-CN"/>
              </w:rPr>
              <w:t>继续下行。日本服务业</w:t>
            </w:r>
            <w:r>
              <w:rPr>
                <w:rFonts w:ascii="Times" w:eastAsia="宋体" w:hAnsi="Times" w:hint="eastAsia"/>
                <w:lang w:eastAsia="zh-CN"/>
              </w:rPr>
              <w:t>PMI</w:t>
            </w:r>
            <w:r>
              <w:rPr>
                <w:rFonts w:ascii="Times" w:eastAsia="宋体" w:hAnsi="Times" w:hint="eastAsia"/>
                <w:lang w:eastAsia="zh-CN"/>
              </w:rPr>
              <w:t>出现反弹。</w:t>
            </w:r>
            <w:r>
              <w:rPr>
                <w:rFonts w:ascii="Times" w:eastAsia="宋体" w:hAnsi="Times" w:hint="eastAsia"/>
                <w:lang w:eastAsia="zh-CN"/>
              </w:rPr>
              <w:t>1</w:t>
            </w:r>
            <w:r>
              <w:rPr>
                <w:rFonts w:ascii="Times" w:eastAsia="宋体" w:hAnsi="Times" w:hint="eastAsia"/>
                <w:lang w:eastAsia="zh-CN"/>
              </w:rPr>
              <w:t>月到</w:t>
            </w:r>
            <w:r>
              <w:rPr>
                <w:rFonts w:ascii="Times" w:eastAsia="宋体" w:hAnsi="Times" w:hint="eastAsia"/>
                <w:lang w:eastAsia="zh-CN"/>
              </w:rPr>
              <w:t>3</w:t>
            </w:r>
            <w:r>
              <w:rPr>
                <w:rFonts w:ascii="Times" w:eastAsia="宋体" w:hAnsi="Times" w:hint="eastAsia"/>
                <w:lang w:eastAsia="zh-CN"/>
              </w:rPr>
              <w:t>月，日本服务业</w:t>
            </w:r>
            <w:r>
              <w:rPr>
                <w:rFonts w:ascii="Times" w:eastAsia="宋体" w:hAnsi="Times" w:hint="eastAsia"/>
                <w:lang w:eastAsia="zh-CN"/>
              </w:rPr>
              <w:t>PMI</w:t>
            </w:r>
            <w:r>
              <w:rPr>
                <w:rFonts w:ascii="Times" w:eastAsia="宋体" w:hAnsi="Times" w:hint="eastAsia"/>
                <w:lang w:eastAsia="zh-CN"/>
              </w:rPr>
              <w:t>分别为</w:t>
            </w:r>
            <w:r>
              <w:rPr>
                <w:rFonts w:ascii="Times" w:eastAsia="宋体" w:hAnsi="Times" w:hint="eastAsia"/>
                <w:lang w:eastAsia="zh-CN"/>
              </w:rPr>
              <w:t>53.0</w:t>
            </w:r>
            <w:r>
              <w:rPr>
                <w:rFonts w:ascii="Times" w:eastAsia="宋体" w:hAnsi="Times" w:hint="eastAsia"/>
                <w:lang w:eastAsia="zh-CN"/>
              </w:rPr>
              <w:t>、</w:t>
            </w:r>
            <w:r>
              <w:rPr>
                <w:rFonts w:ascii="Times" w:eastAsia="宋体" w:hAnsi="Times" w:hint="eastAsia"/>
                <w:lang w:eastAsia="zh-CN"/>
              </w:rPr>
              <w:t>53.7</w:t>
            </w:r>
            <w:r>
              <w:rPr>
                <w:rFonts w:ascii="Times" w:eastAsia="宋体" w:hAnsi="Times" w:hint="eastAsia"/>
                <w:lang w:eastAsia="zh-CN"/>
              </w:rPr>
              <w:t>和</w:t>
            </w:r>
            <w:r>
              <w:rPr>
                <w:rFonts w:ascii="Times" w:eastAsia="宋体" w:hAnsi="Times" w:hint="eastAsia"/>
                <w:lang w:eastAsia="zh-CN"/>
              </w:rPr>
              <w:t>50.0</w:t>
            </w:r>
            <w:r>
              <w:rPr>
                <w:rFonts w:ascii="Times" w:eastAsia="宋体" w:hAnsi="Times" w:hint="eastAsia"/>
                <w:lang w:eastAsia="zh-CN"/>
              </w:rPr>
              <w:t>，均值为</w:t>
            </w:r>
            <w:r>
              <w:rPr>
                <w:rFonts w:ascii="Times" w:eastAsia="宋体" w:hAnsi="Times" w:hint="eastAsia"/>
                <w:lang w:eastAsia="zh-CN"/>
              </w:rPr>
              <w:t>52.2</w:t>
            </w:r>
            <w:r>
              <w:rPr>
                <w:rFonts w:ascii="Times" w:eastAsia="宋体" w:hAnsi="Times" w:hint="eastAsia"/>
                <w:lang w:eastAsia="zh-CN"/>
              </w:rPr>
              <w:t>，较</w:t>
            </w:r>
            <w:r>
              <w:rPr>
                <w:rFonts w:ascii="Times" w:eastAsia="宋体" w:hAnsi="Times" w:hint="eastAsia"/>
                <w:lang w:eastAsia="zh-CN"/>
              </w:rPr>
              <w:t>2024</w:t>
            </w:r>
            <w:r>
              <w:rPr>
                <w:rFonts w:ascii="Times" w:eastAsia="宋体" w:hAnsi="Times" w:hint="eastAsia"/>
                <w:lang w:eastAsia="zh-CN"/>
              </w:rPr>
              <w:t>年第四季度的</w:t>
            </w:r>
            <w:r>
              <w:rPr>
                <w:rFonts w:ascii="Times" w:eastAsia="宋体" w:hAnsi="Times" w:hint="eastAsia"/>
                <w:lang w:eastAsia="zh-CN"/>
              </w:rPr>
              <w:t>50.4</w:t>
            </w:r>
            <w:r>
              <w:rPr>
                <w:rFonts w:ascii="Times" w:eastAsia="宋体" w:hAnsi="Times" w:hint="eastAsia"/>
                <w:lang w:eastAsia="zh-CN"/>
              </w:rPr>
              <w:t>有所上升。日本经济表现出制造业冷，服务业暖的局面。但需注意的是，随着美国关税政策的落地，日本宏观经济在第二季度可能面临明显压力。</w:t>
            </w:r>
          </w:p>
          <w:p w14:paraId="28C417DA" w14:textId="77777777" w:rsidR="001304E4" w:rsidRPr="00B36D73" w:rsidRDefault="001304E4" w:rsidP="00D72849">
            <w:pPr>
              <w:ind w:firstLine="480"/>
              <w:rPr>
                <w:rFonts w:ascii="Times" w:eastAsia="宋体" w:hAnsi="Times"/>
                <w:lang w:eastAsia="zh-CN"/>
              </w:rPr>
            </w:pPr>
            <w:r>
              <w:rPr>
                <w:rFonts w:ascii="Times" w:eastAsia="宋体" w:hAnsi="Times" w:hint="eastAsia"/>
                <w:lang w:eastAsia="zh-CN"/>
              </w:rPr>
              <w:t>根据日本内阁</w:t>
            </w:r>
            <w:r>
              <w:rPr>
                <w:rFonts w:ascii="Times" w:eastAsia="宋体" w:hAnsi="Times" w:hint="eastAsia"/>
                <w:lang w:eastAsia="zh-CN"/>
              </w:rPr>
              <w:t>3</w:t>
            </w:r>
            <w:r>
              <w:rPr>
                <w:rFonts w:ascii="Times" w:eastAsia="宋体" w:hAnsi="Times" w:hint="eastAsia"/>
                <w:lang w:eastAsia="zh-CN"/>
              </w:rPr>
              <w:t>月公布的日本</w:t>
            </w:r>
            <w:r>
              <w:rPr>
                <w:rFonts w:ascii="Times" w:eastAsia="宋体" w:hAnsi="Times" w:hint="eastAsia"/>
                <w:lang w:eastAsia="zh-CN"/>
              </w:rPr>
              <w:t>GDP</w:t>
            </w:r>
            <w:r>
              <w:rPr>
                <w:rFonts w:ascii="Times" w:eastAsia="宋体" w:hAnsi="Times" w:hint="eastAsia"/>
                <w:lang w:eastAsia="zh-CN"/>
              </w:rPr>
              <w:t>数据，</w:t>
            </w:r>
            <w:r>
              <w:rPr>
                <w:rFonts w:ascii="Times" w:eastAsia="宋体" w:hAnsi="Times" w:hint="eastAsia"/>
                <w:lang w:eastAsia="zh-CN"/>
              </w:rPr>
              <w:t>2024</w:t>
            </w:r>
            <w:r>
              <w:rPr>
                <w:rFonts w:ascii="Times" w:eastAsia="宋体" w:hAnsi="Times" w:hint="eastAsia"/>
                <w:lang w:eastAsia="zh-CN"/>
              </w:rPr>
              <w:t>年第四季度，日本实际</w:t>
            </w:r>
            <w:r>
              <w:rPr>
                <w:rFonts w:ascii="Times" w:eastAsia="宋体" w:hAnsi="Times" w:hint="eastAsia"/>
                <w:lang w:eastAsia="zh-CN"/>
              </w:rPr>
              <w:t>GDP</w:t>
            </w:r>
            <w:r>
              <w:rPr>
                <w:rFonts w:ascii="Times" w:eastAsia="宋体" w:hAnsi="Times" w:hint="eastAsia"/>
                <w:lang w:eastAsia="zh-CN"/>
              </w:rPr>
              <w:t>增速为</w:t>
            </w:r>
            <w:r>
              <w:rPr>
                <w:rFonts w:ascii="Times" w:eastAsia="宋体" w:hAnsi="Times" w:hint="eastAsia"/>
                <w:lang w:eastAsia="zh-CN"/>
              </w:rPr>
              <w:t>1.1%</w:t>
            </w:r>
            <w:r>
              <w:rPr>
                <w:rFonts w:ascii="Times" w:eastAsia="宋体" w:hAnsi="Times" w:hint="eastAsia"/>
                <w:lang w:eastAsia="zh-CN"/>
              </w:rPr>
              <w:t>，为当年单季同比最好情况。其中表现较好的是“私人部门消费”，同比增速为</w:t>
            </w:r>
            <w:r>
              <w:rPr>
                <w:rFonts w:ascii="Times" w:eastAsia="宋体" w:hAnsi="Times" w:hint="eastAsia"/>
                <w:lang w:eastAsia="zh-CN"/>
              </w:rPr>
              <w:t>1.1%</w:t>
            </w:r>
            <w:r>
              <w:rPr>
                <w:rFonts w:ascii="Times" w:eastAsia="宋体" w:hAnsi="Times" w:hint="eastAsia"/>
                <w:lang w:eastAsia="zh-CN"/>
              </w:rPr>
              <w:t>，较第三季度的</w:t>
            </w:r>
            <w:r>
              <w:rPr>
                <w:rFonts w:ascii="Times" w:eastAsia="宋体" w:hAnsi="Times" w:hint="eastAsia"/>
                <w:lang w:eastAsia="zh-CN"/>
              </w:rPr>
              <w:t>1.0%</w:t>
            </w:r>
            <w:r>
              <w:rPr>
                <w:rFonts w:ascii="Times" w:eastAsia="宋体" w:hAnsi="Times" w:hint="eastAsia"/>
                <w:lang w:eastAsia="zh-CN"/>
              </w:rPr>
              <w:t>同比增速有所上升。表明</w:t>
            </w:r>
            <w:r>
              <w:rPr>
                <w:rFonts w:ascii="Times" w:eastAsia="宋体" w:hAnsi="Times" w:hint="eastAsia"/>
                <w:lang w:eastAsia="zh-CN"/>
              </w:rPr>
              <w:t>2024</w:t>
            </w:r>
            <w:r>
              <w:rPr>
                <w:rFonts w:ascii="Times" w:eastAsia="宋体" w:hAnsi="Times" w:hint="eastAsia"/>
                <w:lang w:eastAsia="zh-CN"/>
              </w:rPr>
              <w:t>年日本“春斗”的效果终于有所体现。</w:t>
            </w:r>
          </w:p>
          <w:p w14:paraId="05D3C810" w14:textId="77777777" w:rsidR="001304E4" w:rsidRPr="00D35E3C" w:rsidRDefault="001304E4" w:rsidP="00D72849">
            <w:pPr>
              <w:ind w:firstLine="480"/>
              <w:rPr>
                <w:rFonts w:ascii="Times" w:eastAsia="宋体" w:hAnsi="Times"/>
                <w:lang w:eastAsia="zh-CN"/>
              </w:rPr>
            </w:pPr>
            <w:r w:rsidRPr="00A9552F">
              <w:rPr>
                <w:rFonts w:ascii="Times" w:eastAsia="宋体" w:hAnsi="Times" w:hint="eastAsia"/>
                <w:lang w:eastAsia="zh-CN"/>
              </w:rPr>
              <w:t>日本就业情况</w:t>
            </w:r>
            <w:r>
              <w:rPr>
                <w:rFonts w:ascii="Times" w:eastAsia="宋体" w:hAnsi="Times" w:hint="eastAsia"/>
                <w:lang w:eastAsia="zh-CN"/>
              </w:rPr>
              <w:t>依然</w:t>
            </w:r>
            <w:r w:rsidRPr="00A9552F">
              <w:rPr>
                <w:rFonts w:ascii="Times" w:eastAsia="宋体" w:hAnsi="Times" w:hint="eastAsia"/>
                <w:lang w:eastAsia="zh-CN"/>
              </w:rPr>
              <w:t>较为稳定，</w:t>
            </w:r>
            <w:r>
              <w:rPr>
                <w:rFonts w:ascii="Times" w:eastAsia="宋体" w:hAnsi="Times" w:hint="eastAsia"/>
                <w:lang w:eastAsia="zh-CN"/>
              </w:rPr>
              <w:t>1</w:t>
            </w:r>
            <w:r>
              <w:rPr>
                <w:rFonts w:ascii="Times" w:eastAsia="宋体" w:hAnsi="Times" w:hint="eastAsia"/>
                <w:lang w:eastAsia="zh-CN"/>
              </w:rPr>
              <w:t>月到</w:t>
            </w:r>
            <w:r>
              <w:rPr>
                <w:rFonts w:ascii="Times" w:eastAsia="宋体" w:hAnsi="Times" w:hint="eastAsia"/>
                <w:lang w:eastAsia="zh-CN"/>
              </w:rPr>
              <w:t>3</w:t>
            </w:r>
            <w:r>
              <w:rPr>
                <w:rFonts w:ascii="Times" w:eastAsia="宋体" w:hAnsi="Times" w:hint="eastAsia"/>
                <w:lang w:eastAsia="zh-CN"/>
              </w:rPr>
              <w:t>月分别为</w:t>
            </w:r>
            <w:r>
              <w:rPr>
                <w:rFonts w:ascii="Times" w:eastAsia="宋体" w:hAnsi="Times" w:hint="eastAsia"/>
                <w:lang w:eastAsia="zh-CN"/>
              </w:rPr>
              <w:t>2.46%</w:t>
            </w:r>
            <w:r>
              <w:rPr>
                <w:rFonts w:ascii="Times" w:eastAsia="宋体" w:hAnsi="Times" w:hint="eastAsia"/>
                <w:lang w:eastAsia="zh-CN"/>
              </w:rPr>
              <w:t>、</w:t>
            </w:r>
            <w:r>
              <w:rPr>
                <w:rFonts w:ascii="Times" w:eastAsia="宋体" w:hAnsi="Times" w:hint="eastAsia"/>
                <w:lang w:eastAsia="zh-CN"/>
              </w:rPr>
              <w:t>2.48%</w:t>
            </w:r>
            <w:r>
              <w:rPr>
                <w:rFonts w:ascii="Times" w:eastAsia="宋体" w:hAnsi="Times" w:hint="eastAsia"/>
                <w:lang w:eastAsia="zh-CN"/>
              </w:rPr>
              <w:t>和</w:t>
            </w:r>
            <w:r>
              <w:rPr>
                <w:rFonts w:ascii="Times" w:eastAsia="宋体" w:hAnsi="Times" w:hint="eastAsia"/>
                <w:lang w:eastAsia="zh-CN"/>
              </w:rPr>
              <w:t>2.41%</w:t>
            </w:r>
            <w:r>
              <w:rPr>
                <w:rFonts w:ascii="Times" w:eastAsia="宋体" w:hAnsi="Times" w:hint="eastAsia"/>
                <w:lang w:eastAsia="zh-CN"/>
              </w:rPr>
              <w:t>，平均为</w:t>
            </w:r>
            <w:r>
              <w:rPr>
                <w:rFonts w:ascii="Times" w:eastAsia="宋体" w:hAnsi="Times" w:hint="eastAsia"/>
                <w:lang w:eastAsia="zh-CN"/>
              </w:rPr>
              <w:t>2.45%</w:t>
            </w:r>
            <w:r>
              <w:rPr>
                <w:rFonts w:ascii="Times" w:eastAsia="宋体" w:hAnsi="Times" w:hint="eastAsia"/>
                <w:lang w:eastAsia="zh-CN"/>
              </w:rPr>
              <w:t>。</w:t>
            </w:r>
          </w:p>
        </w:tc>
      </w:tr>
      <w:tr w:rsidR="001304E4" w:rsidRPr="00A9552F" w14:paraId="36049EF8" w14:textId="77777777" w:rsidTr="00D72849">
        <w:trPr>
          <w:trHeight w:val="4819"/>
          <w:jc w:val="center"/>
        </w:trPr>
        <w:tc>
          <w:tcPr>
            <w:tcW w:w="9639" w:type="dxa"/>
            <w:gridSpan w:val="3"/>
          </w:tcPr>
          <w:p w14:paraId="5148BBED" w14:textId="6EE5907A" w:rsidR="001304E4" w:rsidRPr="00A9552F" w:rsidRDefault="00DB2622" w:rsidP="00D37774">
            <w:pPr>
              <w:pStyle w:val="a4"/>
            </w:pPr>
            <w:bookmarkStart w:id="37" w:name="_Toc196399425"/>
            <w:r>
              <w:rPr>
                <w:rFonts w:hint="eastAsia"/>
              </w:rPr>
              <w:lastRenderedPageBreak/>
              <w:t xml:space="preserve">图表 </w:t>
            </w:r>
            <w:r>
              <w:rPr>
                <w:rFonts w:hint="eastAsia"/>
              </w:rPr>
              <w:fldChar w:fldCharType="begin"/>
            </w:r>
            <w:r>
              <w:rPr>
                <w:rFonts w:hint="eastAsia"/>
              </w:rPr>
              <w:instrText xml:space="preserve"> SEQ 图表 \* ARABIC </w:instrText>
            </w:r>
            <w:r>
              <w:rPr>
                <w:rFonts w:hint="eastAsia"/>
              </w:rPr>
              <w:fldChar w:fldCharType="separate"/>
            </w:r>
            <w:r w:rsidR="00530ED7">
              <w:rPr>
                <w:rFonts w:hint="eastAsia"/>
                <w:noProof/>
              </w:rPr>
              <w:t>14</w:t>
            </w:r>
            <w:r>
              <w:rPr>
                <w:rFonts w:hint="eastAsia"/>
              </w:rPr>
              <w:fldChar w:fldCharType="end"/>
            </w:r>
            <w:r>
              <w:rPr>
                <w:rFonts w:hint="eastAsia"/>
              </w:rPr>
              <w:t xml:space="preserve"> </w:t>
            </w:r>
            <w:r w:rsidR="001304E4" w:rsidRPr="00A9552F">
              <w:t xml:space="preserve"> </w:t>
            </w:r>
            <w:r w:rsidR="001304E4">
              <w:rPr>
                <w:rFonts w:hint="eastAsia"/>
              </w:rPr>
              <w:t>制造业</w:t>
            </w:r>
            <w:r w:rsidR="001304E4" w:rsidRPr="00A9552F">
              <w:rPr>
                <w:rFonts w:hint="eastAsia"/>
              </w:rPr>
              <w:t>PMI</w:t>
            </w:r>
            <w:r w:rsidR="001304E4">
              <w:rPr>
                <w:rFonts w:hint="eastAsia"/>
              </w:rPr>
              <w:t>下落</w:t>
            </w:r>
            <w:r w:rsidR="001304E4" w:rsidRPr="00A9552F">
              <w:rPr>
                <w:rFonts w:hint="eastAsia"/>
              </w:rPr>
              <w:t>，</w:t>
            </w:r>
            <w:r w:rsidR="001304E4">
              <w:rPr>
                <w:rFonts w:hint="eastAsia"/>
              </w:rPr>
              <w:t>服务业PMI回升，</w:t>
            </w:r>
            <w:r w:rsidR="001304E4" w:rsidRPr="00A9552F">
              <w:rPr>
                <w:rFonts w:hint="eastAsia"/>
              </w:rPr>
              <w:t>就业稳定</w:t>
            </w:r>
            <w:bookmarkEnd w:id="37"/>
          </w:p>
          <w:p w14:paraId="6E5E62E3" w14:textId="77777777" w:rsidR="001304E4" w:rsidRPr="00A9552F" w:rsidRDefault="001304E4" w:rsidP="00D72849">
            <w:pPr>
              <w:spacing w:beforeLines="50" w:before="163"/>
              <w:ind w:firstLine="480"/>
              <w:jc w:val="center"/>
              <w:rPr>
                <w:rFonts w:ascii="Times" w:eastAsia="宋体" w:hAnsi="Times"/>
                <w:color w:val="FF0000"/>
              </w:rPr>
            </w:pPr>
            <w:r>
              <w:rPr>
                <w:noProof/>
                <w:lang w:eastAsia="zh-CN" w:bidi="ar-SA"/>
              </w:rPr>
              <w:drawing>
                <wp:inline distT="0" distB="0" distL="0" distR="0" wp14:anchorId="28E02192" wp14:editId="43B557EE">
                  <wp:extent cx="5242560" cy="2953173"/>
                  <wp:effectExtent l="0" t="0" r="15240" b="0"/>
                  <wp:docPr id="2080841388" name="图表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r>
      <w:tr w:rsidR="001304E4" w:rsidRPr="00A9552F" w14:paraId="57C91A15" w14:textId="77777777" w:rsidTr="00D72849">
        <w:trPr>
          <w:trHeight w:val="150"/>
          <w:jc w:val="center"/>
        </w:trPr>
        <w:tc>
          <w:tcPr>
            <w:tcW w:w="2168" w:type="dxa"/>
            <w:vAlign w:val="center"/>
          </w:tcPr>
          <w:p w14:paraId="6A535759" w14:textId="77777777" w:rsidR="001304E4" w:rsidRPr="00A9552F" w:rsidRDefault="001304E4" w:rsidP="00000FFC">
            <w:pPr>
              <w:ind w:firstLineChars="0" w:firstLine="0"/>
              <w:rPr>
                <w:rFonts w:ascii="Times" w:eastAsia="宋体" w:hAnsi="Times"/>
                <w:b/>
                <w:bCs/>
                <w:color w:val="000000" w:themeColor="text1"/>
                <w:lang w:eastAsia="zh-CN"/>
              </w:rPr>
            </w:pPr>
            <w:r w:rsidRPr="00A9552F">
              <w:rPr>
                <w:rFonts w:ascii="Times" w:eastAsia="宋体" w:hAnsi="Times" w:hint="eastAsia"/>
                <w:b/>
                <w:bCs/>
                <w:color w:val="000000" w:themeColor="text1"/>
                <w:lang w:eastAsia="zh-CN"/>
              </w:rPr>
              <w:t>消费</w:t>
            </w:r>
            <w:r>
              <w:rPr>
                <w:rFonts w:ascii="Times" w:eastAsia="宋体" w:hAnsi="Times" w:hint="eastAsia"/>
                <w:b/>
                <w:bCs/>
                <w:color w:val="000000" w:themeColor="text1"/>
                <w:lang w:eastAsia="zh-CN"/>
              </w:rPr>
              <w:t>回落，</w:t>
            </w:r>
            <w:r w:rsidRPr="00A9552F">
              <w:rPr>
                <w:rFonts w:ascii="Times" w:eastAsia="宋体" w:hAnsi="Times" w:hint="eastAsia"/>
                <w:b/>
                <w:bCs/>
                <w:color w:val="000000" w:themeColor="text1"/>
                <w:lang w:eastAsia="zh-CN"/>
              </w:rPr>
              <w:t>机械订单</w:t>
            </w:r>
            <w:r>
              <w:rPr>
                <w:rFonts w:ascii="Times" w:eastAsia="宋体" w:hAnsi="Times" w:hint="eastAsia"/>
                <w:b/>
                <w:bCs/>
                <w:color w:val="000000" w:themeColor="text1"/>
                <w:lang w:eastAsia="zh-CN"/>
              </w:rPr>
              <w:t>结构性明显</w:t>
            </w:r>
            <w:r w:rsidRPr="00A9552F">
              <w:rPr>
                <w:rFonts w:ascii="Times" w:eastAsia="宋体" w:hAnsi="Times" w:hint="eastAsia"/>
                <w:b/>
                <w:bCs/>
                <w:color w:val="000000" w:themeColor="text1"/>
                <w:lang w:eastAsia="zh-CN"/>
              </w:rPr>
              <w:t>。</w:t>
            </w:r>
          </w:p>
        </w:tc>
        <w:tc>
          <w:tcPr>
            <w:tcW w:w="251" w:type="dxa"/>
          </w:tcPr>
          <w:p w14:paraId="1A4AE792" w14:textId="77777777" w:rsidR="001304E4" w:rsidRPr="00A9552F" w:rsidRDefault="001304E4" w:rsidP="00D72849">
            <w:pPr>
              <w:keepNext/>
              <w:keepLines/>
              <w:spacing w:before="260" w:after="260"/>
              <w:ind w:firstLine="480"/>
              <w:rPr>
                <w:rFonts w:ascii="Times" w:eastAsia="宋体" w:hAnsi="Times"/>
                <w:lang w:eastAsia="zh-CN"/>
              </w:rPr>
            </w:pPr>
          </w:p>
        </w:tc>
        <w:tc>
          <w:tcPr>
            <w:tcW w:w="7220" w:type="dxa"/>
          </w:tcPr>
          <w:p w14:paraId="46A297A4" w14:textId="77777777" w:rsidR="001304E4" w:rsidRPr="00A9552F" w:rsidRDefault="001304E4" w:rsidP="00D72849">
            <w:pPr>
              <w:ind w:firstLine="480"/>
              <w:rPr>
                <w:rFonts w:ascii="Times" w:eastAsia="宋体" w:hAnsi="Times"/>
                <w:lang w:eastAsia="zh-CN"/>
              </w:rPr>
            </w:pPr>
          </w:p>
          <w:p w14:paraId="66A052FB" w14:textId="77777777" w:rsidR="001304E4" w:rsidRPr="00844395" w:rsidRDefault="001304E4" w:rsidP="00D72849">
            <w:pPr>
              <w:ind w:firstLine="480"/>
              <w:rPr>
                <w:rFonts w:ascii="Times" w:eastAsia="宋体" w:hAnsi="Times"/>
                <w:lang w:eastAsia="zh-CN"/>
              </w:rPr>
            </w:pPr>
            <w:r>
              <w:rPr>
                <w:rFonts w:ascii="Times" w:eastAsia="宋体" w:hAnsi="Times" w:hint="eastAsia"/>
                <w:lang w:eastAsia="zh-CN"/>
              </w:rPr>
              <w:t>随着物价的反弹，进入</w:t>
            </w:r>
            <w:r>
              <w:rPr>
                <w:rFonts w:ascii="Times" w:eastAsia="宋体" w:hAnsi="Times" w:hint="eastAsia"/>
                <w:lang w:eastAsia="zh-CN"/>
              </w:rPr>
              <w:t>2025</w:t>
            </w:r>
            <w:r>
              <w:rPr>
                <w:rFonts w:ascii="Times" w:eastAsia="宋体" w:hAnsi="Times" w:hint="eastAsia"/>
                <w:lang w:eastAsia="zh-CN"/>
              </w:rPr>
              <w:t>年后日本民众实际收入的同比增速开始呈现出连续负值，这一情况在</w:t>
            </w:r>
            <w:r>
              <w:rPr>
                <w:rFonts w:ascii="Times" w:eastAsia="宋体" w:hAnsi="Times" w:hint="eastAsia"/>
                <w:lang w:eastAsia="zh-CN"/>
              </w:rPr>
              <w:t>2024</w:t>
            </w:r>
            <w:r>
              <w:rPr>
                <w:rFonts w:ascii="Times" w:eastAsia="宋体" w:hAnsi="Times" w:hint="eastAsia"/>
                <w:lang w:eastAsia="zh-CN"/>
              </w:rPr>
              <w:t>年</w:t>
            </w:r>
            <w:r>
              <w:rPr>
                <w:rFonts w:ascii="Times" w:eastAsia="宋体" w:hAnsi="Times" w:hint="eastAsia"/>
                <w:lang w:eastAsia="zh-CN"/>
              </w:rPr>
              <w:t>4</w:t>
            </w:r>
            <w:r>
              <w:rPr>
                <w:rFonts w:ascii="Times" w:eastAsia="宋体" w:hAnsi="Times" w:hint="eastAsia"/>
                <w:lang w:eastAsia="zh-CN"/>
              </w:rPr>
              <w:t>月后并不多见。</w:t>
            </w:r>
            <w:r>
              <w:rPr>
                <w:rFonts w:ascii="Times" w:eastAsia="宋体" w:hAnsi="Times" w:hint="eastAsia"/>
                <w:lang w:eastAsia="zh-CN"/>
              </w:rPr>
              <w:t>2025</w:t>
            </w:r>
            <w:r>
              <w:rPr>
                <w:rFonts w:ascii="Times" w:eastAsia="宋体" w:hAnsi="Times" w:hint="eastAsia"/>
                <w:lang w:eastAsia="zh-CN"/>
              </w:rPr>
              <w:t>年</w:t>
            </w:r>
            <w:r>
              <w:rPr>
                <w:rFonts w:ascii="Times" w:eastAsia="宋体" w:hAnsi="Times" w:hint="eastAsia"/>
                <w:lang w:eastAsia="zh-CN"/>
              </w:rPr>
              <w:t>1</w:t>
            </w:r>
            <w:r>
              <w:rPr>
                <w:rFonts w:ascii="Times" w:eastAsia="宋体" w:hAnsi="Times" w:hint="eastAsia"/>
                <w:lang w:eastAsia="zh-CN"/>
              </w:rPr>
              <w:t>月和</w:t>
            </w:r>
            <w:r>
              <w:rPr>
                <w:rFonts w:ascii="Times" w:eastAsia="宋体" w:hAnsi="Times" w:hint="eastAsia"/>
                <w:lang w:eastAsia="zh-CN"/>
              </w:rPr>
              <w:t>2</w:t>
            </w:r>
            <w:r>
              <w:rPr>
                <w:rFonts w:ascii="Times" w:eastAsia="宋体" w:hAnsi="Times" w:hint="eastAsia"/>
                <w:lang w:eastAsia="zh-CN"/>
              </w:rPr>
              <w:t>月，日本民众实际收入同比增速分别为</w:t>
            </w:r>
            <w:r>
              <w:rPr>
                <w:rFonts w:ascii="Times" w:eastAsia="宋体" w:hAnsi="Times" w:hint="eastAsia"/>
                <w:lang w:eastAsia="zh-CN"/>
              </w:rPr>
              <w:t>-1.1%</w:t>
            </w:r>
            <w:r>
              <w:rPr>
                <w:rFonts w:ascii="Times" w:eastAsia="宋体" w:hAnsi="Times" w:hint="eastAsia"/>
                <w:lang w:eastAsia="zh-CN"/>
              </w:rPr>
              <w:t>和</w:t>
            </w:r>
            <w:r>
              <w:rPr>
                <w:rFonts w:ascii="Times" w:eastAsia="宋体" w:hAnsi="Times" w:hint="eastAsia"/>
                <w:lang w:eastAsia="zh-CN"/>
              </w:rPr>
              <w:t>-2.3%</w:t>
            </w:r>
            <w:r>
              <w:rPr>
                <w:rFonts w:ascii="Times" w:eastAsia="宋体" w:hAnsi="Times" w:hint="eastAsia"/>
                <w:lang w:eastAsia="zh-CN"/>
              </w:rPr>
              <w:t>，显著低于</w:t>
            </w:r>
            <w:r>
              <w:rPr>
                <w:rFonts w:ascii="Times" w:eastAsia="宋体" w:hAnsi="Times" w:hint="eastAsia"/>
                <w:lang w:eastAsia="zh-CN"/>
              </w:rPr>
              <w:t>2024</w:t>
            </w:r>
            <w:r>
              <w:rPr>
                <w:rFonts w:ascii="Times" w:eastAsia="宋体" w:hAnsi="Times" w:hint="eastAsia"/>
                <w:lang w:eastAsia="zh-CN"/>
              </w:rPr>
              <w:t>年第四季度。不过从名义收入的角度，</w:t>
            </w:r>
            <w:r>
              <w:rPr>
                <w:rFonts w:ascii="Times" w:eastAsia="宋体" w:hAnsi="Times" w:hint="eastAsia"/>
                <w:lang w:eastAsia="zh-CN"/>
              </w:rPr>
              <w:t>2</w:t>
            </w:r>
            <w:r>
              <w:rPr>
                <w:rFonts w:ascii="Times" w:eastAsia="宋体" w:hAnsi="Times" w:hint="eastAsia"/>
                <w:lang w:eastAsia="zh-CN"/>
              </w:rPr>
              <w:t>月份日本民众的名义收入同比增速依然为正，为</w:t>
            </w:r>
            <w:r>
              <w:rPr>
                <w:rFonts w:ascii="Times" w:eastAsia="宋体" w:hAnsi="Times" w:hint="eastAsia"/>
                <w:lang w:eastAsia="zh-CN"/>
              </w:rPr>
              <w:t>1.9%</w:t>
            </w:r>
            <w:r>
              <w:rPr>
                <w:rFonts w:ascii="Times" w:eastAsia="宋体" w:hAnsi="Times" w:hint="eastAsia"/>
                <w:lang w:eastAsia="zh-CN"/>
              </w:rPr>
              <w:t>。</w:t>
            </w:r>
          </w:p>
          <w:p w14:paraId="2F9C504F" w14:textId="77777777" w:rsidR="001304E4" w:rsidRDefault="001304E4" w:rsidP="00D72849">
            <w:pPr>
              <w:ind w:firstLine="480"/>
              <w:rPr>
                <w:rFonts w:ascii="Times" w:eastAsia="宋体" w:hAnsi="Times"/>
                <w:lang w:eastAsia="zh-CN"/>
              </w:rPr>
            </w:pPr>
            <w:r>
              <w:rPr>
                <w:rFonts w:ascii="Times" w:eastAsia="宋体" w:hAnsi="Times" w:hint="eastAsia"/>
                <w:lang w:eastAsia="zh-CN"/>
              </w:rPr>
              <w:t>虽然</w:t>
            </w:r>
            <w:r>
              <w:rPr>
                <w:rFonts w:ascii="Times" w:eastAsia="宋体" w:hAnsi="Times" w:hint="eastAsia"/>
                <w:lang w:eastAsia="zh-CN"/>
              </w:rPr>
              <w:t>2024</w:t>
            </w:r>
            <w:r>
              <w:rPr>
                <w:rFonts w:ascii="Times" w:eastAsia="宋体" w:hAnsi="Times" w:hint="eastAsia"/>
                <w:lang w:eastAsia="zh-CN"/>
              </w:rPr>
              <w:t>年</w:t>
            </w:r>
            <w:r>
              <w:rPr>
                <w:rFonts w:ascii="Times" w:eastAsia="宋体" w:hAnsi="Times" w:hint="eastAsia"/>
                <w:lang w:eastAsia="zh-CN"/>
              </w:rPr>
              <w:t>12</w:t>
            </w:r>
            <w:r>
              <w:rPr>
                <w:rFonts w:ascii="Times" w:eastAsia="宋体" w:hAnsi="Times" w:hint="eastAsia"/>
                <w:lang w:eastAsia="zh-CN"/>
              </w:rPr>
              <w:t>月日本实际消费支出的同比增速达到</w:t>
            </w:r>
            <w:r>
              <w:rPr>
                <w:rFonts w:ascii="Times" w:eastAsia="宋体" w:hAnsi="Times" w:hint="eastAsia"/>
                <w:lang w:eastAsia="zh-CN"/>
              </w:rPr>
              <w:t>2.7%</w:t>
            </w:r>
            <w:r>
              <w:rPr>
                <w:rFonts w:ascii="Times" w:eastAsia="宋体" w:hAnsi="Times" w:hint="eastAsia"/>
                <w:lang w:eastAsia="zh-CN"/>
              </w:rPr>
              <w:t>，是</w:t>
            </w:r>
            <w:r>
              <w:rPr>
                <w:rFonts w:ascii="Times" w:eastAsia="宋体" w:hAnsi="Times" w:hint="eastAsia"/>
                <w:lang w:eastAsia="zh-CN"/>
              </w:rPr>
              <w:t>4</w:t>
            </w:r>
            <w:r>
              <w:rPr>
                <w:rFonts w:ascii="Times" w:eastAsia="宋体" w:hAnsi="Times" w:hint="eastAsia"/>
                <w:lang w:eastAsia="zh-CN"/>
              </w:rPr>
              <w:t>月份之后首次为正，但进入</w:t>
            </w:r>
            <w:r>
              <w:rPr>
                <w:rFonts w:ascii="Times" w:eastAsia="宋体" w:hAnsi="Times" w:hint="eastAsia"/>
                <w:lang w:eastAsia="zh-CN"/>
              </w:rPr>
              <w:t>2025</w:t>
            </w:r>
            <w:r>
              <w:rPr>
                <w:rFonts w:ascii="Times" w:eastAsia="宋体" w:hAnsi="Times" w:hint="eastAsia"/>
                <w:lang w:eastAsia="zh-CN"/>
              </w:rPr>
              <w:t>年后，日本居民消费支出同比增速再度呈现出疲软走势。</w:t>
            </w:r>
            <w:r>
              <w:rPr>
                <w:rFonts w:ascii="Times" w:eastAsia="宋体" w:hAnsi="Times" w:hint="eastAsia"/>
                <w:lang w:eastAsia="zh-CN"/>
              </w:rPr>
              <w:t>1</w:t>
            </w:r>
            <w:r>
              <w:rPr>
                <w:rFonts w:ascii="Times" w:eastAsia="宋体" w:hAnsi="Times" w:hint="eastAsia"/>
                <w:lang w:eastAsia="zh-CN"/>
              </w:rPr>
              <w:t>月，日本二人以上家庭消费支出同比增速为</w:t>
            </w:r>
            <w:r>
              <w:rPr>
                <w:rFonts w:ascii="Times" w:eastAsia="宋体" w:hAnsi="Times" w:hint="eastAsia"/>
                <w:lang w:eastAsia="zh-CN"/>
              </w:rPr>
              <w:t>0.8%</w:t>
            </w:r>
            <w:r>
              <w:rPr>
                <w:rFonts w:ascii="Times" w:eastAsia="宋体" w:hAnsi="Times" w:hint="eastAsia"/>
                <w:lang w:eastAsia="zh-CN"/>
              </w:rPr>
              <w:t>，增速回落。</w:t>
            </w:r>
            <w:r>
              <w:rPr>
                <w:rFonts w:ascii="Times" w:eastAsia="宋体" w:hAnsi="Times" w:hint="eastAsia"/>
                <w:lang w:eastAsia="zh-CN"/>
              </w:rPr>
              <w:t>2</w:t>
            </w:r>
            <w:r>
              <w:rPr>
                <w:rFonts w:ascii="Times" w:eastAsia="宋体" w:hAnsi="Times" w:hint="eastAsia"/>
                <w:lang w:eastAsia="zh-CN"/>
              </w:rPr>
              <w:t>月则为</w:t>
            </w:r>
            <w:r>
              <w:rPr>
                <w:rFonts w:ascii="Times" w:eastAsia="宋体" w:hAnsi="Times" w:hint="eastAsia"/>
                <w:lang w:eastAsia="zh-CN"/>
              </w:rPr>
              <w:t>-0.5%</w:t>
            </w:r>
            <w:r>
              <w:rPr>
                <w:rFonts w:ascii="Times" w:eastAsia="宋体" w:hAnsi="Times" w:hint="eastAsia"/>
                <w:lang w:eastAsia="zh-CN"/>
              </w:rPr>
              <w:t>。</w:t>
            </w:r>
          </w:p>
          <w:p w14:paraId="1AC1BA79" w14:textId="62322587" w:rsidR="001304E4" w:rsidRDefault="001304E4" w:rsidP="00D72849">
            <w:pPr>
              <w:ind w:firstLine="480"/>
              <w:rPr>
                <w:rFonts w:ascii="Times" w:eastAsia="宋体" w:hAnsi="Times"/>
                <w:lang w:eastAsia="zh-CN"/>
              </w:rPr>
            </w:pPr>
            <w:r>
              <w:rPr>
                <w:rFonts w:ascii="Times" w:eastAsia="宋体" w:hAnsi="Times" w:hint="eastAsia"/>
                <w:lang w:eastAsia="zh-CN"/>
              </w:rPr>
              <w:t>具体分项看，“食品”实际消费量的下降是导致实际消费下降的最重要因素，达到了</w:t>
            </w:r>
            <w:r>
              <w:rPr>
                <w:rFonts w:ascii="Times" w:eastAsia="宋体" w:hAnsi="Times" w:hint="eastAsia"/>
                <w:lang w:eastAsia="zh-CN"/>
              </w:rPr>
              <w:t>-1.3</w:t>
            </w:r>
            <w:r>
              <w:rPr>
                <w:rFonts w:ascii="Times" w:eastAsia="宋体" w:hAnsi="Times" w:hint="eastAsia"/>
                <w:lang w:eastAsia="zh-CN"/>
              </w:rPr>
              <w:t>个百分点。其中重要原因在于食品价格尤其是粮食价格的上涨。</w:t>
            </w:r>
            <w:r>
              <w:rPr>
                <w:rFonts w:ascii="Times" w:eastAsia="宋体" w:hAnsi="Times" w:hint="eastAsia"/>
                <w:lang w:eastAsia="zh-CN"/>
              </w:rPr>
              <w:t>2</w:t>
            </w:r>
            <w:r>
              <w:rPr>
                <w:rFonts w:ascii="Times" w:eastAsia="宋体" w:hAnsi="Times" w:hint="eastAsia"/>
                <w:lang w:eastAsia="zh-CN"/>
              </w:rPr>
              <w:t>月份，日本“食品”的名义消费金额同比上涨</w:t>
            </w:r>
            <w:r>
              <w:rPr>
                <w:rFonts w:ascii="Times" w:eastAsia="宋体" w:hAnsi="Times" w:hint="eastAsia"/>
                <w:lang w:eastAsia="zh-CN"/>
              </w:rPr>
              <w:t>2.8%</w:t>
            </w:r>
            <w:r>
              <w:rPr>
                <w:rFonts w:ascii="Times" w:eastAsia="宋体" w:hAnsi="Times" w:hint="eastAsia"/>
                <w:lang w:eastAsia="zh-CN"/>
              </w:rPr>
              <w:t>，但实际消费金额则同比下降</w:t>
            </w:r>
            <w:r>
              <w:rPr>
                <w:rFonts w:ascii="Times" w:eastAsia="宋体" w:hAnsi="Times" w:hint="eastAsia"/>
                <w:lang w:eastAsia="zh-CN"/>
              </w:rPr>
              <w:t>4.5%</w:t>
            </w:r>
            <w:r>
              <w:rPr>
                <w:rFonts w:ascii="Times" w:eastAsia="宋体" w:hAnsi="Times" w:hint="eastAsia"/>
                <w:lang w:eastAsia="zh-CN"/>
              </w:rPr>
              <w:t>。日本民众花了更多的钱但只能吃到更少。在“食品”大类中，“谷类”的实际消费金额同比下降，实际支出金额同比增速为</w:t>
            </w:r>
            <w:r>
              <w:rPr>
                <w:rFonts w:ascii="Times" w:eastAsia="宋体" w:hAnsi="Times" w:hint="eastAsia"/>
                <w:lang w:eastAsia="zh-CN"/>
              </w:rPr>
              <w:t>-3.5%</w:t>
            </w:r>
            <w:r>
              <w:rPr>
                <w:rFonts w:ascii="Times" w:eastAsia="宋体" w:hAnsi="Times" w:hint="eastAsia"/>
                <w:lang w:eastAsia="zh-CN"/>
              </w:rPr>
              <w:t>。其中，“米”的实际消费金额同比增速为</w:t>
            </w:r>
            <w:r>
              <w:rPr>
                <w:rFonts w:ascii="Times" w:eastAsia="宋体" w:hAnsi="Times" w:hint="eastAsia"/>
                <w:lang w:eastAsia="zh-CN"/>
              </w:rPr>
              <w:t>-2.2%</w:t>
            </w:r>
            <w:r>
              <w:rPr>
                <w:rFonts w:ascii="Times" w:eastAsia="宋体" w:hAnsi="Times" w:hint="eastAsia"/>
                <w:lang w:eastAsia="zh-CN"/>
              </w:rPr>
              <w:t>，“面包”为</w:t>
            </w:r>
            <w:r>
              <w:rPr>
                <w:rFonts w:ascii="Times" w:eastAsia="宋体" w:hAnsi="Times" w:hint="eastAsia"/>
                <w:lang w:eastAsia="zh-CN"/>
              </w:rPr>
              <w:t>-8.9%</w:t>
            </w:r>
            <w:r>
              <w:rPr>
                <w:rFonts w:ascii="Times" w:eastAsia="宋体" w:hAnsi="Times" w:hint="eastAsia"/>
                <w:lang w:eastAsia="zh-CN"/>
              </w:rPr>
              <w:t>。相比较而言，日本民众对“面类”和“其它谷类”的实际消费金额则呈现出上升，</w:t>
            </w:r>
            <w:r>
              <w:rPr>
                <w:rFonts w:ascii="Times" w:eastAsia="宋体" w:hAnsi="Times" w:hint="eastAsia"/>
                <w:lang w:eastAsia="zh-CN"/>
              </w:rPr>
              <w:lastRenderedPageBreak/>
              <w:t>同比增速分别为</w:t>
            </w:r>
            <w:r>
              <w:rPr>
                <w:rFonts w:ascii="Times" w:eastAsia="宋体" w:hAnsi="Times" w:hint="eastAsia"/>
                <w:lang w:eastAsia="zh-CN"/>
              </w:rPr>
              <w:t>6.1%</w:t>
            </w:r>
            <w:r>
              <w:rPr>
                <w:rFonts w:ascii="Times" w:eastAsia="宋体" w:hAnsi="Times" w:hint="eastAsia"/>
                <w:lang w:eastAsia="zh-CN"/>
              </w:rPr>
              <w:t>和</w:t>
            </w:r>
            <w:r>
              <w:rPr>
                <w:rFonts w:ascii="Times" w:eastAsia="宋体" w:hAnsi="Times" w:hint="eastAsia"/>
                <w:lang w:eastAsia="zh-CN"/>
              </w:rPr>
              <w:t>6.4%</w:t>
            </w:r>
            <w:r>
              <w:rPr>
                <w:rFonts w:ascii="Times" w:eastAsia="宋体" w:hAnsi="Times" w:hint="eastAsia"/>
                <w:lang w:eastAsia="zh-CN"/>
              </w:rPr>
              <w:t>。表明日本民众在主食方面出现了替代行为。“居住</w:t>
            </w:r>
            <w:r w:rsidR="00BE10E2">
              <w:rPr>
                <w:rFonts w:ascii="Times" w:eastAsia="宋体" w:hAnsi="Times" w:hint="eastAsia"/>
                <w:lang w:eastAsia="zh-CN"/>
              </w:rPr>
              <w:t>”</w:t>
            </w:r>
            <w:r>
              <w:rPr>
                <w:rFonts w:ascii="Times" w:eastAsia="宋体" w:hAnsi="Times" w:hint="eastAsia"/>
                <w:lang w:eastAsia="zh-CN"/>
              </w:rPr>
              <w:t>、</w:t>
            </w:r>
            <w:r w:rsidR="00BE10E2">
              <w:rPr>
                <w:rFonts w:ascii="Times" w:eastAsia="宋体" w:hAnsi="Times" w:hint="eastAsia"/>
                <w:lang w:eastAsia="zh-CN"/>
              </w:rPr>
              <w:t>“</w:t>
            </w:r>
            <w:r>
              <w:rPr>
                <w:rFonts w:ascii="Times" w:eastAsia="宋体" w:hAnsi="Times" w:hint="eastAsia"/>
                <w:lang w:eastAsia="zh-CN"/>
              </w:rPr>
              <w:t>家具·家事用品”、</w:t>
            </w:r>
            <w:r w:rsidR="00BE10E2">
              <w:rPr>
                <w:rFonts w:ascii="Times" w:eastAsia="宋体" w:hAnsi="Times" w:hint="eastAsia"/>
                <w:lang w:eastAsia="zh-CN"/>
              </w:rPr>
              <w:t>“</w:t>
            </w:r>
            <w:r>
              <w:rPr>
                <w:rFonts w:ascii="Times" w:eastAsia="宋体" w:hAnsi="Times" w:hint="eastAsia"/>
                <w:lang w:eastAsia="zh-CN"/>
              </w:rPr>
              <w:t>衣服鞋帽</w:t>
            </w:r>
            <w:r w:rsidR="00BE10E2">
              <w:rPr>
                <w:rFonts w:ascii="Times" w:eastAsia="宋体" w:hAnsi="Times" w:hint="eastAsia"/>
                <w:lang w:eastAsia="zh-CN"/>
              </w:rPr>
              <w:t>”</w:t>
            </w:r>
            <w:r>
              <w:rPr>
                <w:rFonts w:ascii="Times" w:eastAsia="宋体" w:hAnsi="Times" w:hint="eastAsia"/>
                <w:lang w:eastAsia="zh-CN"/>
              </w:rPr>
              <w:t>和“保健医疗”的实际消费支出均有明显下降。日本民众在“居住”方面的实际支出金额同比增速为</w:t>
            </w:r>
            <w:r>
              <w:rPr>
                <w:rFonts w:ascii="Times" w:eastAsia="宋体" w:hAnsi="Times" w:hint="eastAsia"/>
                <w:lang w:eastAsia="zh-CN"/>
              </w:rPr>
              <w:t>-8.1%</w:t>
            </w:r>
            <w:r>
              <w:rPr>
                <w:rFonts w:ascii="Times" w:eastAsia="宋体" w:hAnsi="Times" w:hint="eastAsia"/>
                <w:lang w:eastAsia="zh-CN"/>
              </w:rPr>
              <w:t>，其项下的“租金”的实际消费金额同比上升</w:t>
            </w:r>
            <w:r>
              <w:rPr>
                <w:rFonts w:ascii="Times" w:eastAsia="宋体" w:hAnsi="Times" w:hint="eastAsia"/>
                <w:lang w:eastAsia="zh-CN"/>
              </w:rPr>
              <w:t>5.7%</w:t>
            </w:r>
            <w:r>
              <w:rPr>
                <w:rFonts w:ascii="Times" w:eastAsia="宋体" w:hAnsi="Times" w:hint="eastAsia"/>
                <w:lang w:eastAsia="zh-CN"/>
              </w:rPr>
              <w:t>，其余项如“设备材料”和“工程及其他服务”项目的实际支出金额同比增速分别为</w:t>
            </w:r>
            <w:r>
              <w:rPr>
                <w:rFonts w:ascii="Times" w:eastAsia="宋体" w:hAnsi="Times" w:hint="eastAsia"/>
                <w:lang w:eastAsia="zh-CN"/>
              </w:rPr>
              <w:t>-35.0%</w:t>
            </w:r>
            <w:r>
              <w:rPr>
                <w:rFonts w:ascii="Times" w:eastAsia="宋体" w:hAnsi="Times" w:hint="eastAsia"/>
                <w:lang w:eastAsia="zh-CN"/>
              </w:rPr>
              <w:t>和</w:t>
            </w:r>
            <w:r>
              <w:rPr>
                <w:rFonts w:ascii="Times" w:eastAsia="宋体" w:hAnsi="Times" w:hint="eastAsia"/>
                <w:lang w:eastAsia="zh-CN"/>
              </w:rPr>
              <w:t>-8.8%</w:t>
            </w:r>
            <w:r>
              <w:rPr>
                <w:rFonts w:ascii="Times" w:eastAsia="宋体" w:hAnsi="Times" w:hint="eastAsia"/>
                <w:lang w:eastAsia="zh-CN"/>
              </w:rPr>
              <w:t>。表明日本民众在支付较多房租的同时，对居家装修改造的支出则出现明显下滑。日本民众在“水电燃气”方面的实际支出则同比出现增加。“电费”实际支出增加</w:t>
            </w:r>
            <w:r>
              <w:rPr>
                <w:rFonts w:ascii="Times" w:eastAsia="宋体" w:hAnsi="Times" w:hint="eastAsia"/>
                <w:lang w:eastAsia="zh-CN"/>
              </w:rPr>
              <w:t>11.4%</w:t>
            </w:r>
            <w:r>
              <w:rPr>
                <w:rFonts w:ascii="Times" w:eastAsia="宋体" w:hAnsi="Times" w:hint="eastAsia"/>
                <w:lang w:eastAsia="zh-CN"/>
              </w:rPr>
              <w:t>、“天然气”增加</w:t>
            </w:r>
            <w:r>
              <w:rPr>
                <w:rFonts w:ascii="Times" w:eastAsia="宋体" w:hAnsi="Times" w:hint="eastAsia"/>
                <w:lang w:eastAsia="zh-CN"/>
              </w:rPr>
              <w:t>2.1%</w:t>
            </w:r>
            <w:r>
              <w:rPr>
                <w:rFonts w:ascii="Times" w:eastAsia="宋体" w:hAnsi="Times" w:hint="eastAsia"/>
                <w:lang w:eastAsia="zh-CN"/>
              </w:rPr>
              <w:t>，“其他光热”同比增</w:t>
            </w:r>
            <w:r w:rsidR="00BE10E2">
              <w:rPr>
                <w:rFonts w:ascii="Times" w:eastAsia="宋体" w:hAnsi="Times" w:hint="eastAsia"/>
                <w:lang w:eastAsia="zh-CN"/>
              </w:rPr>
              <w:t>加</w:t>
            </w:r>
            <w:r>
              <w:rPr>
                <w:rFonts w:ascii="Times" w:eastAsia="宋体" w:hAnsi="Times" w:hint="eastAsia"/>
                <w:lang w:eastAsia="zh-CN"/>
              </w:rPr>
              <w:t>18.8%</w:t>
            </w:r>
            <w:r>
              <w:rPr>
                <w:rFonts w:ascii="Times" w:eastAsia="宋体" w:hAnsi="Times" w:hint="eastAsia"/>
                <w:lang w:eastAsia="zh-CN"/>
              </w:rPr>
              <w:t>。相关电力消费变化应与日本政府对居民用电的补贴有关，但是</w:t>
            </w:r>
            <w:r>
              <w:rPr>
                <w:rFonts w:ascii="Times" w:eastAsia="宋体" w:hAnsi="Times" w:hint="eastAsia"/>
                <w:lang w:eastAsia="zh-CN"/>
              </w:rPr>
              <w:t>2025</w:t>
            </w:r>
            <w:r>
              <w:rPr>
                <w:rFonts w:ascii="Times" w:eastAsia="宋体" w:hAnsi="Times" w:hint="eastAsia"/>
                <w:lang w:eastAsia="zh-CN"/>
              </w:rPr>
              <w:t>年</w:t>
            </w:r>
            <w:r>
              <w:rPr>
                <w:rFonts w:ascii="Times" w:eastAsia="宋体" w:hAnsi="Times" w:hint="eastAsia"/>
                <w:lang w:eastAsia="zh-CN"/>
              </w:rPr>
              <w:t>5</w:t>
            </w:r>
            <w:r>
              <w:rPr>
                <w:rFonts w:ascii="Times" w:eastAsia="宋体" w:hAnsi="Times" w:hint="eastAsia"/>
                <w:lang w:eastAsia="zh-CN"/>
              </w:rPr>
              <w:t>月后，日本政府将取消居民的用电补贴，届时居民用电支出是否会下降也是未知数。</w:t>
            </w:r>
          </w:p>
          <w:p w14:paraId="151B6A48" w14:textId="38D69E4F" w:rsidR="001304E4" w:rsidRPr="00A9552F" w:rsidRDefault="001304E4" w:rsidP="00D72849">
            <w:pPr>
              <w:ind w:firstLine="480"/>
              <w:rPr>
                <w:rFonts w:ascii="Times" w:eastAsia="宋体" w:hAnsi="Times"/>
                <w:lang w:eastAsia="zh-CN"/>
              </w:rPr>
            </w:pPr>
            <w:r>
              <w:rPr>
                <w:rFonts w:ascii="Times" w:eastAsia="宋体" w:hAnsi="Times" w:hint="eastAsia"/>
                <w:lang w:eastAsia="zh-CN"/>
              </w:rPr>
              <w:t>机械订单方面，虽然</w:t>
            </w:r>
            <w:r>
              <w:rPr>
                <w:rFonts w:ascii="Times" w:eastAsia="宋体" w:hAnsi="Times" w:hint="eastAsia"/>
                <w:lang w:eastAsia="zh-CN"/>
              </w:rPr>
              <w:t>2025</w:t>
            </w:r>
            <w:r>
              <w:rPr>
                <w:rFonts w:ascii="Times" w:eastAsia="宋体" w:hAnsi="Times" w:hint="eastAsia"/>
                <w:lang w:eastAsia="zh-CN"/>
              </w:rPr>
              <w:t>年</w:t>
            </w:r>
            <w:r>
              <w:rPr>
                <w:rFonts w:ascii="Times" w:eastAsia="宋体" w:hAnsi="Times" w:hint="eastAsia"/>
                <w:lang w:eastAsia="zh-CN"/>
              </w:rPr>
              <w:t>1</w:t>
            </w:r>
            <w:r>
              <w:rPr>
                <w:rFonts w:ascii="Times" w:eastAsia="宋体" w:hAnsi="Times" w:hint="eastAsia"/>
                <w:lang w:eastAsia="zh-CN"/>
              </w:rPr>
              <w:t>月的订单金额较去年同期呈现出增加，同比增</w:t>
            </w:r>
            <w:r w:rsidR="00BE10E2">
              <w:rPr>
                <w:rFonts w:ascii="Times" w:eastAsia="宋体" w:hAnsi="Times" w:hint="eastAsia"/>
                <w:lang w:eastAsia="zh-CN"/>
              </w:rPr>
              <w:t>长</w:t>
            </w:r>
            <w:r>
              <w:rPr>
                <w:rFonts w:ascii="Times" w:eastAsia="宋体" w:hAnsi="Times" w:hint="eastAsia"/>
                <w:lang w:eastAsia="zh-CN"/>
              </w:rPr>
              <w:t>9.8%</w:t>
            </w:r>
            <w:r>
              <w:rPr>
                <w:rFonts w:ascii="Times" w:eastAsia="宋体" w:hAnsi="Times" w:hint="eastAsia"/>
                <w:lang w:eastAsia="zh-CN"/>
              </w:rPr>
              <w:t>，但结构问题却比较突出。根据</w:t>
            </w:r>
            <w:r>
              <w:rPr>
                <w:rFonts w:ascii="Times" w:eastAsia="宋体" w:hAnsi="Times" w:hint="eastAsia"/>
                <w:lang w:eastAsia="zh-CN"/>
              </w:rPr>
              <w:t>1</w:t>
            </w:r>
            <w:r>
              <w:rPr>
                <w:rFonts w:ascii="Times" w:eastAsia="宋体" w:hAnsi="Times" w:hint="eastAsia"/>
                <w:lang w:eastAsia="zh-CN"/>
              </w:rPr>
              <w:t>月的数据，日本来自私人部门的机械订单金额同比增加</w:t>
            </w:r>
            <w:r>
              <w:rPr>
                <w:rFonts w:ascii="Times" w:eastAsia="宋体" w:hAnsi="Times" w:hint="eastAsia"/>
                <w:lang w:eastAsia="zh-CN"/>
              </w:rPr>
              <w:t>3.5%</w:t>
            </w:r>
            <w:r>
              <w:rPr>
                <w:rFonts w:ascii="Times" w:eastAsia="宋体" w:hAnsi="Times" w:hint="eastAsia"/>
                <w:lang w:eastAsia="zh-CN"/>
              </w:rPr>
              <w:t>，但如果排除“船舶和电力”，增速则变为</w:t>
            </w:r>
            <w:r>
              <w:rPr>
                <w:rFonts w:ascii="Times" w:eastAsia="宋体" w:hAnsi="Times" w:hint="eastAsia"/>
                <w:lang w:eastAsia="zh-CN"/>
              </w:rPr>
              <w:t>-3.5%</w:t>
            </w:r>
            <w:r>
              <w:rPr>
                <w:rFonts w:ascii="Times" w:eastAsia="宋体" w:hAnsi="Times" w:hint="eastAsia"/>
                <w:lang w:eastAsia="zh-CN"/>
              </w:rPr>
              <w:t>。私人部门订单中，来自制造业的订单金额同比下跌</w:t>
            </w:r>
            <w:r>
              <w:rPr>
                <w:rFonts w:ascii="Times" w:eastAsia="宋体" w:hAnsi="Times" w:hint="eastAsia"/>
                <w:lang w:eastAsia="zh-CN"/>
              </w:rPr>
              <w:t>1.3%</w:t>
            </w:r>
            <w:r>
              <w:rPr>
                <w:rFonts w:ascii="Times" w:eastAsia="宋体" w:hAnsi="Times" w:hint="eastAsia"/>
                <w:lang w:eastAsia="zh-CN"/>
              </w:rPr>
              <w:t>，来自非制造业的订单金额下跌</w:t>
            </w:r>
            <w:r>
              <w:rPr>
                <w:rFonts w:ascii="Times" w:eastAsia="宋体" w:hAnsi="Times" w:hint="eastAsia"/>
                <w:lang w:eastAsia="zh-CN"/>
              </w:rPr>
              <w:t>7.4%</w:t>
            </w:r>
            <w:r>
              <w:rPr>
                <w:rFonts w:ascii="Times" w:eastAsia="宋体" w:hAnsi="Times" w:hint="eastAsia"/>
                <w:lang w:eastAsia="zh-CN"/>
              </w:rPr>
              <w:t>。相比之下，公共部门的机械订单需求情况则较好。</w:t>
            </w:r>
            <w:r>
              <w:rPr>
                <w:rFonts w:ascii="Times" w:eastAsia="宋体" w:hAnsi="Times" w:hint="eastAsia"/>
                <w:lang w:eastAsia="zh-CN"/>
              </w:rPr>
              <w:t>1</w:t>
            </w:r>
            <w:r>
              <w:rPr>
                <w:rFonts w:ascii="Times" w:eastAsia="宋体" w:hAnsi="Times" w:hint="eastAsia"/>
                <w:lang w:eastAsia="zh-CN"/>
              </w:rPr>
              <w:t>月，订单金额同比增</w:t>
            </w:r>
            <w:r>
              <w:rPr>
                <w:rFonts w:ascii="Times" w:eastAsia="宋体" w:hAnsi="Times" w:hint="eastAsia"/>
                <w:lang w:eastAsia="zh-CN"/>
              </w:rPr>
              <w:t>59.7%</w:t>
            </w:r>
            <w:r>
              <w:rPr>
                <w:rFonts w:ascii="Times" w:eastAsia="宋体" w:hAnsi="Times" w:hint="eastAsia"/>
                <w:lang w:eastAsia="zh-CN"/>
              </w:rPr>
              <w:t>。此外，外需情况也较为稳定，订单金额同比增</w:t>
            </w:r>
            <w:r>
              <w:rPr>
                <w:rFonts w:ascii="Times" w:eastAsia="宋体" w:hAnsi="Times" w:hint="eastAsia"/>
                <w:lang w:eastAsia="zh-CN"/>
              </w:rPr>
              <w:t>1.9%</w:t>
            </w:r>
            <w:r>
              <w:rPr>
                <w:rFonts w:ascii="Times" w:eastAsia="宋体" w:hAnsi="Times" w:hint="eastAsia"/>
                <w:lang w:eastAsia="zh-CN"/>
              </w:rPr>
              <w:t>。综上可以看出，</w:t>
            </w:r>
            <w:r>
              <w:rPr>
                <w:rFonts w:ascii="Times" w:eastAsia="宋体" w:hAnsi="Times" w:hint="eastAsia"/>
                <w:lang w:eastAsia="zh-CN"/>
              </w:rPr>
              <w:t>2025</w:t>
            </w:r>
            <w:r>
              <w:rPr>
                <w:rFonts w:ascii="Times" w:eastAsia="宋体" w:hAnsi="Times" w:hint="eastAsia"/>
                <w:lang w:eastAsia="zh-CN"/>
              </w:rPr>
              <w:t>年</w:t>
            </w:r>
            <w:r>
              <w:rPr>
                <w:rFonts w:ascii="Times" w:eastAsia="宋体" w:hAnsi="Times" w:hint="eastAsia"/>
                <w:lang w:eastAsia="zh-CN"/>
              </w:rPr>
              <w:t>1</w:t>
            </w:r>
            <w:r>
              <w:rPr>
                <w:rFonts w:ascii="Times" w:eastAsia="宋体" w:hAnsi="Times" w:hint="eastAsia"/>
                <w:lang w:eastAsia="zh-CN"/>
              </w:rPr>
              <w:t>月，日本机械订单的需求主要在“船舶·电力”方面较好，以及公共部门需求方面较好。而私人部门，针对更普遍的制造业和非制造业而言，机械订单的需求并不旺盛。</w:t>
            </w:r>
          </w:p>
        </w:tc>
      </w:tr>
      <w:tr w:rsidR="001304E4" w:rsidRPr="00A9552F" w14:paraId="6B916157" w14:textId="77777777" w:rsidTr="00D72849">
        <w:trPr>
          <w:trHeight w:val="4819"/>
          <w:jc w:val="center"/>
        </w:trPr>
        <w:tc>
          <w:tcPr>
            <w:tcW w:w="9639" w:type="dxa"/>
            <w:gridSpan w:val="3"/>
          </w:tcPr>
          <w:p w14:paraId="58FA6DDF" w14:textId="57F78901" w:rsidR="001304E4" w:rsidRPr="00A9552F" w:rsidRDefault="00DB2622" w:rsidP="00D37774">
            <w:pPr>
              <w:pStyle w:val="a4"/>
            </w:pPr>
            <w:bookmarkStart w:id="38" w:name="_Toc196399426"/>
            <w:r>
              <w:rPr>
                <w:rFonts w:hint="eastAsia"/>
              </w:rPr>
              <w:lastRenderedPageBreak/>
              <w:t xml:space="preserve">图表 </w:t>
            </w:r>
            <w:r>
              <w:rPr>
                <w:rFonts w:hint="eastAsia"/>
              </w:rPr>
              <w:fldChar w:fldCharType="begin"/>
            </w:r>
            <w:r>
              <w:rPr>
                <w:rFonts w:hint="eastAsia"/>
              </w:rPr>
              <w:instrText xml:space="preserve"> SEQ 图表 \* ARABIC </w:instrText>
            </w:r>
            <w:r>
              <w:rPr>
                <w:rFonts w:hint="eastAsia"/>
              </w:rPr>
              <w:fldChar w:fldCharType="separate"/>
            </w:r>
            <w:r w:rsidR="00530ED7">
              <w:rPr>
                <w:rFonts w:hint="eastAsia"/>
                <w:noProof/>
              </w:rPr>
              <w:t>15</w:t>
            </w:r>
            <w:r>
              <w:rPr>
                <w:rFonts w:hint="eastAsia"/>
              </w:rPr>
              <w:fldChar w:fldCharType="end"/>
            </w:r>
            <w:r w:rsidR="00D37774" w:rsidRPr="00D37774">
              <w:t xml:space="preserve">  </w:t>
            </w:r>
            <w:r w:rsidR="001304E4" w:rsidRPr="00A9552F">
              <w:rPr>
                <w:rFonts w:hint="eastAsia"/>
              </w:rPr>
              <w:t>消费实际同比增速</w:t>
            </w:r>
            <w:r w:rsidR="001304E4">
              <w:rPr>
                <w:rFonts w:hint="eastAsia"/>
              </w:rPr>
              <w:t>滑落</w:t>
            </w:r>
            <w:r w:rsidR="001304E4" w:rsidRPr="00A9552F">
              <w:rPr>
                <w:rFonts w:hint="eastAsia"/>
              </w:rPr>
              <w:t>，</w:t>
            </w:r>
            <w:r w:rsidR="001304E4" w:rsidRPr="00A9552F">
              <w:t>机械订单金额</w:t>
            </w:r>
            <w:r w:rsidR="001304E4">
              <w:rPr>
                <w:rFonts w:hint="eastAsia"/>
              </w:rPr>
              <w:t>结构性明显</w:t>
            </w:r>
            <w:bookmarkEnd w:id="38"/>
          </w:p>
          <w:p w14:paraId="1A55E07A" w14:textId="77777777" w:rsidR="001304E4" w:rsidRPr="00A9552F" w:rsidRDefault="001304E4" w:rsidP="00140775">
            <w:pPr>
              <w:ind w:firstLineChars="0" w:firstLine="0"/>
              <w:jc w:val="center"/>
              <w:rPr>
                <w:rFonts w:ascii="Times" w:eastAsia="宋体" w:hAnsi="Times"/>
                <w:b/>
                <w:noProof/>
                <w:color w:val="000000"/>
              </w:rPr>
            </w:pPr>
            <w:r>
              <w:rPr>
                <w:noProof/>
                <w:lang w:eastAsia="zh-CN" w:bidi="ar-SA"/>
              </w:rPr>
              <w:drawing>
                <wp:inline distT="0" distB="0" distL="0" distR="0" wp14:anchorId="4C51F4D6" wp14:editId="1EFB1184">
                  <wp:extent cx="5696374" cy="3948430"/>
                  <wp:effectExtent l="0" t="0" r="0" b="13970"/>
                  <wp:docPr id="257632601" name="图表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5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r>
      <w:tr w:rsidR="001304E4" w:rsidRPr="00A9552F" w14:paraId="535145DB" w14:textId="77777777" w:rsidTr="00D72849">
        <w:trPr>
          <w:trHeight w:val="150"/>
          <w:jc w:val="center"/>
        </w:trPr>
        <w:tc>
          <w:tcPr>
            <w:tcW w:w="2168" w:type="dxa"/>
            <w:vAlign w:val="center"/>
          </w:tcPr>
          <w:p w14:paraId="43502936" w14:textId="77777777" w:rsidR="001304E4" w:rsidRPr="000E0157" w:rsidRDefault="001304E4" w:rsidP="00000FFC">
            <w:pPr>
              <w:ind w:firstLineChars="0" w:firstLine="0"/>
              <w:rPr>
                <w:rFonts w:asciiTheme="minorEastAsia" w:hAnsiTheme="minorEastAsia"/>
                <w:b/>
                <w:color w:val="000000" w:themeColor="text1"/>
                <w:lang w:eastAsia="zh-CN"/>
              </w:rPr>
            </w:pPr>
            <w:r w:rsidRPr="000E0157">
              <w:rPr>
                <w:rFonts w:asciiTheme="minorEastAsia" w:hAnsiTheme="minorEastAsia" w:hint="eastAsia"/>
                <w:b/>
                <w:color w:val="000000" w:themeColor="text1"/>
                <w:lang w:eastAsia="zh-CN"/>
              </w:rPr>
              <w:t>进口增加，1月贸易逆差较大。</w:t>
            </w:r>
          </w:p>
        </w:tc>
        <w:tc>
          <w:tcPr>
            <w:tcW w:w="251" w:type="dxa"/>
          </w:tcPr>
          <w:p w14:paraId="7549D7F4" w14:textId="77777777" w:rsidR="001304E4" w:rsidRPr="00A9552F" w:rsidRDefault="001304E4" w:rsidP="00D72849">
            <w:pPr>
              <w:keepNext/>
              <w:keepLines/>
              <w:spacing w:before="260" w:after="260"/>
              <w:ind w:firstLine="480"/>
              <w:rPr>
                <w:rFonts w:ascii="Times" w:eastAsia="宋体" w:hAnsi="Times"/>
                <w:lang w:eastAsia="zh-CN"/>
              </w:rPr>
            </w:pPr>
          </w:p>
        </w:tc>
        <w:tc>
          <w:tcPr>
            <w:tcW w:w="7220" w:type="dxa"/>
          </w:tcPr>
          <w:p w14:paraId="2CEE9597" w14:textId="77777777" w:rsidR="001304E4" w:rsidRDefault="001304E4" w:rsidP="00D72849">
            <w:pPr>
              <w:ind w:firstLine="480"/>
              <w:rPr>
                <w:rFonts w:ascii="Times" w:eastAsia="宋体" w:hAnsi="Times"/>
                <w:color w:val="000000" w:themeColor="text1"/>
                <w:lang w:eastAsia="zh-CN"/>
              </w:rPr>
            </w:pPr>
            <w:r>
              <w:rPr>
                <w:rFonts w:ascii="Times" w:eastAsia="宋体" w:hAnsi="Times" w:hint="eastAsia"/>
                <w:color w:val="000000" w:themeColor="text1"/>
                <w:lang w:eastAsia="zh-CN"/>
              </w:rPr>
              <w:t>2025</w:t>
            </w:r>
            <w:r>
              <w:rPr>
                <w:rFonts w:ascii="Times" w:eastAsia="宋体" w:hAnsi="Times" w:hint="eastAsia"/>
                <w:color w:val="000000" w:themeColor="text1"/>
                <w:lang w:eastAsia="zh-CN"/>
              </w:rPr>
              <w:t>年</w:t>
            </w:r>
            <w:r>
              <w:rPr>
                <w:rFonts w:ascii="Times" w:eastAsia="宋体" w:hAnsi="Times" w:hint="eastAsia"/>
                <w:color w:val="000000" w:themeColor="text1"/>
                <w:lang w:eastAsia="zh-CN"/>
              </w:rPr>
              <w:t>1</w:t>
            </w:r>
            <w:r>
              <w:rPr>
                <w:rFonts w:ascii="Times" w:eastAsia="宋体" w:hAnsi="Times" w:hint="eastAsia"/>
                <w:color w:val="000000" w:themeColor="text1"/>
                <w:lang w:eastAsia="zh-CN"/>
              </w:rPr>
              <w:t>月，日本进口商品金额为</w:t>
            </w:r>
            <w:r>
              <w:rPr>
                <w:rFonts w:ascii="Times" w:eastAsia="宋体" w:hAnsi="Times" w:hint="eastAsia"/>
                <w:color w:val="000000" w:themeColor="text1"/>
                <w:lang w:eastAsia="zh-CN"/>
              </w:rPr>
              <w:t>10.6</w:t>
            </w:r>
            <w:r>
              <w:rPr>
                <w:rFonts w:ascii="Times" w:eastAsia="宋体" w:hAnsi="Times" w:hint="eastAsia"/>
                <w:color w:val="000000" w:themeColor="text1"/>
                <w:lang w:eastAsia="zh-CN"/>
              </w:rPr>
              <w:t>万亿日元，出口金额为</w:t>
            </w:r>
            <w:r>
              <w:rPr>
                <w:rFonts w:ascii="Times" w:eastAsia="宋体" w:hAnsi="Times" w:hint="eastAsia"/>
                <w:color w:val="000000" w:themeColor="text1"/>
                <w:lang w:eastAsia="zh-CN"/>
              </w:rPr>
              <w:t>7.9</w:t>
            </w:r>
            <w:r>
              <w:rPr>
                <w:rFonts w:ascii="Times" w:eastAsia="宋体" w:hAnsi="Times" w:hint="eastAsia"/>
                <w:color w:val="000000" w:themeColor="text1"/>
                <w:lang w:eastAsia="zh-CN"/>
              </w:rPr>
              <w:t>万亿日元，贸易逆差达到</w:t>
            </w:r>
            <w:r>
              <w:rPr>
                <w:rFonts w:ascii="Times" w:eastAsia="宋体" w:hAnsi="Times" w:hint="eastAsia"/>
                <w:color w:val="000000" w:themeColor="text1"/>
                <w:lang w:eastAsia="zh-CN"/>
              </w:rPr>
              <w:t>2.7</w:t>
            </w:r>
            <w:r>
              <w:rPr>
                <w:rFonts w:ascii="Times" w:eastAsia="宋体" w:hAnsi="Times" w:hint="eastAsia"/>
                <w:color w:val="000000" w:themeColor="text1"/>
                <w:lang w:eastAsia="zh-CN"/>
              </w:rPr>
              <w:t>万亿日元。尽管每年的</w:t>
            </w:r>
            <w:r>
              <w:rPr>
                <w:rFonts w:ascii="Times" w:eastAsia="宋体" w:hAnsi="Times" w:hint="eastAsia"/>
                <w:color w:val="000000" w:themeColor="text1"/>
                <w:lang w:eastAsia="zh-CN"/>
              </w:rPr>
              <w:t>1</w:t>
            </w:r>
            <w:r>
              <w:rPr>
                <w:rFonts w:ascii="Times" w:eastAsia="宋体" w:hAnsi="Times" w:hint="eastAsia"/>
                <w:color w:val="000000" w:themeColor="text1"/>
                <w:lang w:eastAsia="zh-CN"/>
              </w:rPr>
              <w:t>月份都是日本逆差较高的月份，但这一逆差水平依然较高，在近几年的数值中仅低于</w:t>
            </w:r>
            <w:r>
              <w:rPr>
                <w:rFonts w:ascii="Times" w:eastAsia="宋体" w:hAnsi="Times" w:hint="eastAsia"/>
                <w:color w:val="000000" w:themeColor="text1"/>
                <w:lang w:eastAsia="zh-CN"/>
              </w:rPr>
              <w:t>2023</w:t>
            </w:r>
            <w:r>
              <w:rPr>
                <w:rFonts w:ascii="Times" w:eastAsia="宋体" w:hAnsi="Times" w:hint="eastAsia"/>
                <w:color w:val="000000" w:themeColor="text1"/>
                <w:lang w:eastAsia="zh-CN"/>
              </w:rPr>
              <w:t>年</w:t>
            </w:r>
            <w:r>
              <w:rPr>
                <w:rFonts w:ascii="Times" w:eastAsia="宋体" w:hAnsi="Times" w:hint="eastAsia"/>
                <w:color w:val="000000" w:themeColor="text1"/>
                <w:lang w:eastAsia="zh-CN"/>
              </w:rPr>
              <w:t>1</w:t>
            </w:r>
            <w:r>
              <w:rPr>
                <w:rFonts w:ascii="Times" w:eastAsia="宋体" w:hAnsi="Times" w:hint="eastAsia"/>
                <w:color w:val="000000" w:themeColor="text1"/>
                <w:lang w:eastAsia="zh-CN"/>
              </w:rPr>
              <w:t>月的</w:t>
            </w:r>
            <w:r>
              <w:rPr>
                <w:rFonts w:ascii="Times" w:eastAsia="宋体" w:hAnsi="Times" w:hint="eastAsia"/>
                <w:color w:val="000000" w:themeColor="text1"/>
                <w:lang w:eastAsia="zh-CN"/>
              </w:rPr>
              <w:t>3.5</w:t>
            </w:r>
            <w:r>
              <w:rPr>
                <w:rFonts w:ascii="Times" w:eastAsia="宋体" w:hAnsi="Times" w:hint="eastAsia"/>
                <w:color w:val="000000" w:themeColor="text1"/>
                <w:lang w:eastAsia="zh-CN"/>
              </w:rPr>
              <w:t>万亿日元。进入到</w:t>
            </w:r>
            <w:r>
              <w:rPr>
                <w:rFonts w:ascii="Times" w:eastAsia="宋体" w:hAnsi="Times" w:hint="eastAsia"/>
                <w:color w:val="000000" w:themeColor="text1"/>
                <w:lang w:eastAsia="zh-CN"/>
              </w:rPr>
              <w:t>2</w:t>
            </w:r>
            <w:r>
              <w:rPr>
                <w:rFonts w:ascii="Times" w:eastAsia="宋体" w:hAnsi="Times" w:hint="eastAsia"/>
                <w:color w:val="000000" w:themeColor="text1"/>
                <w:lang w:eastAsia="zh-CN"/>
              </w:rPr>
              <w:t>月，日本贸易逆差情况有所好转，逆差转为</w:t>
            </w:r>
            <w:r>
              <w:rPr>
                <w:rFonts w:ascii="Times" w:eastAsia="宋体" w:hAnsi="Times" w:hint="eastAsia"/>
                <w:color w:val="000000" w:themeColor="text1"/>
                <w:lang w:eastAsia="zh-CN"/>
              </w:rPr>
              <w:t>0.59</w:t>
            </w:r>
            <w:r>
              <w:rPr>
                <w:rFonts w:ascii="Times" w:eastAsia="宋体" w:hAnsi="Times" w:hint="eastAsia"/>
                <w:color w:val="000000" w:themeColor="text1"/>
                <w:lang w:eastAsia="zh-CN"/>
              </w:rPr>
              <w:t>万亿日元的贸易顺差。</w:t>
            </w:r>
          </w:p>
          <w:p w14:paraId="57ED95B3" w14:textId="77777777" w:rsidR="001304E4" w:rsidRDefault="001304E4" w:rsidP="00D72849">
            <w:pPr>
              <w:ind w:firstLine="480"/>
              <w:rPr>
                <w:rFonts w:ascii="Times" w:eastAsia="宋体" w:hAnsi="Times"/>
                <w:color w:val="000000" w:themeColor="text1"/>
                <w:lang w:eastAsia="zh-CN"/>
              </w:rPr>
            </w:pPr>
            <w:r>
              <w:rPr>
                <w:rFonts w:ascii="Times" w:eastAsia="宋体" w:hAnsi="Times" w:hint="eastAsia"/>
                <w:color w:val="000000" w:themeColor="text1"/>
                <w:lang w:eastAsia="zh-CN"/>
              </w:rPr>
              <w:t>2</w:t>
            </w:r>
            <w:r>
              <w:rPr>
                <w:rFonts w:ascii="Times" w:eastAsia="宋体" w:hAnsi="Times" w:hint="eastAsia"/>
                <w:color w:val="000000" w:themeColor="text1"/>
                <w:lang w:eastAsia="zh-CN"/>
              </w:rPr>
              <w:t>月，日本出口产品中，增速较高且对出口影响较大的是“半导体等制造装置”，增速为</w:t>
            </w:r>
            <w:r>
              <w:rPr>
                <w:rFonts w:ascii="Times" w:eastAsia="宋体" w:hAnsi="Times" w:hint="eastAsia"/>
                <w:color w:val="000000" w:themeColor="text1"/>
                <w:lang w:eastAsia="zh-CN"/>
              </w:rPr>
              <w:t>27.8%</w:t>
            </w:r>
            <w:r>
              <w:rPr>
                <w:rFonts w:ascii="Times" w:eastAsia="宋体" w:hAnsi="Times" w:hint="eastAsia"/>
                <w:color w:val="000000" w:themeColor="text1"/>
                <w:lang w:eastAsia="zh-CN"/>
              </w:rPr>
              <w:t>，拉动出口增速</w:t>
            </w:r>
            <w:r>
              <w:rPr>
                <w:rFonts w:ascii="Times" w:eastAsia="宋体" w:hAnsi="Times" w:hint="eastAsia"/>
                <w:color w:val="000000" w:themeColor="text1"/>
                <w:lang w:eastAsia="zh-CN"/>
              </w:rPr>
              <w:t>1.0</w:t>
            </w:r>
            <w:r>
              <w:rPr>
                <w:rFonts w:ascii="Times" w:eastAsia="宋体" w:hAnsi="Times" w:hint="eastAsia"/>
                <w:color w:val="000000" w:themeColor="text1"/>
                <w:lang w:eastAsia="zh-CN"/>
              </w:rPr>
              <w:t>个百分点。“汽车”增长</w:t>
            </w:r>
            <w:r>
              <w:rPr>
                <w:rFonts w:ascii="Times" w:eastAsia="宋体" w:hAnsi="Times" w:hint="eastAsia"/>
                <w:color w:val="000000" w:themeColor="text1"/>
                <w:lang w:eastAsia="zh-CN"/>
              </w:rPr>
              <w:t>13.9%</w:t>
            </w:r>
            <w:r>
              <w:rPr>
                <w:rFonts w:ascii="Times" w:eastAsia="宋体" w:hAnsi="Times" w:hint="eastAsia"/>
                <w:color w:val="000000" w:themeColor="text1"/>
                <w:lang w:eastAsia="zh-CN"/>
              </w:rPr>
              <w:t>，对出口增速贡献了</w:t>
            </w:r>
            <w:r>
              <w:rPr>
                <w:rFonts w:ascii="Times" w:eastAsia="宋体" w:hAnsi="Times" w:hint="eastAsia"/>
                <w:color w:val="000000" w:themeColor="text1"/>
                <w:lang w:eastAsia="zh-CN"/>
              </w:rPr>
              <w:t>3.9</w:t>
            </w:r>
            <w:r>
              <w:rPr>
                <w:rFonts w:ascii="Times" w:eastAsia="宋体" w:hAnsi="Times" w:hint="eastAsia"/>
                <w:color w:val="000000" w:themeColor="text1"/>
                <w:lang w:eastAsia="zh-CN"/>
              </w:rPr>
              <w:t>个百分点，“科学光学机器”增长了</w:t>
            </w:r>
            <w:r>
              <w:rPr>
                <w:rFonts w:ascii="Times" w:eastAsia="宋体" w:hAnsi="Times" w:hint="eastAsia"/>
                <w:color w:val="000000" w:themeColor="text1"/>
                <w:lang w:eastAsia="zh-CN"/>
              </w:rPr>
              <w:t>27.1%</w:t>
            </w:r>
            <w:r>
              <w:rPr>
                <w:rFonts w:ascii="Times" w:eastAsia="宋体" w:hAnsi="Times" w:hint="eastAsia"/>
                <w:color w:val="000000" w:themeColor="text1"/>
                <w:lang w:eastAsia="zh-CN"/>
              </w:rPr>
              <w:t>，对出口增速贡献</w:t>
            </w:r>
            <w:r>
              <w:rPr>
                <w:rFonts w:ascii="Times" w:eastAsia="宋体" w:hAnsi="Times" w:hint="eastAsia"/>
                <w:color w:val="000000" w:themeColor="text1"/>
                <w:lang w:eastAsia="zh-CN"/>
              </w:rPr>
              <w:t>0.7</w:t>
            </w:r>
            <w:r>
              <w:rPr>
                <w:rFonts w:ascii="Times" w:eastAsia="宋体" w:hAnsi="Times" w:hint="eastAsia"/>
                <w:color w:val="000000" w:themeColor="text1"/>
                <w:lang w:eastAsia="zh-CN"/>
              </w:rPr>
              <w:t>个百分点。进口方面，金额减少较多的主要是原料大宗商品。“原粗油”同比减少</w:t>
            </w:r>
            <w:r>
              <w:rPr>
                <w:rFonts w:ascii="Times" w:eastAsia="宋体" w:hAnsi="Times" w:hint="eastAsia"/>
                <w:color w:val="000000" w:themeColor="text1"/>
                <w:lang w:eastAsia="zh-CN"/>
              </w:rPr>
              <w:t>12.9%</w:t>
            </w:r>
            <w:r>
              <w:rPr>
                <w:rFonts w:ascii="Times" w:eastAsia="宋体" w:hAnsi="Times" w:hint="eastAsia"/>
                <w:color w:val="000000" w:themeColor="text1"/>
                <w:lang w:eastAsia="zh-CN"/>
              </w:rPr>
              <w:t>，“煤炭”进口减少</w:t>
            </w:r>
            <w:r>
              <w:rPr>
                <w:rFonts w:ascii="Times" w:eastAsia="宋体" w:hAnsi="Times" w:hint="eastAsia"/>
                <w:color w:val="000000" w:themeColor="text1"/>
                <w:lang w:eastAsia="zh-CN"/>
              </w:rPr>
              <w:t>20.3%</w:t>
            </w:r>
            <w:r>
              <w:rPr>
                <w:rFonts w:ascii="Times" w:eastAsia="宋体" w:hAnsi="Times" w:hint="eastAsia"/>
                <w:color w:val="000000" w:themeColor="text1"/>
                <w:lang w:eastAsia="zh-CN"/>
              </w:rPr>
              <w:t>，“非铁矿金属”进口减少</w:t>
            </w:r>
            <w:r>
              <w:rPr>
                <w:rFonts w:ascii="Times" w:eastAsia="宋体" w:hAnsi="Times" w:hint="eastAsia"/>
                <w:color w:val="000000" w:themeColor="text1"/>
                <w:lang w:eastAsia="zh-CN"/>
              </w:rPr>
              <w:t>29.4%</w:t>
            </w:r>
            <w:r>
              <w:rPr>
                <w:rFonts w:ascii="Times" w:eastAsia="宋体" w:hAnsi="Times" w:hint="eastAsia"/>
                <w:color w:val="000000" w:themeColor="text1"/>
                <w:lang w:eastAsia="zh-CN"/>
              </w:rPr>
              <w:t>。</w:t>
            </w:r>
          </w:p>
          <w:p w14:paraId="5094D7AE" w14:textId="7BAF2C7B" w:rsidR="001304E4" w:rsidRPr="009163D2" w:rsidRDefault="001304E4" w:rsidP="00D72849">
            <w:pPr>
              <w:ind w:firstLine="480"/>
              <w:rPr>
                <w:rFonts w:ascii="Times" w:eastAsia="宋体" w:hAnsi="Times"/>
                <w:color w:val="000000" w:themeColor="text1"/>
                <w:lang w:eastAsia="zh-CN"/>
              </w:rPr>
            </w:pPr>
            <w:r>
              <w:rPr>
                <w:rFonts w:ascii="Times" w:eastAsia="宋体" w:hAnsi="Times" w:hint="eastAsia"/>
                <w:color w:val="000000" w:themeColor="text1"/>
                <w:lang w:eastAsia="zh-CN"/>
              </w:rPr>
              <w:t>在对美进出口方面，</w:t>
            </w:r>
            <w:r>
              <w:rPr>
                <w:rFonts w:ascii="Times" w:eastAsia="宋体" w:hAnsi="Times" w:hint="eastAsia"/>
                <w:color w:val="000000" w:themeColor="text1"/>
                <w:lang w:eastAsia="zh-CN"/>
              </w:rPr>
              <w:t>2</w:t>
            </w:r>
            <w:r>
              <w:rPr>
                <w:rFonts w:ascii="Times" w:eastAsia="宋体" w:hAnsi="Times" w:hint="eastAsia"/>
                <w:color w:val="000000" w:themeColor="text1"/>
                <w:lang w:eastAsia="zh-CN"/>
              </w:rPr>
              <w:t>月日本对美贸易顺差</w:t>
            </w:r>
            <w:r>
              <w:rPr>
                <w:rFonts w:ascii="Times" w:eastAsia="宋体" w:hAnsi="Times" w:hint="eastAsia"/>
                <w:color w:val="000000" w:themeColor="text1"/>
                <w:lang w:eastAsia="zh-CN"/>
              </w:rPr>
              <w:t>9188</w:t>
            </w:r>
            <w:r>
              <w:rPr>
                <w:rFonts w:ascii="Times" w:eastAsia="宋体" w:hAnsi="Times" w:hint="eastAsia"/>
                <w:color w:val="000000" w:themeColor="text1"/>
                <w:lang w:eastAsia="zh-CN"/>
              </w:rPr>
              <w:t>亿日元，进出口金额分别为</w:t>
            </w:r>
            <w:r>
              <w:rPr>
                <w:rFonts w:ascii="Times" w:eastAsia="宋体" w:hAnsi="Times" w:hint="eastAsia"/>
                <w:color w:val="000000" w:themeColor="text1"/>
                <w:lang w:eastAsia="zh-CN"/>
              </w:rPr>
              <w:t>9859</w:t>
            </w:r>
            <w:r>
              <w:rPr>
                <w:rFonts w:ascii="Times" w:eastAsia="宋体" w:hAnsi="Times" w:hint="eastAsia"/>
                <w:color w:val="000000" w:themeColor="text1"/>
                <w:lang w:eastAsia="zh-CN"/>
              </w:rPr>
              <w:t>亿日元和</w:t>
            </w:r>
            <w:r>
              <w:rPr>
                <w:rFonts w:ascii="Times" w:eastAsia="宋体" w:hAnsi="Times" w:hint="eastAsia"/>
                <w:color w:val="000000" w:themeColor="text1"/>
                <w:lang w:eastAsia="zh-CN"/>
              </w:rPr>
              <w:t>19047</w:t>
            </w:r>
            <w:r>
              <w:rPr>
                <w:rFonts w:ascii="Times" w:eastAsia="宋体" w:hAnsi="Times" w:hint="eastAsia"/>
                <w:color w:val="000000" w:themeColor="text1"/>
                <w:lang w:eastAsia="zh-CN"/>
              </w:rPr>
              <w:t>亿日元。具体项目看，</w:t>
            </w:r>
            <w:r>
              <w:rPr>
                <w:rFonts w:ascii="Times" w:eastAsia="宋体" w:hAnsi="Times" w:hint="eastAsia"/>
                <w:color w:val="000000" w:themeColor="text1"/>
                <w:lang w:eastAsia="zh-CN"/>
              </w:rPr>
              <w:t>2</w:t>
            </w:r>
            <w:r>
              <w:rPr>
                <w:rFonts w:ascii="Times" w:eastAsia="宋体" w:hAnsi="Times" w:hint="eastAsia"/>
                <w:color w:val="000000" w:themeColor="text1"/>
                <w:lang w:eastAsia="zh-CN"/>
              </w:rPr>
              <w:t>月日本从美国进口的商品中，金额同比增速最高的为</w:t>
            </w:r>
            <w:r w:rsidR="00642F6A">
              <w:rPr>
                <w:rFonts w:ascii="Times" w:eastAsia="宋体" w:hAnsi="Times" w:hint="eastAsia"/>
                <w:color w:val="000000" w:themeColor="text1"/>
                <w:lang w:eastAsia="zh-CN"/>
              </w:rPr>
              <w:t>“</w:t>
            </w:r>
            <w:r>
              <w:rPr>
                <w:rFonts w:ascii="Times" w:eastAsia="宋体" w:hAnsi="Times" w:hint="eastAsia"/>
                <w:color w:val="000000" w:themeColor="text1"/>
                <w:lang w:eastAsia="zh-CN"/>
              </w:rPr>
              <w:t>医药品</w:t>
            </w:r>
            <w:r w:rsidR="00642F6A">
              <w:rPr>
                <w:rFonts w:ascii="Times" w:eastAsia="宋体" w:hAnsi="Times" w:hint="eastAsia"/>
                <w:color w:val="000000" w:themeColor="text1"/>
                <w:lang w:eastAsia="zh-CN"/>
              </w:rPr>
              <w:t>”</w:t>
            </w:r>
            <w:r>
              <w:rPr>
                <w:rFonts w:ascii="Times" w:eastAsia="宋体" w:hAnsi="Times" w:hint="eastAsia"/>
                <w:color w:val="000000" w:themeColor="text1"/>
                <w:lang w:eastAsia="zh-CN"/>
              </w:rPr>
              <w:t>、</w:t>
            </w:r>
            <w:r w:rsidR="00642F6A">
              <w:rPr>
                <w:rFonts w:ascii="Times" w:eastAsia="宋体" w:hAnsi="Times" w:hint="eastAsia"/>
                <w:color w:val="000000" w:themeColor="text1"/>
                <w:lang w:eastAsia="zh-CN"/>
              </w:rPr>
              <w:t>“</w:t>
            </w:r>
            <w:r>
              <w:rPr>
                <w:rFonts w:ascii="Times" w:eastAsia="宋体" w:hAnsi="Times" w:hint="eastAsia"/>
                <w:color w:val="000000" w:themeColor="text1"/>
                <w:lang w:eastAsia="zh-CN"/>
              </w:rPr>
              <w:t>原子能</w:t>
            </w:r>
            <w:r>
              <w:rPr>
                <w:rFonts w:ascii="Times" w:eastAsia="宋体" w:hAnsi="Times" w:hint="eastAsia"/>
                <w:color w:val="000000" w:themeColor="text1"/>
                <w:lang w:eastAsia="zh-CN"/>
              </w:rPr>
              <w:lastRenderedPageBreak/>
              <w:t>动力机”和“谷物类</w:t>
            </w:r>
            <w:r w:rsidR="00642F6A">
              <w:rPr>
                <w:rFonts w:ascii="Times" w:eastAsia="宋体" w:hAnsi="Times" w:hint="eastAsia"/>
                <w:color w:val="000000" w:themeColor="text1"/>
                <w:lang w:eastAsia="zh-CN"/>
              </w:rPr>
              <w:t>”</w:t>
            </w:r>
            <w:r>
              <w:rPr>
                <w:rFonts w:ascii="Times" w:eastAsia="宋体" w:hAnsi="Times" w:hint="eastAsia"/>
                <w:color w:val="000000" w:themeColor="text1"/>
                <w:lang w:eastAsia="zh-CN"/>
              </w:rPr>
              <w:t>，增速分别为</w:t>
            </w:r>
            <w:r>
              <w:rPr>
                <w:rFonts w:ascii="Times" w:eastAsia="宋体" w:hAnsi="Times" w:hint="eastAsia"/>
                <w:color w:val="000000" w:themeColor="text1"/>
                <w:lang w:eastAsia="zh-CN"/>
              </w:rPr>
              <w:t>53.6%</w:t>
            </w:r>
            <w:r>
              <w:rPr>
                <w:rFonts w:ascii="Times" w:eastAsia="宋体" w:hAnsi="Times" w:hint="eastAsia"/>
                <w:color w:val="000000" w:themeColor="text1"/>
                <w:lang w:eastAsia="zh-CN"/>
              </w:rPr>
              <w:t>、</w:t>
            </w:r>
            <w:r>
              <w:rPr>
                <w:rFonts w:ascii="Times" w:eastAsia="宋体" w:hAnsi="Times" w:hint="eastAsia"/>
                <w:color w:val="000000" w:themeColor="text1"/>
                <w:lang w:eastAsia="zh-CN"/>
              </w:rPr>
              <w:t>37.3%</w:t>
            </w:r>
            <w:r>
              <w:rPr>
                <w:rFonts w:ascii="Times" w:eastAsia="宋体" w:hAnsi="Times" w:hint="eastAsia"/>
                <w:color w:val="000000" w:themeColor="text1"/>
                <w:lang w:eastAsia="zh-CN"/>
              </w:rPr>
              <w:t>和</w:t>
            </w:r>
            <w:r>
              <w:rPr>
                <w:rFonts w:ascii="Times" w:eastAsia="宋体" w:hAnsi="Times" w:hint="eastAsia"/>
                <w:color w:val="000000" w:themeColor="text1"/>
                <w:lang w:eastAsia="zh-CN"/>
              </w:rPr>
              <w:t>45.7%</w:t>
            </w:r>
            <w:r>
              <w:rPr>
                <w:rFonts w:ascii="Times" w:eastAsia="宋体" w:hAnsi="Times" w:hint="eastAsia"/>
                <w:color w:val="000000" w:themeColor="text1"/>
                <w:lang w:eastAsia="zh-CN"/>
              </w:rPr>
              <w:t>，带动从美进口增速</w:t>
            </w:r>
            <w:r>
              <w:rPr>
                <w:rFonts w:ascii="Times" w:eastAsia="宋体" w:hAnsi="Times" w:hint="eastAsia"/>
                <w:color w:val="000000" w:themeColor="text1"/>
                <w:lang w:eastAsia="zh-CN"/>
              </w:rPr>
              <w:t>4.2</w:t>
            </w:r>
            <w:r>
              <w:rPr>
                <w:rFonts w:ascii="Times" w:eastAsia="宋体" w:hAnsi="Times" w:hint="eastAsia"/>
                <w:color w:val="000000" w:themeColor="text1"/>
                <w:lang w:eastAsia="zh-CN"/>
              </w:rPr>
              <w:t>个百分点、</w:t>
            </w:r>
            <w:r>
              <w:rPr>
                <w:rFonts w:ascii="Times" w:eastAsia="宋体" w:hAnsi="Times" w:hint="eastAsia"/>
                <w:color w:val="000000" w:themeColor="text1"/>
                <w:lang w:eastAsia="zh-CN"/>
              </w:rPr>
              <w:t>2.3</w:t>
            </w:r>
            <w:r>
              <w:rPr>
                <w:rFonts w:ascii="Times" w:eastAsia="宋体" w:hAnsi="Times" w:hint="eastAsia"/>
                <w:color w:val="000000" w:themeColor="text1"/>
                <w:lang w:eastAsia="zh-CN"/>
              </w:rPr>
              <w:t>个百分点和</w:t>
            </w:r>
            <w:r>
              <w:rPr>
                <w:rFonts w:ascii="Times" w:eastAsia="宋体" w:hAnsi="Times" w:hint="eastAsia"/>
                <w:color w:val="000000" w:themeColor="text1"/>
                <w:lang w:eastAsia="zh-CN"/>
              </w:rPr>
              <w:t>1.9</w:t>
            </w:r>
            <w:r>
              <w:rPr>
                <w:rFonts w:ascii="Times" w:eastAsia="宋体" w:hAnsi="Times" w:hint="eastAsia"/>
                <w:color w:val="000000" w:themeColor="text1"/>
                <w:lang w:eastAsia="zh-CN"/>
              </w:rPr>
              <w:t>个百分点。从美国进口商品中，金额同比下降最多的是“液化石油气</w:t>
            </w:r>
            <w:r w:rsidR="00642F6A">
              <w:rPr>
                <w:rFonts w:ascii="Times" w:eastAsia="宋体" w:hAnsi="Times" w:hint="eastAsia"/>
                <w:color w:val="000000" w:themeColor="text1"/>
                <w:lang w:eastAsia="zh-CN"/>
              </w:rPr>
              <w:t>”</w:t>
            </w:r>
            <w:r>
              <w:rPr>
                <w:rFonts w:ascii="Times" w:eastAsia="宋体" w:hAnsi="Times" w:hint="eastAsia"/>
                <w:color w:val="000000" w:themeColor="text1"/>
                <w:lang w:eastAsia="zh-CN"/>
              </w:rPr>
              <w:t>、</w:t>
            </w:r>
            <w:r w:rsidR="00642F6A">
              <w:rPr>
                <w:rFonts w:ascii="Times" w:eastAsia="宋体" w:hAnsi="Times" w:hint="eastAsia"/>
                <w:color w:val="000000" w:themeColor="text1"/>
                <w:lang w:eastAsia="zh-CN"/>
              </w:rPr>
              <w:t>“</w:t>
            </w:r>
            <w:r>
              <w:rPr>
                <w:rFonts w:ascii="Times" w:eastAsia="宋体" w:hAnsi="Times" w:hint="eastAsia"/>
                <w:color w:val="000000" w:themeColor="text1"/>
                <w:lang w:eastAsia="zh-CN"/>
              </w:rPr>
              <w:t>煤炭”和“大豆”，同比增速分别为</w:t>
            </w:r>
            <w:r>
              <w:rPr>
                <w:rFonts w:ascii="Times" w:eastAsia="宋体" w:hAnsi="Times" w:hint="eastAsia"/>
                <w:color w:val="000000" w:themeColor="text1"/>
                <w:lang w:eastAsia="zh-CN"/>
              </w:rPr>
              <w:t>-28.2%</w:t>
            </w:r>
            <w:r>
              <w:rPr>
                <w:rFonts w:ascii="Times" w:eastAsia="宋体" w:hAnsi="Times" w:hint="eastAsia"/>
                <w:color w:val="000000" w:themeColor="text1"/>
                <w:lang w:eastAsia="zh-CN"/>
              </w:rPr>
              <w:t>、</w:t>
            </w:r>
            <w:r>
              <w:rPr>
                <w:rFonts w:ascii="Times" w:eastAsia="宋体" w:hAnsi="Times" w:hint="eastAsia"/>
                <w:color w:val="000000" w:themeColor="text1"/>
                <w:lang w:eastAsia="zh-CN"/>
              </w:rPr>
              <w:t>-41.2%</w:t>
            </w:r>
            <w:r>
              <w:rPr>
                <w:rFonts w:ascii="Times" w:eastAsia="宋体" w:hAnsi="Times" w:hint="eastAsia"/>
                <w:color w:val="000000" w:themeColor="text1"/>
                <w:lang w:eastAsia="zh-CN"/>
              </w:rPr>
              <w:t>和</w:t>
            </w:r>
            <w:r>
              <w:rPr>
                <w:rFonts w:ascii="Times" w:eastAsia="宋体" w:hAnsi="Times" w:hint="eastAsia"/>
                <w:color w:val="000000" w:themeColor="text1"/>
                <w:lang w:eastAsia="zh-CN"/>
              </w:rPr>
              <w:t>-59.6%</w:t>
            </w:r>
            <w:r>
              <w:rPr>
                <w:rFonts w:ascii="Times" w:eastAsia="宋体" w:hAnsi="Times" w:hint="eastAsia"/>
                <w:color w:val="000000" w:themeColor="text1"/>
                <w:lang w:eastAsia="zh-CN"/>
              </w:rPr>
              <w:t>，对从美进口商品金额增速的影响分别为</w:t>
            </w:r>
            <w:r>
              <w:rPr>
                <w:rFonts w:ascii="Times" w:eastAsia="宋体" w:hAnsi="Times" w:hint="eastAsia"/>
                <w:color w:val="000000" w:themeColor="text1"/>
                <w:lang w:eastAsia="zh-CN"/>
              </w:rPr>
              <w:t>-1.6</w:t>
            </w:r>
            <w:r>
              <w:rPr>
                <w:rFonts w:ascii="Times" w:eastAsia="宋体" w:hAnsi="Times" w:hint="eastAsia"/>
                <w:color w:val="000000" w:themeColor="text1"/>
                <w:lang w:eastAsia="zh-CN"/>
              </w:rPr>
              <w:t>个百分点、</w:t>
            </w:r>
            <w:r>
              <w:rPr>
                <w:rFonts w:ascii="Times" w:eastAsia="宋体" w:hAnsi="Times" w:hint="eastAsia"/>
                <w:color w:val="000000" w:themeColor="text1"/>
                <w:lang w:eastAsia="zh-CN"/>
              </w:rPr>
              <w:t>-1.6</w:t>
            </w:r>
            <w:r>
              <w:rPr>
                <w:rFonts w:ascii="Times" w:eastAsia="宋体" w:hAnsi="Times" w:hint="eastAsia"/>
                <w:color w:val="000000" w:themeColor="text1"/>
                <w:lang w:eastAsia="zh-CN"/>
              </w:rPr>
              <w:t>个百分点，以及</w:t>
            </w:r>
            <w:r>
              <w:rPr>
                <w:rFonts w:ascii="Times" w:eastAsia="宋体" w:hAnsi="Times" w:hint="eastAsia"/>
                <w:color w:val="000000" w:themeColor="text1"/>
                <w:lang w:eastAsia="zh-CN"/>
              </w:rPr>
              <w:t>-1.3</w:t>
            </w:r>
            <w:r>
              <w:rPr>
                <w:rFonts w:ascii="Times" w:eastAsia="宋体" w:hAnsi="Times" w:hint="eastAsia"/>
                <w:color w:val="000000" w:themeColor="text1"/>
                <w:lang w:eastAsia="zh-CN"/>
              </w:rPr>
              <w:t>个百分点。在对美出口方面，</w:t>
            </w:r>
            <w:r>
              <w:rPr>
                <w:rFonts w:ascii="Times" w:eastAsia="宋体" w:hAnsi="Times" w:hint="eastAsia"/>
                <w:color w:val="000000" w:themeColor="text1"/>
                <w:lang w:eastAsia="zh-CN"/>
              </w:rPr>
              <w:t>2</w:t>
            </w:r>
            <w:r>
              <w:rPr>
                <w:rFonts w:ascii="Times" w:eastAsia="宋体" w:hAnsi="Times" w:hint="eastAsia"/>
                <w:color w:val="000000" w:themeColor="text1"/>
                <w:lang w:eastAsia="zh-CN"/>
              </w:rPr>
              <w:t>月同比增速最高的是</w:t>
            </w:r>
            <w:r w:rsidR="00642F6A">
              <w:rPr>
                <w:rFonts w:ascii="Times" w:eastAsia="宋体" w:hAnsi="Times" w:hint="eastAsia"/>
                <w:color w:val="000000" w:themeColor="text1"/>
                <w:lang w:eastAsia="zh-CN"/>
              </w:rPr>
              <w:t>“</w:t>
            </w:r>
            <w:r>
              <w:rPr>
                <w:rFonts w:ascii="Times" w:eastAsia="宋体" w:hAnsi="Times" w:hint="eastAsia"/>
                <w:color w:val="000000" w:themeColor="text1"/>
                <w:lang w:eastAsia="zh-CN"/>
              </w:rPr>
              <w:t>汽车</w:t>
            </w:r>
            <w:r w:rsidR="00642F6A">
              <w:rPr>
                <w:rFonts w:ascii="Times" w:eastAsia="宋体" w:hAnsi="Times" w:hint="eastAsia"/>
                <w:color w:val="000000" w:themeColor="text1"/>
                <w:lang w:eastAsia="zh-CN"/>
              </w:rPr>
              <w:t>”</w:t>
            </w:r>
            <w:r>
              <w:rPr>
                <w:rFonts w:ascii="Times" w:eastAsia="宋体" w:hAnsi="Times" w:hint="eastAsia"/>
                <w:color w:val="000000" w:themeColor="text1"/>
                <w:lang w:eastAsia="zh-CN"/>
              </w:rPr>
              <w:t>、“原子能动力机”和“科学光学机器”，同比增速分别为</w:t>
            </w:r>
            <w:r>
              <w:rPr>
                <w:rFonts w:ascii="Times" w:eastAsia="宋体" w:hAnsi="Times" w:hint="eastAsia"/>
                <w:color w:val="000000" w:themeColor="text1"/>
                <w:lang w:eastAsia="zh-CN"/>
              </w:rPr>
              <w:t>13.9%</w:t>
            </w:r>
            <w:r>
              <w:rPr>
                <w:rFonts w:ascii="Times" w:eastAsia="宋体" w:hAnsi="Times" w:hint="eastAsia"/>
                <w:color w:val="000000" w:themeColor="text1"/>
                <w:lang w:eastAsia="zh-CN"/>
              </w:rPr>
              <w:t>、</w:t>
            </w:r>
            <w:r>
              <w:rPr>
                <w:rFonts w:ascii="Times" w:eastAsia="宋体" w:hAnsi="Times" w:hint="eastAsia"/>
                <w:color w:val="000000" w:themeColor="text1"/>
                <w:lang w:eastAsia="zh-CN"/>
              </w:rPr>
              <w:t>16.5%</w:t>
            </w:r>
            <w:r>
              <w:rPr>
                <w:rFonts w:ascii="Times" w:eastAsia="宋体" w:hAnsi="Times" w:hint="eastAsia"/>
                <w:color w:val="000000" w:themeColor="text1"/>
                <w:lang w:eastAsia="zh-CN"/>
              </w:rPr>
              <w:t>和</w:t>
            </w:r>
            <w:r>
              <w:rPr>
                <w:rFonts w:ascii="Times" w:eastAsia="宋体" w:hAnsi="Times" w:hint="eastAsia"/>
                <w:color w:val="000000" w:themeColor="text1"/>
                <w:lang w:eastAsia="zh-CN"/>
              </w:rPr>
              <w:t>27.1%</w:t>
            </w:r>
            <w:r>
              <w:rPr>
                <w:rFonts w:ascii="Times" w:eastAsia="宋体" w:hAnsi="Times" w:hint="eastAsia"/>
                <w:color w:val="000000" w:themeColor="text1"/>
                <w:lang w:eastAsia="zh-CN"/>
              </w:rPr>
              <w:t>，带动对美出口增速</w:t>
            </w:r>
            <w:r>
              <w:rPr>
                <w:rFonts w:ascii="Times" w:eastAsia="宋体" w:hAnsi="Times" w:hint="eastAsia"/>
                <w:color w:val="000000" w:themeColor="text1"/>
                <w:lang w:eastAsia="zh-CN"/>
              </w:rPr>
              <w:t>3.9</w:t>
            </w:r>
            <w:r>
              <w:rPr>
                <w:rFonts w:ascii="Times" w:eastAsia="宋体" w:hAnsi="Times" w:hint="eastAsia"/>
                <w:color w:val="000000" w:themeColor="text1"/>
                <w:lang w:eastAsia="zh-CN"/>
              </w:rPr>
              <w:t>个百分点，</w:t>
            </w:r>
            <w:r>
              <w:rPr>
                <w:rFonts w:ascii="Times" w:eastAsia="宋体" w:hAnsi="Times" w:hint="eastAsia"/>
                <w:color w:val="000000" w:themeColor="text1"/>
                <w:lang w:eastAsia="zh-CN"/>
              </w:rPr>
              <w:t>0.8</w:t>
            </w:r>
            <w:r>
              <w:rPr>
                <w:rFonts w:ascii="Times" w:eastAsia="宋体" w:hAnsi="Times" w:hint="eastAsia"/>
                <w:color w:val="000000" w:themeColor="text1"/>
                <w:lang w:eastAsia="zh-CN"/>
              </w:rPr>
              <w:t>个百分点和</w:t>
            </w:r>
            <w:r>
              <w:rPr>
                <w:rFonts w:ascii="Times" w:eastAsia="宋体" w:hAnsi="Times" w:hint="eastAsia"/>
                <w:color w:val="000000" w:themeColor="text1"/>
                <w:lang w:eastAsia="zh-CN"/>
              </w:rPr>
              <w:t>0.7</w:t>
            </w:r>
            <w:r>
              <w:rPr>
                <w:rFonts w:ascii="Times" w:eastAsia="宋体" w:hAnsi="Times" w:hint="eastAsia"/>
                <w:color w:val="000000" w:themeColor="text1"/>
                <w:lang w:eastAsia="zh-CN"/>
              </w:rPr>
              <w:t>个百分点。出口减少的商品主要为“建设用和矿山用机器”和“医药品”，同比增速分别为</w:t>
            </w:r>
            <w:r>
              <w:rPr>
                <w:rFonts w:ascii="Times" w:eastAsia="宋体" w:hAnsi="Times" w:hint="eastAsia"/>
                <w:color w:val="000000" w:themeColor="text1"/>
                <w:lang w:eastAsia="zh-CN"/>
              </w:rPr>
              <w:t>-24.6%</w:t>
            </w:r>
            <w:r>
              <w:rPr>
                <w:rFonts w:ascii="Times" w:eastAsia="宋体" w:hAnsi="Times" w:hint="eastAsia"/>
                <w:color w:val="000000" w:themeColor="text1"/>
                <w:lang w:eastAsia="zh-CN"/>
              </w:rPr>
              <w:t>和</w:t>
            </w:r>
            <w:r>
              <w:rPr>
                <w:rFonts w:ascii="Times" w:eastAsia="宋体" w:hAnsi="Times" w:hint="eastAsia"/>
                <w:color w:val="000000" w:themeColor="text1"/>
                <w:lang w:eastAsia="zh-CN"/>
              </w:rPr>
              <w:t>-28.2%</w:t>
            </w:r>
            <w:r>
              <w:rPr>
                <w:rFonts w:ascii="Times" w:eastAsia="宋体" w:hAnsi="Times" w:hint="eastAsia"/>
                <w:color w:val="000000" w:themeColor="text1"/>
                <w:lang w:eastAsia="zh-CN"/>
              </w:rPr>
              <w:t>，带动出口增速</w:t>
            </w:r>
            <w:r>
              <w:rPr>
                <w:rFonts w:ascii="Times" w:eastAsia="宋体" w:hAnsi="Times" w:hint="eastAsia"/>
                <w:color w:val="000000" w:themeColor="text1"/>
                <w:lang w:eastAsia="zh-CN"/>
              </w:rPr>
              <w:t>-1.2</w:t>
            </w:r>
            <w:r>
              <w:rPr>
                <w:rFonts w:ascii="Times" w:eastAsia="宋体" w:hAnsi="Times" w:hint="eastAsia"/>
                <w:color w:val="000000" w:themeColor="text1"/>
                <w:lang w:eastAsia="zh-CN"/>
              </w:rPr>
              <w:t>个百分点和</w:t>
            </w:r>
            <w:r>
              <w:rPr>
                <w:rFonts w:ascii="Times" w:eastAsia="宋体" w:hAnsi="Times" w:hint="eastAsia"/>
                <w:color w:val="000000" w:themeColor="text1"/>
                <w:lang w:eastAsia="zh-CN"/>
              </w:rPr>
              <w:t>-0.8</w:t>
            </w:r>
            <w:r>
              <w:rPr>
                <w:rFonts w:ascii="Times" w:eastAsia="宋体" w:hAnsi="Times" w:hint="eastAsia"/>
                <w:color w:val="000000" w:themeColor="text1"/>
                <w:lang w:eastAsia="zh-CN"/>
              </w:rPr>
              <w:t>个百分点。</w:t>
            </w:r>
          </w:p>
          <w:p w14:paraId="79231E60" w14:textId="77777777" w:rsidR="001304E4" w:rsidRPr="00A9552F" w:rsidRDefault="001304E4" w:rsidP="00D72849">
            <w:pPr>
              <w:ind w:firstLine="480"/>
              <w:rPr>
                <w:rFonts w:ascii="Times" w:eastAsia="宋体" w:hAnsi="Times"/>
                <w:color w:val="000000" w:themeColor="text1"/>
                <w:lang w:eastAsia="zh-CN"/>
              </w:rPr>
            </w:pPr>
          </w:p>
        </w:tc>
      </w:tr>
      <w:tr w:rsidR="001304E4" w:rsidRPr="00A9552F" w14:paraId="1585D06D" w14:textId="77777777" w:rsidTr="00D72849">
        <w:trPr>
          <w:trHeight w:val="73"/>
          <w:jc w:val="center"/>
        </w:trPr>
        <w:tc>
          <w:tcPr>
            <w:tcW w:w="9639" w:type="dxa"/>
            <w:gridSpan w:val="3"/>
          </w:tcPr>
          <w:p w14:paraId="6FF1BB7F" w14:textId="640CB026" w:rsidR="001304E4" w:rsidRPr="00A9552F" w:rsidRDefault="00DB2622" w:rsidP="00D37774">
            <w:pPr>
              <w:pStyle w:val="a4"/>
            </w:pPr>
            <w:bookmarkStart w:id="39" w:name="_Toc196399427"/>
            <w:r>
              <w:rPr>
                <w:rFonts w:hint="eastAsia"/>
              </w:rPr>
              <w:lastRenderedPageBreak/>
              <w:t xml:space="preserve">图表 </w:t>
            </w:r>
            <w:r>
              <w:rPr>
                <w:rFonts w:hint="eastAsia"/>
              </w:rPr>
              <w:fldChar w:fldCharType="begin"/>
            </w:r>
            <w:r>
              <w:rPr>
                <w:rFonts w:hint="eastAsia"/>
              </w:rPr>
              <w:instrText xml:space="preserve"> SEQ 图表 \* ARABIC </w:instrText>
            </w:r>
            <w:r>
              <w:rPr>
                <w:rFonts w:hint="eastAsia"/>
              </w:rPr>
              <w:fldChar w:fldCharType="separate"/>
            </w:r>
            <w:r w:rsidR="00530ED7">
              <w:rPr>
                <w:rFonts w:hint="eastAsia"/>
                <w:noProof/>
              </w:rPr>
              <w:t>16</w:t>
            </w:r>
            <w:r>
              <w:rPr>
                <w:rFonts w:hint="eastAsia"/>
              </w:rPr>
              <w:fldChar w:fldCharType="end"/>
            </w:r>
            <w:r w:rsidR="001304E4" w:rsidRPr="00A9552F">
              <w:t xml:space="preserve">  </w:t>
            </w:r>
            <w:r w:rsidR="001304E4" w:rsidRPr="00A9552F">
              <w:rPr>
                <w:rFonts w:hint="eastAsia"/>
              </w:rPr>
              <w:t>202</w:t>
            </w:r>
            <w:r w:rsidR="001304E4">
              <w:rPr>
                <w:rFonts w:hint="eastAsia"/>
              </w:rPr>
              <w:t>5</w:t>
            </w:r>
            <w:r w:rsidR="001304E4" w:rsidRPr="00A9552F">
              <w:rPr>
                <w:rFonts w:hint="eastAsia"/>
              </w:rPr>
              <w:t>年第</w:t>
            </w:r>
            <w:r w:rsidR="001304E4">
              <w:rPr>
                <w:rFonts w:hint="eastAsia"/>
              </w:rPr>
              <w:t>一</w:t>
            </w:r>
            <w:r w:rsidR="001304E4" w:rsidRPr="00A9552F">
              <w:rPr>
                <w:rFonts w:hint="eastAsia"/>
              </w:rPr>
              <w:t>季度日本商品贸易</w:t>
            </w:r>
            <w:r w:rsidR="001304E4">
              <w:rPr>
                <w:rFonts w:hint="eastAsia"/>
              </w:rPr>
              <w:t>逆差在1月份出现急剧扩大，随后转为顺差</w:t>
            </w:r>
            <w:bookmarkEnd w:id="39"/>
          </w:p>
          <w:p w14:paraId="27B2E848" w14:textId="77777777" w:rsidR="001304E4" w:rsidRPr="00A9552F" w:rsidRDefault="001304E4" w:rsidP="00140775">
            <w:pPr>
              <w:spacing w:beforeLines="50" w:before="163" w:line="312" w:lineRule="auto"/>
              <w:ind w:firstLineChars="0" w:firstLine="0"/>
              <w:jc w:val="center"/>
              <w:rPr>
                <w:rFonts w:ascii="Times" w:eastAsia="宋体" w:hAnsi="Times"/>
                <w:b/>
                <w:bCs/>
                <w:szCs w:val="21"/>
              </w:rPr>
            </w:pPr>
            <w:r>
              <w:rPr>
                <w:noProof/>
                <w:lang w:eastAsia="zh-CN" w:bidi="ar-SA"/>
              </w:rPr>
              <w:drawing>
                <wp:inline distT="0" distB="0" distL="0" distR="0" wp14:anchorId="1CB3D13F" wp14:editId="20DBB671">
                  <wp:extent cx="5594773" cy="1937173"/>
                  <wp:effectExtent l="0" t="0" r="6350" b="6350"/>
                  <wp:docPr id="1636456305" name="图表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c>
      </w:tr>
      <w:tr w:rsidR="001304E4" w:rsidRPr="00A9552F" w14:paraId="3A0CD620" w14:textId="77777777" w:rsidTr="00D72849">
        <w:trPr>
          <w:trHeight w:val="150"/>
          <w:jc w:val="center"/>
        </w:trPr>
        <w:tc>
          <w:tcPr>
            <w:tcW w:w="2168" w:type="dxa"/>
            <w:vAlign w:val="center"/>
          </w:tcPr>
          <w:p w14:paraId="499996E6" w14:textId="77777777" w:rsidR="001304E4" w:rsidRPr="000E0157" w:rsidRDefault="001304E4" w:rsidP="00000FFC">
            <w:pPr>
              <w:ind w:firstLineChars="0" w:firstLine="0"/>
              <w:rPr>
                <w:rFonts w:asciiTheme="minorEastAsia" w:hAnsiTheme="minorEastAsia"/>
                <w:b/>
                <w:color w:val="000000" w:themeColor="text1"/>
                <w:lang w:eastAsia="zh-CN"/>
              </w:rPr>
            </w:pPr>
            <w:r w:rsidRPr="000E0157">
              <w:rPr>
                <w:rFonts w:asciiTheme="minorEastAsia" w:hAnsiTheme="minorEastAsia" w:hint="eastAsia"/>
                <w:b/>
                <w:color w:val="000000" w:themeColor="text1"/>
                <w:lang w:eastAsia="zh-CN"/>
              </w:rPr>
              <w:t>货币金融政策收紧之后按兵不动，日银继续缩表。</w:t>
            </w:r>
          </w:p>
        </w:tc>
        <w:tc>
          <w:tcPr>
            <w:tcW w:w="251" w:type="dxa"/>
          </w:tcPr>
          <w:p w14:paraId="243EE354" w14:textId="77777777" w:rsidR="001304E4" w:rsidRPr="00A9552F" w:rsidRDefault="001304E4" w:rsidP="00D72849">
            <w:pPr>
              <w:keepNext/>
              <w:keepLines/>
              <w:spacing w:before="260" w:after="260"/>
              <w:ind w:firstLine="480"/>
              <w:rPr>
                <w:rFonts w:ascii="Times" w:eastAsia="宋体" w:hAnsi="Times"/>
                <w:lang w:eastAsia="zh-CN"/>
              </w:rPr>
            </w:pPr>
          </w:p>
        </w:tc>
        <w:tc>
          <w:tcPr>
            <w:tcW w:w="7220" w:type="dxa"/>
          </w:tcPr>
          <w:p w14:paraId="1BA3C4F7" w14:textId="77777777" w:rsidR="001304E4" w:rsidRPr="00A9552F" w:rsidRDefault="001304E4" w:rsidP="001244F7">
            <w:pPr>
              <w:spacing w:beforeLines="50" w:before="163"/>
              <w:ind w:firstLineChars="0" w:firstLine="0"/>
              <w:rPr>
                <w:rFonts w:ascii="Times" w:eastAsia="宋体" w:hAnsi="Times"/>
                <w:b/>
                <w:sz w:val="28"/>
                <w:szCs w:val="28"/>
                <w:lang w:eastAsia="zh-CN"/>
              </w:rPr>
            </w:pPr>
            <w:r w:rsidRPr="00A9552F">
              <w:rPr>
                <w:rFonts w:ascii="Times" w:eastAsia="宋体" w:hAnsi="Times"/>
                <w:b/>
                <w:sz w:val="28"/>
                <w:szCs w:val="28"/>
                <w:lang w:eastAsia="zh-CN"/>
              </w:rPr>
              <w:t>二、</w:t>
            </w:r>
            <w:r w:rsidRPr="00A9552F">
              <w:rPr>
                <w:rFonts w:ascii="Times" w:eastAsia="宋体" w:hAnsi="Times" w:hint="eastAsia"/>
                <w:b/>
                <w:sz w:val="28"/>
                <w:szCs w:val="28"/>
                <w:lang w:eastAsia="zh-CN"/>
              </w:rPr>
              <w:t>日本央行货币金融政策</w:t>
            </w:r>
            <w:r>
              <w:rPr>
                <w:rFonts w:ascii="Times" w:eastAsia="宋体" w:hAnsi="Times" w:hint="eastAsia"/>
                <w:b/>
                <w:sz w:val="28"/>
                <w:szCs w:val="28"/>
                <w:lang w:eastAsia="zh-CN"/>
              </w:rPr>
              <w:t>继续紧缩后按兵不动</w:t>
            </w:r>
          </w:p>
          <w:p w14:paraId="74C7FB17" w14:textId="0A4A529D" w:rsidR="001304E4" w:rsidRDefault="001304E4" w:rsidP="00D72849">
            <w:pPr>
              <w:ind w:firstLine="480"/>
              <w:rPr>
                <w:rFonts w:ascii="Times" w:eastAsia="宋体" w:hAnsi="Times"/>
                <w:lang w:eastAsia="zh-CN"/>
              </w:rPr>
            </w:pPr>
            <w:r>
              <w:rPr>
                <w:rFonts w:ascii="Times" w:eastAsia="宋体" w:hAnsi="Times" w:hint="eastAsia"/>
                <w:lang w:eastAsia="zh-CN"/>
              </w:rPr>
              <w:t>1</w:t>
            </w:r>
            <w:r>
              <w:rPr>
                <w:rFonts w:ascii="Times" w:eastAsia="宋体" w:hAnsi="Times" w:hint="eastAsia"/>
                <w:lang w:eastAsia="zh-CN"/>
              </w:rPr>
              <w:t>月到</w:t>
            </w:r>
            <w:r>
              <w:rPr>
                <w:rFonts w:ascii="Times" w:eastAsia="宋体" w:hAnsi="Times" w:hint="eastAsia"/>
                <w:lang w:eastAsia="zh-CN"/>
              </w:rPr>
              <w:t>3</w:t>
            </w:r>
            <w:r>
              <w:rPr>
                <w:rFonts w:ascii="Times" w:eastAsia="宋体" w:hAnsi="Times" w:hint="eastAsia"/>
                <w:lang w:eastAsia="zh-CN"/>
              </w:rPr>
              <w:t>月，日本央行共计召开了两次货币金融政策会议。其中</w:t>
            </w:r>
            <w:r>
              <w:rPr>
                <w:rFonts w:ascii="Times" w:eastAsia="宋体" w:hAnsi="Times" w:hint="eastAsia"/>
                <w:lang w:eastAsia="zh-CN"/>
              </w:rPr>
              <w:t>1</w:t>
            </w:r>
            <w:r>
              <w:rPr>
                <w:rFonts w:ascii="Times" w:eastAsia="宋体" w:hAnsi="Times" w:hint="eastAsia"/>
                <w:lang w:eastAsia="zh-CN"/>
              </w:rPr>
              <w:t>月份的会议上，日本央行决定将</w:t>
            </w:r>
            <w:r w:rsidRPr="00A9552F">
              <w:rPr>
                <w:rFonts w:ascii="Times" w:eastAsia="宋体" w:hAnsi="Times" w:hint="eastAsia"/>
                <w:lang w:eastAsia="zh-CN"/>
              </w:rPr>
              <w:t>无担保隔夜拆借利率的目标</w:t>
            </w:r>
            <w:r>
              <w:rPr>
                <w:rFonts w:ascii="Times" w:eastAsia="宋体" w:hAnsi="Times" w:hint="eastAsia"/>
                <w:lang w:eastAsia="zh-CN"/>
              </w:rPr>
              <w:t>从此前的</w:t>
            </w:r>
            <w:r w:rsidRPr="00A9552F">
              <w:rPr>
                <w:rFonts w:ascii="Times" w:eastAsia="宋体" w:hAnsi="Times" w:hint="eastAsia"/>
                <w:lang w:eastAsia="zh-CN"/>
              </w:rPr>
              <w:t>0.25%</w:t>
            </w:r>
            <w:r>
              <w:rPr>
                <w:rFonts w:ascii="Times" w:eastAsia="宋体" w:hAnsi="Times" w:hint="eastAsia"/>
                <w:lang w:eastAsia="zh-CN"/>
              </w:rPr>
              <w:t>提升到</w:t>
            </w:r>
            <w:r>
              <w:rPr>
                <w:rFonts w:ascii="Times" w:eastAsia="宋体" w:hAnsi="Times" w:hint="eastAsia"/>
                <w:lang w:eastAsia="zh-CN"/>
              </w:rPr>
              <w:t>0.5%</w:t>
            </w:r>
            <w:r>
              <w:rPr>
                <w:rFonts w:ascii="Times" w:eastAsia="宋体" w:hAnsi="Times" w:hint="eastAsia"/>
                <w:lang w:eastAsia="zh-CN"/>
              </w:rPr>
              <w:t>，这也被视为一种“加息”。此次会议仍有</w:t>
            </w:r>
            <w:r>
              <w:rPr>
                <w:rFonts w:ascii="Times" w:eastAsia="宋体" w:hAnsi="Times" w:hint="eastAsia"/>
                <w:lang w:eastAsia="zh-CN"/>
              </w:rPr>
              <w:t>1</w:t>
            </w:r>
            <w:r>
              <w:rPr>
                <w:rFonts w:ascii="Times" w:eastAsia="宋体" w:hAnsi="Times" w:hint="eastAsia"/>
                <w:lang w:eastAsia="zh-CN"/>
              </w:rPr>
              <w:t>名委员持反对意见，但相较于</w:t>
            </w:r>
            <w:r>
              <w:rPr>
                <w:rFonts w:ascii="Times" w:eastAsia="宋体" w:hAnsi="Times" w:hint="eastAsia"/>
                <w:lang w:eastAsia="zh-CN"/>
              </w:rPr>
              <w:t>2024</w:t>
            </w:r>
            <w:r>
              <w:rPr>
                <w:rFonts w:ascii="Times" w:eastAsia="宋体" w:hAnsi="Times" w:hint="eastAsia"/>
                <w:lang w:eastAsia="zh-CN"/>
              </w:rPr>
              <w:t>年</w:t>
            </w:r>
            <w:r>
              <w:rPr>
                <w:rFonts w:ascii="Times" w:eastAsia="宋体" w:hAnsi="Times" w:hint="eastAsia"/>
                <w:lang w:eastAsia="zh-CN"/>
              </w:rPr>
              <w:t>12</w:t>
            </w:r>
            <w:r>
              <w:rPr>
                <w:rFonts w:ascii="Times" w:eastAsia="宋体" w:hAnsi="Times" w:hint="eastAsia"/>
                <w:lang w:eastAsia="zh-CN"/>
              </w:rPr>
              <w:t>月，理由则从认为“应该升息至</w:t>
            </w:r>
            <w:r>
              <w:rPr>
                <w:rFonts w:ascii="Times" w:eastAsia="宋体" w:hAnsi="Times" w:hint="eastAsia"/>
                <w:lang w:eastAsia="zh-CN"/>
              </w:rPr>
              <w:t>0.5%</w:t>
            </w:r>
            <w:r>
              <w:rPr>
                <w:rFonts w:ascii="Times" w:eastAsia="宋体" w:hAnsi="Times" w:hint="eastAsia"/>
                <w:lang w:eastAsia="zh-CN"/>
              </w:rPr>
              <w:t>”变为“应该根据企业经营状况而定”这样的模糊理由。仅以此判断，日本央行后续加息的力度可能不大。</w:t>
            </w:r>
            <w:r>
              <w:rPr>
                <w:rFonts w:ascii="Times" w:eastAsia="宋体" w:hAnsi="Times" w:hint="eastAsia"/>
                <w:lang w:eastAsia="zh-CN"/>
              </w:rPr>
              <w:t>3</w:t>
            </w:r>
            <w:r>
              <w:rPr>
                <w:rFonts w:ascii="Times" w:eastAsia="宋体" w:hAnsi="Times" w:hint="eastAsia"/>
                <w:lang w:eastAsia="zh-CN"/>
              </w:rPr>
              <w:t>月份的会议决策与</w:t>
            </w:r>
            <w:r>
              <w:rPr>
                <w:rFonts w:ascii="Times" w:eastAsia="宋体" w:hAnsi="Times" w:hint="eastAsia"/>
                <w:lang w:eastAsia="zh-CN"/>
              </w:rPr>
              <w:t>1</w:t>
            </w:r>
            <w:r>
              <w:rPr>
                <w:rFonts w:ascii="Times" w:eastAsia="宋体" w:hAnsi="Times" w:hint="eastAsia"/>
                <w:lang w:eastAsia="zh-CN"/>
              </w:rPr>
              <w:t>月份相同，没有对政策进行显著调整。</w:t>
            </w:r>
          </w:p>
          <w:p w14:paraId="36F88682" w14:textId="6050021D" w:rsidR="001304E4" w:rsidRDefault="001304E4" w:rsidP="00D72849">
            <w:pPr>
              <w:ind w:firstLine="480"/>
              <w:rPr>
                <w:rFonts w:ascii="Times" w:eastAsia="宋体" w:hAnsi="Times"/>
                <w:lang w:eastAsia="zh-CN"/>
              </w:rPr>
            </w:pPr>
            <w:r w:rsidRPr="00A9552F">
              <w:rPr>
                <w:rFonts w:ascii="Times" w:eastAsia="宋体" w:hAnsi="Times" w:hint="eastAsia"/>
                <w:lang w:eastAsia="zh-CN"/>
              </w:rPr>
              <w:t>资产负债表方面，</w:t>
            </w:r>
            <w:r>
              <w:rPr>
                <w:rFonts w:ascii="Times" w:eastAsia="宋体" w:hAnsi="Times" w:hint="eastAsia"/>
                <w:lang w:eastAsia="zh-CN"/>
              </w:rPr>
              <w:t>2025</w:t>
            </w:r>
            <w:r>
              <w:rPr>
                <w:rFonts w:ascii="Times" w:eastAsia="宋体" w:hAnsi="Times" w:hint="eastAsia"/>
                <w:lang w:eastAsia="zh-CN"/>
              </w:rPr>
              <w:t>年第一季度日本央行继续显著缩表。</w:t>
            </w:r>
            <w:r>
              <w:rPr>
                <w:rFonts w:ascii="Times" w:eastAsia="宋体" w:hAnsi="Times" w:hint="eastAsia"/>
                <w:lang w:eastAsia="zh-CN"/>
              </w:rPr>
              <w:lastRenderedPageBreak/>
              <w:t>截止到</w:t>
            </w:r>
            <w:r>
              <w:rPr>
                <w:rFonts w:ascii="Times" w:eastAsia="宋体" w:hAnsi="Times" w:hint="eastAsia"/>
                <w:lang w:eastAsia="zh-CN"/>
              </w:rPr>
              <w:t>3</w:t>
            </w:r>
            <w:r>
              <w:rPr>
                <w:rFonts w:ascii="Times" w:eastAsia="宋体" w:hAnsi="Times" w:hint="eastAsia"/>
                <w:lang w:eastAsia="zh-CN"/>
              </w:rPr>
              <w:t>月份，日本央行保有资产</w:t>
            </w:r>
            <w:r>
              <w:rPr>
                <w:rFonts w:ascii="Times" w:eastAsia="宋体" w:hAnsi="Times" w:hint="eastAsia"/>
                <w:lang w:eastAsia="zh-CN"/>
              </w:rPr>
              <w:t>729.2</w:t>
            </w:r>
            <w:r>
              <w:rPr>
                <w:rFonts w:ascii="Times" w:eastAsia="宋体" w:hAnsi="Times" w:hint="eastAsia"/>
                <w:lang w:eastAsia="zh-CN"/>
              </w:rPr>
              <w:t>万亿日元，相比于</w:t>
            </w:r>
            <w:r>
              <w:rPr>
                <w:rFonts w:ascii="Times" w:eastAsia="宋体" w:hAnsi="Times" w:hint="eastAsia"/>
                <w:lang w:eastAsia="zh-CN"/>
              </w:rPr>
              <w:t>2024</w:t>
            </w:r>
            <w:r>
              <w:rPr>
                <w:rFonts w:ascii="Times" w:eastAsia="宋体" w:hAnsi="Times" w:hint="eastAsia"/>
                <w:lang w:eastAsia="zh-CN"/>
              </w:rPr>
              <w:t>年</w:t>
            </w:r>
            <w:r>
              <w:rPr>
                <w:rFonts w:ascii="Times" w:eastAsia="宋体" w:hAnsi="Times" w:hint="eastAsia"/>
                <w:lang w:eastAsia="zh-CN"/>
              </w:rPr>
              <w:t>12</w:t>
            </w:r>
            <w:r>
              <w:rPr>
                <w:rFonts w:ascii="Times" w:eastAsia="宋体" w:hAnsi="Times" w:hint="eastAsia"/>
                <w:lang w:eastAsia="zh-CN"/>
              </w:rPr>
              <w:t>月时的</w:t>
            </w:r>
            <w:r>
              <w:rPr>
                <w:rFonts w:ascii="Times" w:eastAsia="宋体" w:hAnsi="Times" w:hint="eastAsia"/>
                <w:lang w:eastAsia="zh-CN"/>
              </w:rPr>
              <w:t>748.0</w:t>
            </w:r>
            <w:r>
              <w:rPr>
                <w:rFonts w:ascii="Times" w:eastAsia="宋体" w:hAnsi="Times" w:hint="eastAsia"/>
                <w:lang w:eastAsia="zh-CN"/>
              </w:rPr>
              <w:t>万亿日元和</w:t>
            </w:r>
            <w:r>
              <w:rPr>
                <w:rFonts w:ascii="Times" w:eastAsia="宋体" w:hAnsi="Times" w:hint="eastAsia"/>
                <w:lang w:eastAsia="zh-CN"/>
              </w:rPr>
              <w:t>2024</w:t>
            </w:r>
            <w:r>
              <w:rPr>
                <w:rFonts w:ascii="Times" w:eastAsia="宋体" w:hAnsi="Times" w:hint="eastAsia"/>
                <w:lang w:eastAsia="zh-CN"/>
              </w:rPr>
              <w:t>年</w:t>
            </w:r>
            <w:r>
              <w:rPr>
                <w:rFonts w:ascii="Times" w:eastAsia="宋体" w:hAnsi="Times" w:hint="eastAsia"/>
                <w:lang w:eastAsia="zh-CN"/>
              </w:rPr>
              <w:t>3</w:t>
            </w:r>
            <w:r>
              <w:rPr>
                <w:rFonts w:ascii="Times" w:eastAsia="宋体" w:hAnsi="Times" w:hint="eastAsia"/>
                <w:lang w:eastAsia="zh-CN"/>
              </w:rPr>
              <w:t>月时的</w:t>
            </w:r>
            <w:r>
              <w:rPr>
                <w:rFonts w:ascii="Times" w:eastAsia="宋体" w:hAnsi="Times" w:hint="eastAsia"/>
                <w:lang w:eastAsia="zh-CN"/>
              </w:rPr>
              <w:t>735.1</w:t>
            </w:r>
            <w:r>
              <w:rPr>
                <w:rFonts w:ascii="Times" w:eastAsia="宋体" w:hAnsi="Times" w:hint="eastAsia"/>
                <w:lang w:eastAsia="zh-CN"/>
              </w:rPr>
              <w:t>万亿日元均有所减少。相较于</w:t>
            </w:r>
            <w:r>
              <w:rPr>
                <w:rFonts w:ascii="Times" w:eastAsia="宋体" w:hAnsi="Times" w:hint="eastAsia"/>
                <w:lang w:eastAsia="zh-CN"/>
              </w:rPr>
              <w:t>2024</w:t>
            </w:r>
            <w:r>
              <w:rPr>
                <w:rFonts w:ascii="Times" w:eastAsia="宋体" w:hAnsi="Times" w:hint="eastAsia"/>
                <w:lang w:eastAsia="zh-CN"/>
              </w:rPr>
              <w:t>年</w:t>
            </w:r>
            <w:r>
              <w:rPr>
                <w:rFonts w:ascii="Times" w:eastAsia="宋体" w:hAnsi="Times" w:hint="eastAsia"/>
                <w:lang w:eastAsia="zh-CN"/>
              </w:rPr>
              <w:t>12</w:t>
            </w:r>
            <w:r>
              <w:rPr>
                <w:rFonts w:ascii="Times" w:eastAsia="宋体" w:hAnsi="Times" w:hint="eastAsia"/>
                <w:lang w:eastAsia="zh-CN"/>
              </w:rPr>
              <w:t>月，日本央行在除了信托基金（股票、房产相关）黄金资产之外，几乎所有资产都有减持动作。短期国债从</w:t>
            </w:r>
            <w:r>
              <w:rPr>
                <w:rFonts w:ascii="Times" w:eastAsia="宋体" w:hAnsi="Times" w:hint="eastAsia"/>
                <w:lang w:eastAsia="zh-CN"/>
              </w:rPr>
              <w:t>1.96</w:t>
            </w:r>
            <w:r>
              <w:rPr>
                <w:rFonts w:ascii="Times" w:eastAsia="宋体" w:hAnsi="Times" w:hint="eastAsia"/>
                <w:lang w:eastAsia="zh-CN"/>
              </w:rPr>
              <w:t>万亿日元降至</w:t>
            </w:r>
            <w:r>
              <w:rPr>
                <w:rFonts w:ascii="Times" w:eastAsia="宋体" w:hAnsi="Times" w:hint="eastAsia"/>
                <w:lang w:eastAsia="zh-CN"/>
              </w:rPr>
              <w:t>1.70</w:t>
            </w:r>
            <w:r>
              <w:rPr>
                <w:rFonts w:ascii="Times" w:eastAsia="宋体" w:hAnsi="Times" w:hint="eastAsia"/>
                <w:lang w:eastAsia="zh-CN"/>
              </w:rPr>
              <w:t>万亿日元，长期国债从</w:t>
            </w:r>
            <w:r>
              <w:rPr>
                <w:rFonts w:ascii="Times" w:eastAsia="宋体" w:hAnsi="Times" w:hint="eastAsia"/>
                <w:lang w:eastAsia="zh-CN"/>
              </w:rPr>
              <w:t>580.4</w:t>
            </w:r>
            <w:r>
              <w:rPr>
                <w:rFonts w:ascii="Times" w:eastAsia="宋体" w:hAnsi="Times" w:hint="eastAsia"/>
                <w:lang w:eastAsia="zh-CN"/>
              </w:rPr>
              <w:t>万亿日元降低到</w:t>
            </w:r>
            <w:r>
              <w:rPr>
                <w:rFonts w:ascii="Times" w:eastAsia="宋体" w:hAnsi="Times" w:hint="eastAsia"/>
                <w:lang w:eastAsia="zh-CN"/>
              </w:rPr>
              <w:t>574.2</w:t>
            </w:r>
            <w:r>
              <w:rPr>
                <w:rFonts w:ascii="Times" w:eastAsia="宋体" w:hAnsi="Times" w:hint="eastAsia"/>
                <w:lang w:eastAsia="zh-CN"/>
              </w:rPr>
              <w:t>万亿日元，公司债从</w:t>
            </w:r>
            <w:r>
              <w:rPr>
                <w:rFonts w:ascii="Times" w:eastAsia="宋体" w:hAnsi="Times" w:hint="eastAsia"/>
                <w:lang w:eastAsia="zh-CN"/>
              </w:rPr>
              <w:t>5.10</w:t>
            </w:r>
            <w:r>
              <w:rPr>
                <w:rFonts w:ascii="Times" w:eastAsia="宋体" w:hAnsi="Times" w:hint="eastAsia"/>
                <w:lang w:eastAsia="zh-CN"/>
              </w:rPr>
              <w:t>万亿日元降低至</w:t>
            </w:r>
            <w:r>
              <w:rPr>
                <w:rFonts w:ascii="Times" w:eastAsia="宋体" w:hAnsi="Times" w:hint="eastAsia"/>
                <w:lang w:eastAsia="zh-CN"/>
              </w:rPr>
              <w:t>4.85</w:t>
            </w:r>
            <w:r>
              <w:rPr>
                <w:rFonts w:ascii="Times" w:eastAsia="宋体" w:hAnsi="Times" w:hint="eastAsia"/>
                <w:lang w:eastAsia="zh-CN"/>
              </w:rPr>
              <w:t>万亿日元，贷款从</w:t>
            </w:r>
            <w:r>
              <w:rPr>
                <w:rFonts w:ascii="Times" w:eastAsia="宋体" w:hAnsi="Times" w:hint="eastAsia"/>
                <w:lang w:eastAsia="zh-CN"/>
              </w:rPr>
              <w:t>108.5</w:t>
            </w:r>
            <w:r>
              <w:rPr>
                <w:rFonts w:ascii="Times" w:eastAsia="宋体" w:hAnsi="Times" w:hint="eastAsia"/>
                <w:lang w:eastAsia="zh-CN"/>
              </w:rPr>
              <w:t>万亿日元降低到</w:t>
            </w:r>
            <w:r>
              <w:rPr>
                <w:rFonts w:ascii="Times" w:eastAsia="宋体" w:hAnsi="Times" w:hint="eastAsia"/>
                <w:lang w:eastAsia="zh-CN"/>
              </w:rPr>
              <w:t>96.8</w:t>
            </w:r>
            <w:r>
              <w:rPr>
                <w:rFonts w:ascii="Times" w:eastAsia="宋体" w:hAnsi="Times" w:hint="eastAsia"/>
                <w:lang w:eastAsia="zh-CN"/>
              </w:rPr>
              <w:t>万亿日元。</w:t>
            </w:r>
          </w:p>
          <w:p w14:paraId="774D0B74" w14:textId="786DEB66" w:rsidR="001304E4" w:rsidRDefault="001304E4" w:rsidP="00D72849">
            <w:pPr>
              <w:ind w:firstLine="480"/>
              <w:rPr>
                <w:rFonts w:ascii="Times" w:eastAsia="宋体" w:hAnsi="Times"/>
                <w:lang w:eastAsia="zh-CN"/>
              </w:rPr>
            </w:pPr>
            <w:r>
              <w:rPr>
                <w:rFonts w:ascii="Times" w:eastAsia="宋体" w:hAnsi="Times" w:hint="eastAsia"/>
                <w:lang w:eastAsia="zh-CN"/>
              </w:rPr>
              <w:t>物价方面，</w:t>
            </w:r>
            <w:r>
              <w:rPr>
                <w:rFonts w:ascii="Times" w:eastAsia="宋体" w:hAnsi="Times" w:hint="eastAsia"/>
                <w:lang w:eastAsia="zh-CN"/>
              </w:rPr>
              <w:t>2025</w:t>
            </w:r>
            <w:r>
              <w:rPr>
                <w:rFonts w:ascii="Times" w:eastAsia="宋体" w:hAnsi="Times" w:hint="eastAsia"/>
                <w:lang w:eastAsia="zh-CN"/>
              </w:rPr>
              <w:t>年</w:t>
            </w:r>
            <w:r>
              <w:rPr>
                <w:rFonts w:ascii="Times" w:eastAsia="宋体" w:hAnsi="Times" w:hint="eastAsia"/>
                <w:lang w:eastAsia="zh-CN"/>
              </w:rPr>
              <w:t>1</w:t>
            </w:r>
            <w:r>
              <w:rPr>
                <w:rFonts w:ascii="Times" w:eastAsia="宋体" w:hAnsi="Times" w:hint="eastAsia"/>
                <w:lang w:eastAsia="zh-CN"/>
              </w:rPr>
              <w:t>月和</w:t>
            </w:r>
            <w:r>
              <w:rPr>
                <w:rFonts w:ascii="Times" w:eastAsia="宋体" w:hAnsi="Times" w:hint="eastAsia"/>
                <w:lang w:eastAsia="zh-CN"/>
              </w:rPr>
              <w:t>2</w:t>
            </w:r>
            <w:r>
              <w:rPr>
                <w:rFonts w:ascii="Times" w:eastAsia="宋体" w:hAnsi="Times" w:hint="eastAsia"/>
                <w:lang w:eastAsia="zh-CN"/>
              </w:rPr>
              <w:t>月，日本</w:t>
            </w:r>
            <w:r>
              <w:rPr>
                <w:rFonts w:ascii="Times" w:eastAsia="宋体" w:hAnsi="Times" w:hint="eastAsia"/>
                <w:lang w:eastAsia="zh-CN"/>
              </w:rPr>
              <w:t>CPI</w:t>
            </w:r>
            <w:r>
              <w:rPr>
                <w:rFonts w:ascii="Times" w:eastAsia="宋体" w:hAnsi="Times" w:hint="eastAsia"/>
                <w:lang w:eastAsia="zh-CN"/>
              </w:rPr>
              <w:t>同比增速分别为</w:t>
            </w:r>
            <w:r>
              <w:rPr>
                <w:rFonts w:ascii="Times" w:eastAsia="宋体" w:hAnsi="Times" w:hint="eastAsia"/>
                <w:lang w:eastAsia="zh-CN"/>
              </w:rPr>
              <w:t>4.0%</w:t>
            </w:r>
            <w:r>
              <w:rPr>
                <w:rFonts w:ascii="Times" w:eastAsia="宋体" w:hAnsi="Times" w:hint="eastAsia"/>
                <w:lang w:eastAsia="zh-CN"/>
              </w:rPr>
              <w:t>和</w:t>
            </w:r>
            <w:r>
              <w:rPr>
                <w:rFonts w:ascii="Times" w:eastAsia="宋体" w:hAnsi="Times" w:hint="eastAsia"/>
                <w:lang w:eastAsia="zh-CN"/>
              </w:rPr>
              <w:t>3.7%</w:t>
            </w:r>
            <w:r>
              <w:rPr>
                <w:rFonts w:ascii="Times" w:eastAsia="宋体" w:hAnsi="Times" w:hint="eastAsia"/>
                <w:lang w:eastAsia="zh-CN"/>
              </w:rPr>
              <w:t>，结合</w:t>
            </w:r>
            <w:r>
              <w:rPr>
                <w:rFonts w:ascii="Times" w:eastAsia="宋体" w:hAnsi="Times" w:hint="eastAsia"/>
                <w:lang w:eastAsia="zh-CN"/>
              </w:rPr>
              <w:t>12</w:t>
            </w:r>
            <w:r>
              <w:rPr>
                <w:rFonts w:ascii="Times" w:eastAsia="宋体" w:hAnsi="Times" w:hint="eastAsia"/>
                <w:lang w:eastAsia="zh-CN"/>
              </w:rPr>
              <w:t>月</w:t>
            </w:r>
            <w:r>
              <w:rPr>
                <w:rFonts w:ascii="Times" w:eastAsia="宋体" w:hAnsi="Times" w:hint="eastAsia"/>
                <w:lang w:eastAsia="zh-CN"/>
              </w:rPr>
              <w:t>3.6%</w:t>
            </w:r>
            <w:r>
              <w:rPr>
                <w:rFonts w:ascii="Times" w:eastAsia="宋体" w:hAnsi="Times" w:hint="eastAsia"/>
                <w:lang w:eastAsia="zh-CN"/>
              </w:rPr>
              <w:t>的数据，可以说日本通胀问题已经再次卷土重来。</w:t>
            </w:r>
            <w:r>
              <w:rPr>
                <w:rFonts w:ascii="Times" w:eastAsia="宋体" w:hAnsi="Times" w:hint="eastAsia"/>
                <w:lang w:eastAsia="zh-CN"/>
              </w:rPr>
              <w:t>1</w:t>
            </w:r>
            <w:r>
              <w:rPr>
                <w:rFonts w:ascii="Times" w:eastAsia="宋体" w:hAnsi="Times" w:hint="eastAsia"/>
                <w:lang w:eastAsia="zh-CN"/>
              </w:rPr>
              <w:t>月和</w:t>
            </w:r>
            <w:r>
              <w:rPr>
                <w:rFonts w:ascii="Times" w:eastAsia="宋体" w:hAnsi="Times" w:hint="eastAsia"/>
                <w:lang w:eastAsia="zh-CN"/>
              </w:rPr>
              <w:t>2</w:t>
            </w:r>
            <w:r>
              <w:rPr>
                <w:rFonts w:ascii="Times" w:eastAsia="宋体" w:hAnsi="Times" w:hint="eastAsia"/>
                <w:lang w:eastAsia="zh-CN"/>
              </w:rPr>
              <w:t>月，除去生鲜食品的</w:t>
            </w:r>
            <w:r>
              <w:rPr>
                <w:rFonts w:ascii="Times" w:eastAsia="宋体" w:hAnsi="Times" w:hint="eastAsia"/>
                <w:lang w:eastAsia="zh-CN"/>
              </w:rPr>
              <w:t>CPI</w:t>
            </w:r>
            <w:r>
              <w:rPr>
                <w:rFonts w:ascii="Times" w:eastAsia="宋体" w:hAnsi="Times" w:hint="eastAsia"/>
                <w:lang w:eastAsia="zh-CN"/>
              </w:rPr>
              <w:t>的同比增速为</w:t>
            </w:r>
            <w:r>
              <w:rPr>
                <w:rFonts w:ascii="Times" w:eastAsia="宋体" w:hAnsi="Times" w:hint="eastAsia"/>
                <w:lang w:eastAsia="zh-CN"/>
              </w:rPr>
              <w:t>3.2%</w:t>
            </w:r>
            <w:r>
              <w:rPr>
                <w:rFonts w:ascii="Times" w:eastAsia="宋体" w:hAnsi="Times" w:hint="eastAsia"/>
                <w:lang w:eastAsia="zh-CN"/>
              </w:rPr>
              <w:t>和</w:t>
            </w:r>
            <w:r>
              <w:rPr>
                <w:rFonts w:ascii="Times" w:eastAsia="宋体" w:hAnsi="Times" w:hint="eastAsia"/>
                <w:lang w:eastAsia="zh-CN"/>
              </w:rPr>
              <w:t>3.0%</w:t>
            </w:r>
            <w:r>
              <w:rPr>
                <w:rFonts w:ascii="Times" w:eastAsia="宋体" w:hAnsi="Times" w:hint="eastAsia"/>
                <w:lang w:eastAsia="zh-CN"/>
              </w:rPr>
              <w:t>；除去能源和食品的（核心）</w:t>
            </w:r>
            <w:r>
              <w:rPr>
                <w:rFonts w:ascii="Times" w:eastAsia="宋体" w:hAnsi="Times" w:hint="eastAsia"/>
                <w:lang w:eastAsia="zh-CN"/>
              </w:rPr>
              <w:t>CPI</w:t>
            </w:r>
            <w:r>
              <w:rPr>
                <w:rFonts w:ascii="Times" w:eastAsia="宋体" w:hAnsi="Times" w:hint="eastAsia"/>
                <w:lang w:eastAsia="zh-CN"/>
              </w:rPr>
              <w:t>同比增速分别为</w:t>
            </w:r>
            <w:r>
              <w:rPr>
                <w:rFonts w:ascii="Times" w:eastAsia="宋体" w:hAnsi="Times" w:hint="eastAsia"/>
                <w:lang w:eastAsia="zh-CN"/>
              </w:rPr>
              <w:t>2.5%</w:t>
            </w:r>
            <w:r>
              <w:rPr>
                <w:rFonts w:ascii="Times" w:eastAsia="宋体" w:hAnsi="Times" w:hint="eastAsia"/>
                <w:lang w:eastAsia="zh-CN"/>
              </w:rPr>
              <w:t>和</w:t>
            </w:r>
            <w:r>
              <w:rPr>
                <w:rFonts w:ascii="Times" w:eastAsia="宋体" w:hAnsi="Times" w:hint="eastAsia"/>
                <w:lang w:eastAsia="zh-CN"/>
              </w:rPr>
              <w:t>2.6%</w:t>
            </w:r>
            <w:r>
              <w:rPr>
                <w:rFonts w:ascii="Times" w:eastAsia="宋体" w:hAnsi="Times" w:hint="eastAsia"/>
                <w:lang w:eastAsia="zh-CN"/>
              </w:rPr>
              <w:t>，核心</w:t>
            </w:r>
            <w:r>
              <w:rPr>
                <w:rFonts w:ascii="Times" w:eastAsia="宋体" w:hAnsi="Times" w:hint="eastAsia"/>
                <w:lang w:eastAsia="zh-CN"/>
              </w:rPr>
              <w:t>CPI</w:t>
            </w:r>
            <w:r>
              <w:rPr>
                <w:rFonts w:ascii="Times" w:eastAsia="宋体" w:hAnsi="Times" w:hint="eastAsia"/>
                <w:lang w:eastAsia="zh-CN"/>
              </w:rPr>
              <w:t>同比增速虽然同样偏高，但低于去年同期水平。说明食品和能源，依旧是困扰日本物价的重要因素。</w:t>
            </w:r>
          </w:p>
          <w:p w14:paraId="61BD665D" w14:textId="77777777" w:rsidR="001304E4" w:rsidRPr="00A9552F" w:rsidRDefault="001304E4" w:rsidP="00D72849">
            <w:pPr>
              <w:ind w:firstLine="480"/>
              <w:rPr>
                <w:rFonts w:ascii="Times" w:eastAsia="宋体" w:hAnsi="Times"/>
                <w:lang w:eastAsia="zh-CN"/>
              </w:rPr>
            </w:pPr>
            <w:r>
              <w:rPr>
                <w:rFonts w:ascii="Times" w:eastAsia="宋体" w:hAnsi="Times" w:hint="eastAsia"/>
                <w:lang w:eastAsia="zh-CN"/>
              </w:rPr>
              <w:t>在</w:t>
            </w:r>
            <w:r>
              <w:rPr>
                <w:rFonts w:ascii="Times" w:eastAsia="宋体" w:hAnsi="Times" w:hint="eastAsia"/>
                <w:lang w:eastAsia="zh-CN"/>
              </w:rPr>
              <w:t>2</w:t>
            </w:r>
            <w:r>
              <w:rPr>
                <w:rFonts w:ascii="Times" w:eastAsia="宋体" w:hAnsi="Times" w:hint="eastAsia"/>
                <w:lang w:eastAsia="zh-CN"/>
              </w:rPr>
              <w:t>月的</w:t>
            </w:r>
            <w:r>
              <w:rPr>
                <w:rFonts w:ascii="Times" w:eastAsia="宋体" w:hAnsi="Times" w:hint="eastAsia"/>
                <w:lang w:eastAsia="zh-CN"/>
              </w:rPr>
              <w:t>CPI</w:t>
            </w:r>
            <w:r>
              <w:rPr>
                <w:rFonts w:ascii="Times" w:eastAsia="宋体" w:hAnsi="Times" w:hint="eastAsia"/>
                <w:lang w:eastAsia="zh-CN"/>
              </w:rPr>
              <w:t>分项数据中，“食物”价格涨幅高达</w:t>
            </w:r>
            <w:r>
              <w:rPr>
                <w:rFonts w:ascii="Times" w:eastAsia="宋体" w:hAnsi="Times" w:hint="eastAsia"/>
                <w:lang w:eastAsia="zh-CN"/>
              </w:rPr>
              <w:t>7.6%</w:t>
            </w:r>
            <w:r>
              <w:rPr>
                <w:rFonts w:ascii="Times" w:eastAsia="宋体" w:hAnsi="Times" w:hint="eastAsia"/>
                <w:lang w:eastAsia="zh-CN"/>
              </w:rPr>
              <w:t>。其中“生鲜食品”价格同比增</w:t>
            </w:r>
            <w:r>
              <w:rPr>
                <w:rFonts w:ascii="Times" w:eastAsia="宋体" w:hAnsi="Times" w:hint="eastAsia"/>
                <w:lang w:eastAsia="zh-CN"/>
              </w:rPr>
              <w:t>18.8%</w:t>
            </w:r>
            <w:r>
              <w:rPr>
                <w:rFonts w:ascii="Times" w:eastAsia="宋体" w:hAnsi="Times" w:hint="eastAsia"/>
                <w:lang w:eastAsia="zh-CN"/>
              </w:rPr>
              <w:t>，“生鲜食品之外的食物”价格同比增长</w:t>
            </w:r>
            <w:r>
              <w:rPr>
                <w:rFonts w:ascii="Times" w:eastAsia="宋体" w:hAnsi="Times" w:hint="eastAsia"/>
                <w:lang w:eastAsia="zh-CN"/>
              </w:rPr>
              <w:t>5.6%</w:t>
            </w:r>
            <w:r>
              <w:rPr>
                <w:rFonts w:ascii="Times" w:eastAsia="宋体" w:hAnsi="Times" w:hint="eastAsia"/>
                <w:lang w:eastAsia="zh-CN"/>
              </w:rPr>
              <w:t>。在“生鲜食品”中，“生鲜蔬菜”价格同比涨</w:t>
            </w:r>
            <w:r>
              <w:rPr>
                <w:rFonts w:ascii="Times" w:eastAsia="宋体" w:hAnsi="Times" w:hint="eastAsia"/>
                <w:lang w:eastAsia="zh-CN"/>
              </w:rPr>
              <w:t>28.0%</w:t>
            </w:r>
            <w:r>
              <w:rPr>
                <w:rFonts w:ascii="Times" w:eastAsia="宋体" w:hAnsi="Times" w:hint="eastAsia"/>
                <w:lang w:eastAsia="zh-CN"/>
              </w:rPr>
              <w:t>，其中“大头菜”涨</w:t>
            </w:r>
            <w:r>
              <w:rPr>
                <w:rFonts w:ascii="Times" w:eastAsia="宋体" w:hAnsi="Times" w:hint="eastAsia"/>
                <w:lang w:eastAsia="zh-CN"/>
              </w:rPr>
              <w:t>130.5%</w:t>
            </w:r>
            <w:r>
              <w:rPr>
                <w:rFonts w:ascii="Times" w:eastAsia="宋体" w:hAnsi="Times" w:hint="eastAsia"/>
                <w:lang w:eastAsia="zh-CN"/>
              </w:rPr>
              <w:t>；“谷类”价格涨</w:t>
            </w:r>
            <w:r>
              <w:rPr>
                <w:rFonts w:ascii="Times" w:eastAsia="宋体" w:hAnsi="Times" w:hint="eastAsia"/>
                <w:lang w:eastAsia="zh-CN"/>
              </w:rPr>
              <w:t>21.9%</w:t>
            </w:r>
            <w:r>
              <w:rPr>
                <w:rFonts w:ascii="Times" w:eastAsia="宋体" w:hAnsi="Times" w:hint="eastAsia"/>
                <w:lang w:eastAsia="zh-CN"/>
              </w:rPr>
              <w:t>，其中“粳米”涨</w:t>
            </w:r>
            <w:r>
              <w:rPr>
                <w:rFonts w:ascii="Times" w:eastAsia="宋体" w:hAnsi="Times" w:hint="eastAsia"/>
                <w:lang w:eastAsia="zh-CN"/>
              </w:rPr>
              <w:t>81.4%</w:t>
            </w:r>
            <w:r>
              <w:rPr>
                <w:rFonts w:ascii="Times" w:eastAsia="宋体" w:hAnsi="Times" w:hint="eastAsia"/>
                <w:lang w:eastAsia="zh-CN"/>
              </w:rPr>
              <w:t>；“生鲜水果”价格涨</w:t>
            </w:r>
            <w:r>
              <w:rPr>
                <w:rFonts w:ascii="Times" w:eastAsia="宋体" w:hAnsi="Times" w:hint="eastAsia"/>
                <w:lang w:eastAsia="zh-CN"/>
              </w:rPr>
              <w:t>20.8%</w:t>
            </w:r>
            <w:r>
              <w:rPr>
                <w:rFonts w:ascii="Times" w:eastAsia="宋体" w:hAnsi="Times" w:hint="eastAsia"/>
                <w:lang w:eastAsia="zh-CN"/>
              </w:rPr>
              <w:t>，其中“橘子”长</w:t>
            </w:r>
            <w:r>
              <w:rPr>
                <w:rFonts w:ascii="Times" w:eastAsia="宋体" w:hAnsi="Times" w:hint="eastAsia"/>
                <w:lang w:eastAsia="zh-CN"/>
              </w:rPr>
              <w:t>37.5%</w:t>
            </w:r>
            <w:r>
              <w:rPr>
                <w:rFonts w:ascii="Times" w:eastAsia="宋体" w:hAnsi="Times" w:hint="eastAsia"/>
                <w:lang w:eastAsia="zh-CN"/>
              </w:rPr>
              <w:t>。</w:t>
            </w:r>
          </w:p>
        </w:tc>
      </w:tr>
      <w:tr w:rsidR="001304E4" w:rsidRPr="00A9552F" w14:paraId="6F00E4F1" w14:textId="77777777" w:rsidTr="00D72849">
        <w:trPr>
          <w:trHeight w:val="150"/>
          <w:jc w:val="center"/>
        </w:trPr>
        <w:tc>
          <w:tcPr>
            <w:tcW w:w="2168" w:type="dxa"/>
            <w:vAlign w:val="center"/>
          </w:tcPr>
          <w:p w14:paraId="197F6963" w14:textId="77777777" w:rsidR="001304E4" w:rsidRPr="000E0157" w:rsidRDefault="001304E4" w:rsidP="00000FFC">
            <w:pPr>
              <w:ind w:firstLineChars="0" w:firstLine="0"/>
              <w:rPr>
                <w:rFonts w:ascii="楷体" w:eastAsia="楷体" w:hAnsi="楷体"/>
                <w:b/>
                <w:color w:val="000000" w:themeColor="text1"/>
                <w:sz w:val="28"/>
                <w:szCs w:val="28"/>
                <w:lang w:eastAsia="zh-CN"/>
              </w:rPr>
            </w:pPr>
            <w:r w:rsidRPr="000E0157">
              <w:rPr>
                <w:rFonts w:asciiTheme="minorEastAsia" w:hAnsiTheme="minorEastAsia" w:hint="eastAsia"/>
                <w:b/>
                <w:color w:val="000000" w:themeColor="text1"/>
                <w:lang w:eastAsia="zh-CN"/>
              </w:rPr>
              <w:lastRenderedPageBreak/>
              <w:t>CPI和PPI同比增速均出现显著上升</w:t>
            </w:r>
            <w:r w:rsidRPr="000E0157">
              <w:rPr>
                <w:rFonts w:ascii="楷体" w:eastAsia="楷体" w:hAnsi="楷体" w:hint="eastAsia"/>
                <w:b/>
                <w:color w:val="000000" w:themeColor="text1"/>
                <w:lang w:eastAsia="zh-CN"/>
              </w:rPr>
              <w:t>。</w:t>
            </w:r>
          </w:p>
        </w:tc>
        <w:tc>
          <w:tcPr>
            <w:tcW w:w="251" w:type="dxa"/>
          </w:tcPr>
          <w:p w14:paraId="47FAB3AF" w14:textId="77777777" w:rsidR="001304E4" w:rsidRPr="00A9552F" w:rsidRDefault="001304E4" w:rsidP="00D72849">
            <w:pPr>
              <w:keepNext/>
              <w:keepLines/>
              <w:spacing w:before="260" w:after="260"/>
              <w:ind w:firstLine="480"/>
              <w:rPr>
                <w:rFonts w:ascii="Times" w:eastAsia="宋体" w:hAnsi="Times"/>
                <w:lang w:eastAsia="zh-CN"/>
              </w:rPr>
            </w:pPr>
          </w:p>
        </w:tc>
        <w:tc>
          <w:tcPr>
            <w:tcW w:w="7220" w:type="dxa"/>
          </w:tcPr>
          <w:p w14:paraId="77CC2DAB" w14:textId="14C62D49" w:rsidR="001304E4" w:rsidRPr="00A9552F" w:rsidRDefault="001304E4" w:rsidP="00D72849">
            <w:pPr>
              <w:ind w:firstLine="480"/>
              <w:rPr>
                <w:rFonts w:ascii="Times" w:eastAsia="宋体" w:hAnsi="Times"/>
                <w:lang w:eastAsia="zh-CN"/>
              </w:rPr>
            </w:pPr>
            <w:r w:rsidRPr="00A9552F">
              <w:rPr>
                <w:rFonts w:ascii="Times" w:eastAsia="宋体" w:hAnsi="Times" w:hint="eastAsia"/>
                <w:lang w:eastAsia="zh-CN"/>
              </w:rPr>
              <w:t>PPI</w:t>
            </w:r>
            <w:r w:rsidRPr="00A9552F">
              <w:rPr>
                <w:rFonts w:ascii="Times" w:eastAsia="宋体" w:hAnsi="Times" w:hint="eastAsia"/>
                <w:lang w:eastAsia="zh-CN"/>
              </w:rPr>
              <w:t>方面，</w:t>
            </w:r>
            <w:r>
              <w:rPr>
                <w:rFonts w:ascii="Times" w:eastAsia="宋体" w:hAnsi="Times" w:hint="eastAsia"/>
                <w:lang w:eastAsia="zh-CN"/>
              </w:rPr>
              <w:t>1</w:t>
            </w:r>
            <w:r>
              <w:rPr>
                <w:rFonts w:ascii="Times" w:eastAsia="宋体" w:hAnsi="Times" w:hint="eastAsia"/>
                <w:lang w:eastAsia="zh-CN"/>
              </w:rPr>
              <w:t>月到</w:t>
            </w:r>
            <w:r>
              <w:rPr>
                <w:rFonts w:ascii="Times" w:eastAsia="宋体" w:hAnsi="Times" w:hint="eastAsia"/>
                <w:lang w:eastAsia="zh-CN"/>
              </w:rPr>
              <w:t>3</w:t>
            </w:r>
            <w:r>
              <w:rPr>
                <w:rFonts w:ascii="Times" w:eastAsia="宋体" w:hAnsi="Times" w:hint="eastAsia"/>
                <w:lang w:eastAsia="zh-CN"/>
              </w:rPr>
              <w:t>月日本</w:t>
            </w:r>
            <w:r>
              <w:rPr>
                <w:rFonts w:ascii="Times" w:eastAsia="宋体" w:hAnsi="Times" w:hint="eastAsia"/>
                <w:lang w:eastAsia="zh-CN"/>
              </w:rPr>
              <w:t>PPI</w:t>
            </w:r>
            <w:r>
              <w:rPr>
                <w:rFonts w:ascii="Times" w:eastAsia="宋体" w:hAnsi="Times" w:hint="eastAsia"/>
                <w:lang w:eastAsia="zh-CN"/>
              </w:rPr>
              <w:t>同比增速分别为</w:t>
            </w:r>
            <w:r>
              <w:rPr>
                <w:rFonts w:ascii="Times" w:eastAsia="宋体" w:hAnsi="Times" w:hint="eastAsia"/>
                <w:lang w:eastAsia="zh-CN"/>
              </w:rPr>
              <w:t>4.2%</w:t>
            </w:r>
            <w:r>
              <w:rPr>
                <w:rFonts w:ascii="Times" w:eastAsia="宋体" w:hAnsi="Times" w:hint="eastAsia"/>
                <w:lang w:eastAsia="zh-CN"/>
              </w:rPr>
              <w:t>、</w:t>
            </w:r>
            <w:r>
              <w:rPr>
                <w:rFonts w:ascii="Times" w:eastAsia="宋体" w:hAnsi="Times" w:hint="eastAsia"/>
                <w:lang w:eastAsia="zh-CN"/>
              </w:rPr>
              <w:t>4.1%</w:t>
            </w:r>
            <w:r>
              <w:rPr>
                <w:rFonts w:ascii="Times" w:eastAsia="宋体" w:hAnsi="Times" w:hint="eastAsia"/>
                <w:lang w:eastAsia="zh-CN"/>
              </w:rPr>
              <w:t>和</w:t>
            </w:r>
            <w:r>
              <w:rPr>
                <w:rFonts w:ascii="Times" w:eastAsia="宋体" w:hAnsi="Times" w:hint="eastAsia"/>
                <w:lang w:eastAsia="zh-CN"/>
              </w:rPr>
              <w:t>4.2%</w:t>
            </w:r>
            <w:r>
              <w:rPr>
                <w:rFonts w:ascii="Times" w:eastAsia="宋体" w:hAnsi="Times" w:hint="eastAsia"/>
                <w:lang w:eastAsia="zh-CN"/>
              </w:rPr>
              <w:t>，显著高于</w:t>
            </w:r>
            <w:r>
              <w:rPr>
                <w:rFonts w:ascii="Times" w:eastAsia="宋体" w:hAnsi="Times" w:hint="eastAsia"/>
                <w:lang w:eastAsia="zh-CN"/>
              </w:rPr>
              <w:t>2024</w:t>
            </w:r>
            <w:r>
              <w:rPr>
                <w:rFonts w:ascii="Times" w:eastAsia="宋体" w:hAnsi="Times" w:hint="eastAsia"/>
                <w:lang w:eastAsia="zh-CN"/>
              </w:rPr>
              <w:t>年的水平。</w:t>
            </w:r>
            <w:r>
              <w:rPr>
                <w:rFonts w:ascii="Times" w:eastAsia="宋体" w:hAnsi="Times" w:hint="eastAsia"/>
                <w:lang w:eastAsia="zh-CN"/>
              </w:rPr>
              <w:t>3</w:t>
            </w:r>
            <w:r>
              <w:rPr>
                <w:rFonts w:ascii="Times" w:eastAsia="宋体" w:hAnsi="Times" w:hint="eastAsia"/>
                <w:lang w:eastAsia="zh-CN"/>
              </w:rPr>
              <w:t>月数据中，同比涨幅较大的是</w:t>
            </w:r>
            <w:r w:rsidR="00642F6A" w:rsidRPr="00642F6A">
              <w:rPr>
                <w:rFonts w:ascii="Times" w:eastAsia="宋体" w:hAnsi="Times" w:hint="eastAsia"/>
                <w:lang w:eastAsia="zh-CN"/>
              </w:rPr>
              <w:t>“农林水产品”“非铁金属”“石油·煤炭制品”“电力·城市天然气·上下水”和“纤维制品”</w:t>
            </w:r>
            <w:r>
              <w:rPr>
                <w:rFonts w:ascii="Times" w:eastAsia="宋体" w:hAnsi="Times" w:hint="eastAsia"/>
                <w:lang w:eastAsia="zh-CN"/>
              </w:rPr>
              <w:t>。涨幅分别达到</w:t>
            </w:r>
            <w:r>
              <w:rPr>
                <w:rFonts w:ascii="Times" w:eastAsia="宋体" w:hAnsi="Times" w:hint="eastAsia"/>
                <w:lang w:eastAsia="zh-CN"/>
              </w:rPr>
              <w:t>40.1%</w:t>
            </w:r>
            <w:r>
              <w:rPr>
                <w:rFonts w:ascii="Times" w:eastAsia="宋体" w:hAnsi="Times" w:hint="eastAsia"/>
                <w:lang w:eastAsia="zh-CN"/>
              </w:rPr>
              <w:t>、</w:t>
            </w:r>
            <w:r>
              <w:rPr>
                <w:rFonts w:ascii="Times" w:eastAsia="宋体" w:hAnsi="Times" w:hint="eastAsia"/>
                <w:lang w:eastAsia="zh-CN"/>
              </w:rPr>
              <w:t>12.3%</w:t>
            </w:r>
            <w:r>
              <w:rPr>
                <w:rFonts w:ascii="Times" w:eastAsia="宋体" w:hAnsi="Times" w:hint="eastAsia"/>
                <w:lang w:eastAsia="zh-CN"/>
              </w:rPr>
              <w:t>、</w:t>
            </w:r>
            <w:r>
              <w:rPr>
                <w:rFonts w:ascii="Times" w:eastAsia="宋体" w:hAnsi="Times" w:hint="eastAsia"/>
                <w:lang w:eastAsia="zh-CN"/>
              </w:rPr>
              <w:t>8.6%</w:t>
            </w:r>
            <w:r>
              <w:rPr>
                <w:rFonts w:ascii="Times" w:eastAsia="宋体" w:hAnsi="Times" w:hint="eastAsia"/>
                <w:lang w:eastAsia="zh-CN"/>
              </w:rPr>
              <w:t>、</w:t>
            </w:r>
            <w:r>
              <w:rPr>
                <w:rFonts w:ascii="Times" w:eastAsia="宋体" w:hAnsi="Times" w:hint="eastAsia"/>
                <w:lang w:eastAsia="zh-CN"/>
              </w:rPr>
              <w:t>6.4%</w:t>
            </w:r>
            <w:r>
              <w:rPr>
                <w:rFonts w:ascii="Times" w:eastAsia="宋体" w:hAnsi="Times" w:hint="eastAsia"/>
                <w:lang w:eastAsia="zh-CN"/>
              </w:rPr>
              <w:t>和</w:t>
            </w:r>
            <w:r>
              <w:rPr>
                <w:rFonts w:ascii="Times" w:eastAsia="宋体" w:hAnsi="Times" w:hint="eastAsia"/>
                <w:lang w:eastAsia="zh-CN"/>
              </w:rPr>
              <w:t>4.8%</w:t>
            </w:r>
            <w:r>
              <w:rPr>
                <w:rFonts w:ascii="Times" w:eastAsia="宋体" w:hAnsi="Times" w:hint="eastAsia"/>
                <w:lang w:eastAsia="zh-CN"/>
              </w:rPr>
              <w:t>。</w:t>
            </w:r>
          </w:p>
        </w:tc>
      </w:tr>
      <w:tr w:rsidR="001304E4" w:rsidRPr="00A9552F" w14:paraId="26FE2630" w14:textId="77777777" w:rsidTr="00D72849">
        <w:trPr>
          <w:trHeight w:val="150"/>
          <w:jc w:val="center"/>
        </w:trPr>
        <w:tc>
          <w:tcPr>
            <w:tcW w:w="9639" w:type="dxa"/>
            <w:gridSpan w:val="3"/>
          </w:tcPr>
          <w:p w14:paraId="105BDA14" w14:textId="24500062" w:rsidR="001304E4" w:rsidRPr="00A9552F" w:rsidRDefault="00DB2622" w:rsidP="00D37774">
            <w:pPr>
              <w:pStyle w:val="a4"/>
            </w:pPr>
            <w:bookmarkStart w:id="40" w:name="_Toc520407631"/>
            <w:bookmarkStart w:id="41" w:name="_Toc392527009"/>
            <w:bookmarkStart w:id="42" w:name="_Toc196399428"/>
            <w:r>
              <w:rPr>
                <w:rFonts w:hint="eastAsia"/>
              </w:rPr>
              <w:lastRenderedPageBreak/>
              <w:t xml:space="preserve">图表 </w:t>
            </w:r>
            <w:r>
              <w:rPr>
                <w:rFonts w:hint="eastAsia"/>
              </w:rPr>
              <w:fldChar w:fldCharType="begin"/>
            </w:r>
            <w:r>
              <w:rPr>
                <w:rFonts w:hint="eastAsia"/>
              </w:rPr>
              <w:instrText xml:space="preserve"> SEQ 图表 \* ARABIC </w:instrText>
            </w:r>
            <w:r>
              <w:rPr>
                <w:rFonts w:hint="eastAsia"/>
              </w:rPr>
              <w:fldChar w:fldCharType="separate"/>
            </w:r>
            <w:r w:rsidR="00530ED7">
              <w:rPr>
                <w:rFonts w:hint="eastAsia"/>
                <w:noProof/>
              </w:rPr>
              <w:t>17</w:t>
            </w:r>
            <w:r>
              <w:rPr>
                <w:rFonts w:hint="eastAsia"/>
              </w:rPr>
              <w:fldChar w:fldCharType="end"/>
            </w:r>
            <w:r w:rsidR="001304E4" w:rsidRPr="001729E9">
              <w:t xml:space="preserve">  </w:t>
            </w:r>
            <w:bookmarkEnd w:id="40"/>
            <w:bookmarkEnd w:id="41"/>
            <w:r w:rsidR="001304E4" w:rsidRPr="001729E9">
              <w:rPr>
                <w:rFonts w:hint="eastAsia"/>
              </w:rPr>
              <w:t>CPI和PPI均显著上升</w:t>
            </w:r>
            <w:bookmarkEnd w:id="42"/>
          </w:p>
          <w:p w14:paraId="2EC9F3BA" w14:textId="77777777" w:rsidR="001304E4" w:rsidRPr="00A9552F" w:rsidRDefault="001304E4" w:rsidP="00140775">
            <w:pPr>
              <w:spacing w:beforeLines="50" w:before="163"/>
              <w:ind w:firstLineChars="0" w:firstLine="0"/>
              <w:jc w:val="center"/>
              <w:rPr>
                <w:rFonts w:ascii="Times" w:eastAsia="宋体" w:hAnsi="Times"/>
                <w:b/>
                <w:bCs/>
                <w:szCs w:val="21"/>
              </w:rPr>
            </w:pPr>
            <w:r>
              <w:rPr>
                <w:noProof/>
                <w:lang w:eastAsia="zh-CN" w:bidi="ar-SA"/>
              </w:rPr>
              <w:drawing>
                <wp:inline distT="0" distB="0" distL="0" distR="0" wp14:anchorId="76A91B0E" wp14:editId="27F2DD73">
                  <wp:extent cx="5283200" cy="3088640"/>
                  <wp:effectExtent l="0" t="0" r="12700" b="16510"/>
                  <wp:docPr id="2131508715" name="图表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49804D5" w14:textId="77777777" w:rsidR="001304E4" w:rsidRPr="00A9552F" w:rsidRDefault="001304E4" w:rsidP="00D72849">
            <w:pPr>
              <w:spacing w:beforeLines="50" w:before="163"/>
              <w:ind w:firstLine="480"/>
              <w:jc w:val="center"/>
              <w:rPr>
                <w:rFonts w:ascii="Times" w:eastAsia="宋体" w:hAnsi="Times"/>
              </w:rPr>
            </w:pPr>
          </w:p>
        </w:tc>
      </w:tr>
      <w:tr w:rsidR="001304E4" w:rsidRPr="00A9552F" w14:paraId="5FF76855" w14:textId="77777777" w:rsidTr="00D72849">
        <w:trPr>
          <w:trHeight w:val="150"/>
          <w:jc w:val="center"/>
        </w:trPr>
        <w:tc>
          <w:tcPr>
            <w:tcW w:w="2168" w:type="dxa"/>
            <w:vAlign w:val="center"/>
          </w:tcPr>
          <w:p w14:paraId="7F0BCBDC" w14:textId="77777777" w:rsidR="001304E4" w:rsidRPr="00A9552F" w:rsidRDefault="001304E4" w:rsidP="00000FFC">
            <w:pPr>
              <w:ind w:firstLineChars="0" w:firstLine="0"/>
              <w:rPr>
                <w:rFonts w:ascii="Times" w:eastAsia="宋体" w:hAnsi="Times"/>
                <w:b/>
                <w:color w:val="000000" w:themeColor="text1"/>
                <w:lang w:eastAsia="zh-CN"/>
              </w:rPr>
            </w:pPr>
            <w:r w:rsidRPr="000E0157">
              <w:rPr>
                <w:rFonts w:asciiTheme="minorEastAsia" w:hAnsiTheme="minorEastAsia" w:hint="eastAsia"/>
                <w:b/>
                <w:color w:val="000000" w:themeColor="text1"/>
                <w:lang w:eastAsia="zh-CN"/>
              </w:rPr>
              <w:t>股指下跌，日元对美元上涨，10年期国债收益率上行后大幅震荡</w:t>
            </w:r>
            <w:r>
              <w:rPr>
                <w:rFonts w:ascii="Times" w:eastAsia="宋体" w:hAnsi="Times" w:hint="eastAsia"/>
                <w:b/>
                <w:color w:val="000000" w:themeColor="text1"/>
                <w:lang w:eastAsia="zh-CN"/>
              </w:rPr>
              <w:t>。</w:t>
            </w:r>
          </w:p>
        </w:tc>
        <w:tc>
          <w:tcPr>
            <w:tcW w:w="251" w:type="dxa"/>
          </w:tcPr>
          <w:p w14:paraId="0298C19E" w14:textId="77777777" w:rsidR="001304E4" w:rsidRPr="00A9552F" w:rsidRDefault="001304E4" w:rsidP="00D72849">
            <w:pPr>
              <w:keepNext/>
              <w:keepLines/>
              <w:spacing w:before="260" w:after="260"/>
              <w:ind w:firstLine="480"/>
              <w:rPr>
                <w:rFonts w:ascii="Times" w:eastAsia="宋体" w:hAnsi="Times"/>
                <w:lang w:eastAsia="zh-CN"/>
              </w:rPr>
            </w:pPr>
          </w:p>
        </w:tc>
        <w:tc>
          <w:tcPr>
            <w:tcW w:w="7220" w:type="dxa"/>
          </w:tcPr>
          <w:p w14:paraId="39488644" w14:textId="77777777" w:rsidR="001304E4" w:rsidRPr="00A9552F" w:rsidRDefault="001304E4" w:rsidP="00140775">
            <w:pPr>
              <w:spacing w:beforeLines="50" w:before="163"/>
              <w:ind w:firstLineChars="0" w:firstLine="0"/>
              <w:rPr>
                <w:rFonts w:ascii="Times" w:eastAsia="宋体" w:hAnsi="Times"/>
                <w:b/>
                <w:color w:val="000000" w:themeColor="text1"/>
                <w:sz w:val="28"/>
                <w:szCs w:val="28"/>
                <w:lang w:eastAsia="zh-CN"/>
              </w:rPr>
            </w:pPr>
            <w:r w:rsidRPr="00A9552F">
              <w:rPr>
                <w:rFonts w:ascii="Times" w:eastAsia="宋体" w:hAnsi="Times"/>
                <w:b/>
                <w:color w:val="000000" w:themeColor="text1"/>
                <w:sz w:val="28"/>
                <w:szCs w:val="28"/>
                <w:lang w:eastAsia="zh-CN"/>
              </w:rPr>
              <w:t>三、</w:t>
            </w:r>
            <w:r>
              <w:rPr>
                <w:rFonts w:ascii="Times" w:eastAsia="宋体" w:hAnsi="Times" w:hint="eastAsia"/>
                <w:b/>
                <w:color w:val="000000" w:themeColor="text1"/>
                <w:sz w:val="28"/>
                <w:szCs w:val="28"/>
                <w:lang w:eastAsia="zh-CN"/>
              </w:rPr>
              <w:t>股指下跌，日元</w:t>
            </w:r>
            <w:r w:rsidRPr="009F24E8">
              <w:rPr>
                <w:rFonts w:ascii="Times" w:eastAsia="宋体" w:hAnsi="Times"/>
                <w:b/>
                <w:color w:val="000000" w:themeColor="text1"/>
                <w:sz w:val="28"/>
                <w:szCs w:val="28"/>
                <w:lang w:eastAsia="zh-CN"/>
              </w:rPr>
              <w:t>兑</w:t>
            </w:r>
            <w:r>
              <w:rPr>
                <w:rFonts w:ascii="Times" w:eastAsia="宋体" w:hAnsi="Times" w:hint="eastAsia"/>
                <w:b/>
                <w:color w:val="000000" w:themeColor="text1"/>
                <w:sz w:val="28"/>
                <w:szCs w:val="28"/>
                <w:lang w:eastAsia="zh-CN"/>
              </w:rPr>
              <w:t>美元上涨，</w:t>
            </w:r>
            <w:r>
              <w:rPr>
                <w:rFonts w:ascii="Times" w:eastAsia="宋体" w:hAnsi="Times" w:hint="eastAsia"/>
                <w:b/>
                <w:color w:val="000000" w:themeColor="text1"/>
                <w:sz w:val="28"/>
                <w:szCs w:val="28"/>
                <w:lang w:eastAsia="zh-CN"/>
              </w:rPr>
              <w:t>10</w:t>
            </w:r>
            <w:r>
              <w:rPr>
                <w:rFonts w:ascii="Times" w:eastAsia="宋体" w:hAnsi="Times" w:hint="eastAsia"/>
                <w:b/>
                <w:color w:val="000000" w:themeColor="text1"/>
                <w:sz w:val="28"/>
                <w:szCs w:val="28"/>
                <w:lang w:eastAsia="zh-CN"/>
              </w:rPr>
              <w:t>年期国债收益率上升后大幅震荡</w:t>
            </w:r>
          </w:p>
          <w:p w14:paraId="2E53BD91" w14:textId="77777777" w:rsidR="001304E4" w:rsidRDefault="001304E4" w:rsidP="00D72849">
            <w:pPr>
              <w:ind w:firstLine="480"/>
              <w:rPr>
                <w:rFonts w:ascii="Times" w:eastAsia="宋体" w:hAnsi="Times"/>
                <w:lang w:eastAsia="zh-CN"/>
              </w:rPr>
            </w:pPr>
            <w:r>
              <w:rPr>
                <w:rFonts w:ascii="Times" w:eastAsia="宋体" w:hAnsi="Times" w:hint="eastAsia"/>
                <w:lang w:eastAsia="zh-CN"/>
              </w:rPr>
              <w:t>第一季度，日本金融市场趋势性明显。日本股市呈现整体下跌的态势，日元对美元汇率呈现上涨态势，日本国债收益率上行后在</w:t>
            </w:r>
            <w:r>
              <w:rPr>
                <w:rFonts w:ascii="Times" w:eastAsia="宋体" w:hAnsi="Times" w:hint="eastAsia"/>
                <w:lang w:eastAsia="zh-CN"/>
              </w:rPr>
              <w:t>3</w:t>
            </w:r>
            <w:r>
              <w:rPr>
                <w:rFonts w:ascii="Times" w:eastAsia="宋体" w:hAnsi="Times" w:hint="eastAsia"/>
                <w:lang w:eastAsia="zh-CN"/>
              </w:rPr>
              <w:t>月末和</w:t>
            </w:r>
            <w:r>
              <w:rPr>
                <w:rFonts w:ascii="Times" w:eastAsia="宋体" w:hAnsi="Times" w:hint="eastAsia"/>
                <w:lang w:eastAsia="zh-CN"/>
              </w:rPr>
              <w:t>4</w:t>
            </w:r>
            <w:r>
              <w:rPr>
                <w:rFonts w:ascii="Times" w:eastAsia="宋体" w:hAnsi="Times" w:hint="eastAsia"/>
                <w:lang w:eastAsia="zh-CN"/>
              </w:rPr>
              <w:t>月中上旬出现大幅震荡。</w:t>
            </w:r>
          </w:p>
          <w:p w14:paraId="5D9C2C81" w14:textId="11C3FF0F" w:rsidR="001304E4" w:rsidRDefault="001304E4" w:rsidP="00D72849">
            <w:pPr>
              <w:ind w:firstLine="480"/>
              <w:rPr>
                <w:rFonts w:ascii="Times" w:eastAsia="宋体" w:hAnsi="Times"/>
                <w:lang w:eastAsia="zh-CN"/>
              </w:rPr>
            </w:pPr>
            <w:r>
              <w:rPr>
                <w:rFonts w:ascii="Times" w:eastAsia="宋体" w:hAnsi="Times" w:hint="eastAsia"/>
                <w:lang w:eastAsia="zh-CN"/>
              </w:rPr>
              <w:t>东京日经</w:t>
            </w:r>
            <w:r>
              <w:rPr>
                <w:rFonts w:ascii="Times" w:eastAsia="宋体" w:hAnsi="Times" w:hint="eastAsia"/>
                <w:lang w:eastAsia="zh-CN"/>
              </w:rPr>
              <w:t>225</w:t>
            </w:r>
            <w:r>
              <w:rPr>
                <w:rFonts w:ascii="Times" w:eastAsia="宋体" w:hAnsi="Times" w:hint="eastAsia"/>
                <w:lang w:eastAsia="zh-CN"/>
              </w:rPr>
              <w:t>指数</w:t>
            </w:r>
            <w:r>
              <w:rPr>
                <w:rFonts w:ascii="Times" w:eastAsia="宋体" w:hAnsi="Times" w:hint="eastAsia"/>
                <w:lang w:eastAsia="zh-CN"/>
              </w:rPr>
              <w:t>1</w:t>
            </w:r>
            <w:r>
              <w:rPr>
                <w:rFonts w:ascii="Times" w:eastAsia="宋体" w:hAnsi="Times" w:hint="eastAsia"/>
                <w:lang w:eastAsia="zh-CN"/>
              </w:rPr>
              <w:t>月</w:t>
            </w:r>
            <w:r>
              <w:rPr>
                <w:rFonts w:ascii="Times" w:eastAsia="宋体" w:hAnsi="Times" w:hint="eastAsia"/>
                <w:lang w:eastAsia="zh-CN"/>
              </w:rPr>
              <w:t>6</w:t>
            </w:r>
            <w:r>
              <w:rPr>
                <w:rFonts w:ascii="Times" w:eastAsia="宋体" w:hAnsi="Times" w:hint="eastAsia"/>
                <w:lang w:eastAsia="zh-CN"/>
              </w:rPr>
              <w:t>日开于</w:t>
            </w:r>
            <w:r>
              <w:rPr>
                <w:rFonts w:ascii="Times" w:eastAsia="宋体" w:hAnsi="Times" w:hint="eastAsia"/>
                <w:lang w:eastAsia="zh-CN"/>
              </w:rPr>
              <w:t>39455.42</w:t>
            </w:r>
            <w:r>
              <w:rPr>
                <w:rFonts w:ascii="Times" w:eastAsia="宋体" w:hAnsi="Times" w:hint="eastAsia"/>
                <w:lang w:eastAsia="zh-CN"/>
              </w:rPr>
              <w:t>点，之后呈现出横盘走势。但进入</w:t>
            </w:r>
            <w:r>
              <w:rPr>
                <w:rFonts w:ascii="Times" w:eastAsia="宋体" w:hAnsi="Times" w:hint="eastAsia"/>
                <w:lang w:eastAsia="zh-CN"/>
              </w:rPr>
              <w:t>2</w:t>
            </w:r>
            <w:r>
              <w:rPr>
                <w:rFonts w:ascii="Times" w:eastAsia="宋体" w:hAnsi="Times" w:hint="eastAsia"/>
                <w:lang w:eastAsia="zh-CN"/>
              </w:rPr>
              <w:t>月下旬后，开始呈现出下跌走势。日本股市的下跌窗口基本与美国股市的下跌窗口同步开启。到</w:t>
            </w:r>
            <w:r>
              <w:rPr>
                <w:rFonts w:ascii="Times" w:eastAsia="宋体" w:hAnsi="Times" w:hint="eastAsia"/>
                <w:lang w:eastAsia="zh-CN"/>
              </w:rPr>
              <w:t>3</w:t>
            </w:r>
            <w:r>
              <w:rPr>
                <w:rFonts w:ascii="Times" w:eastAsia="宋体" w:hAnsi="Times" w:hint="eastAsia"/>
                <w:lang w:eastAsia="zh-CN"/>
              </w:rPr>
              <w:t>月最后一个交易</w:t>
            </w:r>
            <w:r w:rsidR="00642F6A">
              <w:rPr>
                <w:rFonts w:ascii="Times" w:eastAsia="宋体" w:hAnsi="Times" w:hint="eastAsia"/>
                <w:lang w:eastAsia="zh-CN"/>
              </w:rPr>
              <w:t>日</w:t>
            </w:r>
            <w:r>
              <w:rPr>
                <w:rFonts w:ascii="Times" w:eastAsia="宋体" w:hAnsi="Times" w:hint="eastAsia"/>
                <w:lang w:eastAsia="zh-CN"/>
              </w:rPr>
              <w:t>收盘，东京日经</w:t>
            </w:r>
            <w:r>
              <w:rPr>
                <w:rFonts w:ascii="Times" w:eastAsia="宋体" w:hAnsi="Times" w:hint="eastAsia"/>
                <w:lang w:eastAsia="zh-CN"/>
              </w:rPr>
              <w:t>225</w:t>
            </w:r>
            <w:r>
              <w:rPr>
                <w:rFonts w:ascii="Times" w:eastAsia="宋体" w:hAnsi="Times" w:hint="eastAsia"/>
                <w:lang w:eastAsia="zh-CN"/>
              </w:rPr>
              <w:t>指数收于</w:t>
            </w:r>
            <w:r>
              <w:rPr>
                <w:rFonts w:ascii="Times" w:eastAsia="宋体" w:hAnsi="Times" w:hint="eastAsia"/>
                <w:lang w:eastAsia="zh-CN"/>
              </w:rPr>
              <w:t>17299.29</w:t>
            </w:r>
            <w:r>
              <w:rPr>
                <w:rFonts w:ascii="Times" w:eastAsia="宋体" w:hAnsi="Times" w:hint="eastAsia"/>
                <w:lang w:eastAsia="zh-CN"/>
              </w:rPr>
              <w:t>点，第一季度整体下跌</w:t>
            </w:r>
            <w:r>
              <w:rPr>
                <w:rFonts w:ascii="Times" w:eastAsia="宋体" w:hAnsi="Times" w:hint="eastAsia"/>
                <w:lang w:eastAsia="zh-CN"/>
              </w:rPr>
              <w:t>10.42%</w:t>
            </w:r>
            <w:r>
              <w:rPr>
                <w:rFonts w:ascii="Times" w:eastAsia="宋体" w:hAnsi="Times" w:hint="eastAsia"/>
                <w:lang w:eastAsia="zh-CN"/>
              </w:rPr>
              <w:t>。</w:t>
            </w:r>
          </w:p>
          <w:p w14:paraId="4B643FFB" w14:textId="77777777" w:rsidR="001304E4" w:rsidRPr="00A9552F" w:rsidRDefault="001304E4" w:rsidP="00D72849">
            <w:pPr>
              <w:ind w:firstLine="480"/>
              <w:rPr>
                <w:rFonts w:ascii="Times" w:eastAsia="宋体" w:hAnsi="Times"/>
                <w:lang w:eastAsia="zh-CN"/>
              </w:rPr>
            </w:pPr>
            <w:r>
              <w:rPr>
                <w:rFonts w:ascii="Times" w:eastAsia="宋体" w:hAnsi="Times" w:hint="eastAsia"/>
                <w:lang w:eastAsia="zh-CN"/>
              </w:rPr>
              <w:t>第一季度，美元对日元呈现出贬值态势。从年初的</w:t>
            </w:r>
            <w:r>
              <w:rPr>
                <w:rFonts w:ascii="Times" w:eastAsia="宋体" w:hAnsi="Times" w:hint="eastAsia"/>
                <w:lang w:eastAsia="zh-CN"/>
              </w:rPr>
              <w:t>157.4</w:t>
            </w:r>
            <w:r>
              <w:rPr>
                <w:rFonts w:ascii="Times" w:eastAsia="宋体" w:hAnsi="Times" w:hint="eastAsia"/>
                <w:lang w:eastAsia="zh-CN"/>
              </w:rPr>
              <w:t>日元兑</w:t>
            </w:r>
            <w:r>
              <w:rPr>
                <w:rFonts w:ascii="Times" w:eastAsia="宋体" w:hAnsi="Times" w:hint="eastAsia"/>
                <w:lang w:eastAsia="zh-CN"/>
              </w:rPr>
              <w:t>1</w:t>
            </w:r>
            <w:r>
              <w:rPr>
                <w:rFonts w:ascii="Times" w:eastAsia="宋体" w:hAnsi="Times" w:hint="eastAsia"/>
                <w:lang w:eastAsia="zh-CN"/>
              </w:rPr>
              <w:t>美元，下跌到</w:t>
            </w:r>
            <w:r>
              <w:rPr>
                <w:rFonts w:ascii="Times" w:eastAsia="宋体" w:hAnsi="Times" w:hint="eastAsia"/>
                <w:lang w:eastAsia="zh-CN"/>
              </w:rPr>
              <w:t>3</w:t>
            </w:r>
            <w:r>
              <w:rPr>
                <w:rFonts w:ascii="Times" w:eastAsia="宋体" w:hAnsi="Times" w:hint="eastAsia"/>
                <w:lang w:eastAsia="zh-CN"/>
              </w:rPr>
              <w:t>月末的</w:t>
            </w:r>
            <w:r>
              <w:rPr>
                <w:rFonts w:ascii="Times" w:eastAsia="宋体" w:hAnsi="Times" w:hint="eastAsia"/>
                <w:lang w:eastAsia="zh-CN"/>
              </w:rPr>
              <w:t>150.0</w:t>
            </w:r>
            <w:r>
              <w:rPr>
                <w:rFonts w:ascii="Times" w:eastAsia="宋体" w:hAnsi="Times" w:hint="eastAsia"/>
                <w:lang w:eastAsia="zh-CN"/>
              </w:rPr>
              <w:t>日元兑</w:t>
            </w:r>
            <w:r>
              <w:rPr>
                <w:rFonts w:ascii="Times" w:eastAsia="宋体" w:hAnsi="Times" w:hint="eastAsia"/>
                <w:lang w:eastAsia="zh-CN"/>
              </w:rPr>
              <w:t>1</w:t>
            </w:r>
            <w:r>
              <w:rPr>
                <w:rFonts w:ascii="Times" w:eastAsia="宋体" w:hAnsi="Times" w:hint="eastAsia"/>
                <w:lang w:eastAsia="zh-CN"/>
              </w:rPr>
              <w:t>美元。日元在第一季度整体较为强势。从有效汇率角度，日元在</w:t>
            </w:r>
            <w:r>
              <w:rPr>
                <w:rFonts w:ascii="Times" w:eastAsia="宋体" w:hAnsi="Times" w:hint="eastAsia"/>
                <w:lang w:eastAsia="zh-CN"/>
              </w:rPr>
              <w:t>2025</w:t>
            </w:r>
            <w:r>
              <w:rPr>
                <w:rFonts w:ascii="Times" w:eastAsia="宋体" w:hAnsi="Times" w:hint="eastAsia"/>
                <w:lang w:eastAsia="zh-CN"/>
              </w:rPr>
              <w:t>年前两个月呈现出上升态势。</w:t>
            </w:r>
          </w:p>
        </w:tc>
      </w:tr>
      <w:tr w:rsidR="001304E4" w:rsidRPr="00A9552F" w14:paraId="65388472" w14:textId="77777777" w:rsidTr="00D72849">
        <w:trPr>
          <w:trHeight w:val="150"/>
          <w:jc w:val="center"/>
        </w:trPr>
        <w:tc>
          <w:tcPr>
            <w:tcW w:w="9639" w:type="dxa"/>
            <w:gridSpan w:val="3"/>
          </w:tcPr>
          <w:p w14:paraId="316A7127" w14:textId="2D2DDA29" w:rsidR="001304E4" w:rsidRPr="00A9552F" w:rsidRDefault="00DB2622" w:rsidP="00D37774">
            <w:pPr>
              <w:pStyle w:val="a4"/>
            </w:pPr>
            <w:bookmarkStart w:id="43" w:name="_Toc196399429"/>
            <w:r>
              <w:rPr>
                <w:rFonts w:hint="eastAsia"/>
              </w:rPr>
              <w:lastRenderedPageBreak/>
              <w:t xml:space="preserve">图表 </w:t>
            </w:r>
            <w:r>
              <w:rPr>
                <w:rFonts w:hint="eastAsia"/>
              </w:rPr>
              <w:fldChar w:fldCharType="begin"/>
            </w:r>
            <w:r>
              <w:rPr>
                <w:rFonts w:hint="eastAsia"/>
              </w:rPr>
              <w:instrText xml:space="preserve"> SEQ 图表 \* ARABIC </w:instrText>
            </w:r>
            <w:r>
              <w:rPr>
                <w:rFonts w:hint="eastAsia"/>
              </w:rPr>
              <w:fldChar w:fldCharType="separate"/>
            </w:r>
            <w:r w:rsidR="00530ED7">
              <w:rPr>
                <w:rFonts w:hint="eastAsia"/>
                <w:noProof/>
              </w:rPr>
              <w:t>18</w:t>
            </w:r>
            <w:r>
              <w:rPr>
                <w:rFonts w:hint="eastAsia"/>
              </w:rPr>
              <w:fldChar w:fldCharType="end"/>
            </w:r>
            <w:r w:rsidR="00D37774" w:rsidRPr="00D37774">
              <w:t xml:space="preserve">  </w:t>
            </w:r>
            <w:r w:rsidR="001304E4" w:rsidRPr="00A9552F">
              <w:rPr>
                <w:rFonts w:hint="eastAsia"/>
              </w:rPr>
              <w:t>日本股市</w:t>
            </w:r>
            <w:r w:rsidR="001304E4">
              <w:rPr>
                <w:rFonts w:hint="eastAsia"/>
              </w:rPr>
              <w:t>下跌</w:t>
            </w:r>
            <w:r w:rsidR="001304E4" w:rsidRPr="00A9552F">
              <w:rPr>
                <w:rFonts w:hint="eastAsia"/>
              </w:rPr>
              <w:t>，日元</w:t>
            </w:r>
            <w:r w:rsidR="001304E4">
              <w:rPr>
                <w:rFonts w:hint="eastAsia"/>
              </w:rPr>
              <w:t>升值</w:t>
            </w:r>
            <w:bookmarkEnd w:id="43"/>
          </w:p>
          <w:p w14:paraId="5B83AAB3" w14:textId="77777777" w:rsidR="001304E4" w:rsidRPr="00A9552F" w:rsidRDefault="001304E4" w:rsidP="00140775">
            <w:pPr>
              <w:spacing w:beforeLines="50" w:before="163"/>
              <w:ind w:firstLineChars="83" w:firstLine="199"/>
              <w:jc w:val="center"/>
              <w:rPr>
                <w:rFonts w:ascii="Times" w:eastAsia="宋体" w:hAnsi="Times"/>
                <w:color w:val="000000"/>
              </w:rPr>
            </w:pPr>
            <w:r>
              <w:rPr>
                <w:noProof/>
                <w:lang w:eastAsia="zh-CN" w:bidi="ar-SA"/>
              </w:rPr>
              <w:drawing>
                <wp:inline distT="0" distB="0" distL="0" distR="0" wp14:anchorId="554738E8" wp14:editId="2B265ACC">
                  <wp:extent cx="4328160" cy="3359150"/>
                  <wp:effectExtent l="0" t="0" r="15240" b="12700"/>
                  <wp:docPr id="421267233" name="图表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r>
      <w:tr w:rsidR="001304E4" w:rsidRPr="00A9552F" w14:paraId="07B46E37" w14:textId="77777777" w:rsidTr="00D72849">
        <w:trPr>
          <w:trHeight w:val="150"/>
          <w:jc w:val="center"/>
        </w:trPr>
        <w:tc>
          <w:tcPr>
            <w:tcW w:w="2168" w:type="dxa"/>
            <w:vAlign w:val="center"/>
          </w:tcPr>
          <w:p w14:paraId="443DE713" w14:textId="77777777" w:rsidR="001304E4" w:rsidRPr="00A9552F" w:rsidRDefault="001304E4" w:rsidP="00000FFC">
            <w:pPr>
              <w:ind w:firstLineChars="0" w:firstLine="0"/>
              <w:rPr>
                <w:rFonts w:ascii="Times" w:eastAsia="宋体" w:hAnsi="Times"/>
                <w:b/>
                <w:sz w:val="28"/>
                <w:szCs w:val="28"/>
                <w:lang w:eastAsia="zh-CN"/>
              </w:rPr>
            </w:pPr>
            <w:r w:rsidRPr="000E0157">
              <w:rPr>
                <w:rFonts w:asciiTheme="minorEastAsia" w:hAnsiTheme="minorEastAsia" w:hint="eastAsia"/>
                <w:b/>
                <w:color w:val="000000" w:themeColor="text1"/>
                <w:lang w:eastAsia="zh-CN"/>
              </w:rPr>
              <w:t>日本1</w:t>
            </w:r>
            <w:r w:rsidRPr="000E0157">
              <w:rPr>
                <w:rFonts w:asciiTheme="minorEastAsia" w:hAnsiTheme="minorEastAsia"/>
                <w:b/>
                <w:color w:val="000000" w:themeColor="text1"/>
                <w:lang w:eastAsia="zh-CN"/>
              </w:rPr>
              <w:t>0</w:t>
            </w:r>
            <w:r w:rsidRPr="000E0157">
              <w:rPr>
                <w:rFonts w:asciiTheme="minorEastAsia" w:hAnsiTheme="minorEastAsia" w:hint="eastAsia"/>
                <w:b/>
                <w:color w:val="000000" w:themeColor="text1"/>
                <w:lang w:eastAsia="zh-CN"/>
              </w:rPr>
              <w:t>年期国债收益率上升</w:t>
            </w:r>
            <w:r>
              <w:rPr>
                <w:rFonts w:ascii="Times" w:eastAsia="宋体" w:hAnsi="Times" w:hint="eastAsia"/>
                <w:b/>
                <w:color w:val="000000" w:themeColor="text1"/>
                <w:lang w:eastAsia="zh-CN"/>
              </w:rPr>
              <w:t>。</w:t>
            </w:r>
          </w:p>
        </w:tc>
        <w:tc>
          <w:tcPr>
            <w:tcW w:w="251" w:type="dxa"/>
          </w:tcPr>
          <w:p w14:paraId="15D69FB1" w14:textId="77777777" w:rsidR="001304E4" w:rsidRPr="00A9552F" w:rsidRDefault="001304E4" w:rsidP="00D72849">
            <w:pPr>
              <w:keepNext/>
              <w:keepLines/>
              <w:spacing w:before="260" w:after="260"/>
              <w:ind w:firstLine="480"/>
              <w:rPr>
                <w:rFonts w:ascii="Times" w:eastAsia="宋体" w:hAnsi="Times"/>
                <w:lang w:eastAsia="zh-CN"/>
              </w:rPr>
            </w:pPr>
          </w:p>
        </w:tc>
        <w:tc>
          <w:tcPr>
            <w:tcW w:w="7220" w:type="dxa"/>
          </w:tcPr>
          <w:p w14:paraId="65B91055" w14:textId="77777777" w:rsidR="001304E4" w:rsidRPr="00540883" w:rsidRDefault="001304E4" w:rsidP="00D72849">
            <w:pPr>
              <w:ind w:firstLine="480"/>
              <w:rPr>
                <w:rFonts w:ascii="Times" w:eastAsia="宋体" w:hAnsi="Times"/>
                <w:color w:val="000000" w:themeColor="text1"/>
                <w:lang w:eastAsia="zh-CN"/>
              </w:rPr>
            </w:pPr>
            <w:r>
              <w:rPr>
                <w:rFonts w:ascii="Times" w:eastAsia="宋体" w:hAnsi="Times" w:hint="eastAsia"/>
                <w:color w:val="000000" w:themeColor="text1"/>
                <w:lang w:eastAsia="zh-CN"/>
              </w:rPr>
              <w:t>日本</w:t>
            </w:r>
            <w:r>
              <w:rPr>
                <w:rFonts w:ascii="Times" w:eastAsia="宋体" w:hAnsi="Times" w:hint="eastAsia"/>
                <w:color w:val="000000" w:themeColor="text1"/>
                <w:lang w:eastAsia="zh-CN"/>
              </w:rPr>
              <w:t>10</w:t>
            </w:r>
            <w:r>
              <w:rPr>
                <w:rFonts w:ascii="Times" w:eastAsia="宋体" w:hAnsi="Times" w:hint="eastAsia"/>
                <w:color w:val="000000" w:themeColor="text1"/>
                <w:lang w:eastAsia="zh-CN"/>
              </w:rPr>
              <w:t>年期国债收益率在第一季度出现明显的上行趋势，一路从</w:t>
            </w:r>
            <w:r>
              <w:rPr>
                <w:rFonts w:ascii="Times" w:eastAsia="宋体" w:hAnsi="Times" w:hint="eastAsia"/>
                <w:color w:val="000000" w:themeColor="text1"/>
                <w:lang w:eastAsia="zh-CN"/>
              </w:rPr>
              <w:t>1.114%</w:t>
            </w:r>
            <w:r>
              <w:rPr>
                <w:rFonts w:ascii="Times" w:eastAsia="宋体" w:hAnsi="Times" w:hint="eastAsia"/>
                <w:color w:val="000000" w:themeColor="text1"/>
                <w:lang w:eastAsia="zh-CN"/>
              </w:rPr>
              <w:t>上升到季度末的</w:t>
            </w:r>
            <w:r>
              <w:rPr>
                <w:rFonts w:ascii="Times" w:eastAsia="宋体" w:hAnsi="Times" w:hint="eastAsia"/>
                <w:color w:val="000000" w:themeColor="text1"/>
                <w:lang w:eastAsia="zh-CN"/>
              </w:rPr>
              <w:t>1.469%</w:t>
            </w:r>
            <w:r>
              <w:rPr>
                <w:rFonts w:ascii="Times" w:eastAsia="宋体" w:hAnsi="Times" w:hint="eastAsia"/>
                <w:color w:val="000000" w:themeColor="text1"/>
                <w:lang w:eastAsia="zh-CN"/>
              </w:rPr>
              <w:t>。不过需要注意的是，在</w:t>
            </w:r>
            <w:r>
              <w:rPr>
                <w:rFonts w:ascii="Times" w:eastAsia="宋体" w:hAnsi="Times" w:hint="eastAsia"/>
                <w:color w:val="000000" w:themeColor="text1"/>
                <w:lang w:eastAsia="zh-CN"/>
              </w:rPr>
              <w:t>3</w:t>
            </w:r>
            <w:r>
              <w:rPr>
                <w:rFonts w:ascii="Times" w:eastAsia="宋体" w:hAnsi="Times" w:hint="eastAsia"/>
                <w:color w:val="000000" w:themeColor="text1"/>
                <w:lang w:eastAsia="zh-CN"/>
              </w:rPr>
              <w:t>月末，尤其是</w:t>
            </w:r>
            <w:r>
              <w:rPr>
                <w:rFonts w:ascii="Times" w:eastAsia="宋体" w:hAnsi="Times" w:hint="eastAsia"/>
                <w:color w:val="000000" w:themeColor="text1"/>
                <w:lang w:eastAsia="zh-CN"/>
              </w:rPr>
              <w:t>4</w:t>
            </w:r>
            <w:r>
              <w:rPr>
                <w:rFonts w:ascii="Times" w:eastAsia="宋体" w:hAnsi="Times" w:hint="eastAsia"/>
                <w:color w:val="000000" w:themeColor="text1"/>
                <w:lang w:eastAsia="zh-CN"/>
              </w:rPr>
              <w:t>月中上旬时，伴随着全球金融市场的大幅波动，日本</w:t>
            </w:r>
            <w:r>
              <w:rPr>
                <w:rFonts w:ascii="Times" w:eastAsia="宋体" w:hAnsi="Times" w:hint="eastAsia"/>
                <w:color w:val="000000" w:themeColor="text1"/>
                <w:lang w:eastAsia="zh-CN"/>
              </w:rPr>
              <w:t>10</w:t>
            </w:r>
            <w:r>
              <w:rPr>
                <w:rFonts w:ascii="Times" w:eastAsia="宋体" w:hAnsi="Times" w:hint="eastAsia"/>
                <w:color w:val="000000" w:themeColor="text1"/>
                <w:lang w:eastAsia="zh-CN"/>
              </w:rPr>
              <w:t>年期国债收益率也出现大幅下跌，之后又大幅反弹的情况。在第二季度，全球金融市场的变化——如股市和美债市场，尤其是如果发生剧烈变化，将会成为影响日本国债的重要因素。</w:t>
            </w:r>
          </w:p>
        </w:tc>
      </w:tr>
      <w:tr w:rsidR="001304E4" w:rsidRPr="00A9552F" w14:paraId="006A517A" w14:textId="77777777" w:rsidTr="00D72849">
        <w:trPr>
          <w:trHeight w:val="150"/>
          <w:jc w:val="center"/>
        </w:trPr>
        <w:tc>
          <w:tcPr>
            <w:tcW w:w="9639" w:type="dxa"/>
            <w:gridSpan w:val="3"/>
          </w:tcPr>
          <w:p w14:paraId="2FF4E596" w14:textId="1FEB348A" w:rsidR="001304E4" w:rsidRPr="00A9552F" w:rsidRDefault="00DB2622" w:rsidP="00D37774">
            <w:pPr>
              <w:pStyle w:val="a4"/>
            </w:pPr>
            <w:bookmarkStart w:id="44" w:name="_Toc196399430"/>
            <w:r>
              <w:rPr>
                <w:rFonts w:hint="eastAsia"/>
              </w:rPr>
              <w:lastRenderedPageBreak/>
              <w:t xml:space="preserve">图表 </w:t>
            </w:r>
            <w:r>
              <w:rPr>
                <w:rFonts w:hint="eastAsia"/>
              </w:rPr>
              <w:fldChar w:fldCharType="begin"/>
            </w:r>
            <w:r>
              <w:rPr>
                <w:rFonts w:hint="eastAsia"/>
              </w:rPr>
              <w:instrText xml:space="preserve"> SEQ 图表 \* ARABIC </w:instrText>
            </w:r>
            <w:r>
              <w:rPr>
                <w:rFonts w:hint="eastAsia"/>
              </w:rPr>
              <w:fldChar w:fldCharType="separate"/>
            </w:r>
            <w:r w:rsidR="00530ED7">
              <w:rPr>
                <w:rFonts w:hint="eastAsia"/>
                <w:noProof/>
              </w:rPr>
              <w:t>19</w:t>
            </w:r>
            <w:r>
              <w:rPr>
                <w:rFonts w:hint="eastAsia"/>
              </w:rPr>
              <w:fldChar w:fldCharType="end"/>
            </w:r>
            <w:r w:rsidR="001304E4" w:rsidRPr="00A9552F">
              <w:t xml:space="preserve">  </w:t>
            </w:r>
            <w:r w:rsidR="001304E4" w:rsidRPr="00A9552F">
              <w:rPr>
                <w:rFonts w:hint="eastAsia"/>
              </w:rPr>
              <w:t>10年期国债</w:t>
            </w:r>
            <w:r w:rsidR="001304E4">
              <w:rPr>
                <w:rFonts w:hint="eastAsia"/>
              </w:rPr>
              <w:t>收益率持续上行</w:t>
            </w:r>
            <w:bookmarkEnd w:id="44"/>
          </w:p>
          <w:p w14:paraId="61186868" w14:textId="77777777" w:rsidR="001304E4" w:rsidRPr="00A9552F" w:rsidRDefault="001304E4" w:rsidP="00D72849">
            <w:pPr>
              <w:spacing w:beforeLines="50" w:before="163"/>
              <w:ind w:firstLine="480"/>
              <w:jc w:val="center"/>
              <w:rPr>
                <w:rFonts w:ascii="Times" w:eastAsia="宋体" w:hAnsi="Times"/>
                <w:b/>
                <w:bCs/>
                <w:color w:val="000000" w:themeColor="text1"/>
                <w:szCs w:val="21"/>
              </w:rPr>
            </w:pPr>
            <w:r>
              <w:rPr>
                <w:noProof/>
                <w:lang w:eastAsia="zh-CN" w:bidi="ar-SA"/>
              </w:rPr>
              <w:drawing>
                <wp:inline distT="0" distB="0" distL="0" distR="0" wp14:anchorId="5E56F1F5" wp14:editId="79760BAA">
                  <wp:extent cx="4560192" cy="2692129"/>
                  <wp:effectExtent l="0" t="0" r="12065" b="13335"/>
                  <wp:docPr id="1078088790" name="图表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E88D670-220B-2D4A-B4DD-E4D4F8FD8D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r>
      <w:tr w:rsidR="001304E4" w:rsidRPr="00A9552F" w14:paraId="53882429" w14:textId="77777777" w:rsidTr="00D72849">
        <w:trPr>
          <w:trHeight w:val="150"/>
          <w:jc w:val="center"/>
        </w:trPr>
        <w:tc>
          <w:tcPr>
            <w:tcW w:w="2168" w:type="dxa"/>
          </w:tcPr>
          <w:p w14:paraId="09C453D2" w14:textId="77777777" w:rsidR="001304E4" w:rsidRPr="00A9552F" w:rsidRDefault="001304E4" w:rsidP="00D72849">
            <w:pPr>
              <w:spacing w:beforeLines="50" w:before="163"/>
              <w:ind w:firstLine="482"/>
              <w:rPr>
                <w:rFonts w:ascii="Times" w:eastAsia="宋体" w:hAnsi="Times"/>
                <w:b/>
              </w:rPr>
            </w:pPr>
          </w:p>
          <w:p w14:paraId="4BD04FFE" w14:textId="77777777" w:rsidR="001304E4" w:rsidRPr="00A9552F" w:rsidRDefault="001304E4" w:rsidP="00D72849">
            <w:pPr>
              <w:spacing w:beforeLines="50" w:before="163"/>
              <w:ind w:firstLine="482"/>
              <w:rPr>
                <w:rFonts w:ascii="Times" w:eastAsia="宋体" w:hAnsi="Times"/>
                <w:b/>
              </w:rPr>
            </w:pPr>
          </w:p>
        </w:tc>
        <w:tc>
          <w:tcPr>
            <w:tcW w:w="251" w:type="dxa"/>
          </w:tcPr>
          <w:p w14:paraId="1199AB2A" w14:textId="77777777" w:rsidR="001304E4" w:rsidRPr="00A9552F" w:rsidRDefault="001304E4" w:rsidP="00D72849">
            <w:pPr>
              <w:keepNext/>
              <w:keepLines/>
              <w:spacing w:before="260" w:after="260"/>
              <w:ind w:firstLine="480"/>
              <w:rPr>
                <w:rFonts w:ascii="Times" w:eastAsia="宋体" w:hAnsi="Times"/>
              </w:rPr>
            </w:pPr>
          </w:p>
        </w:tc>
        <w:tc>
          <w:tcPr>
            <w:tcW w:w="7220" w:type="dxa"/>
          </w:tcPr>
          <w:p w14:paraId="4F482AFF" w14:textId="77777777" w:rsidR="001304E4" w:rsidRPr="00A9552F" w:rsidRDefault="001304E4" w:rsidP="00D72849">
            <w:pPr>
              <w:spacing w:beforeLines="50" w:before="163"/>
              <w:ind w:firstLine="562"/>
              <w:rPr>
                <w:rFonts w:ascii="Times" w:eastAsia="宋体" w:hAnsi="Times"/>
                <w:b/>
                <w:sz w:val="28"/>
                <w:szCs w:val="28"/>
                <w:lang w:eastAsia="zh-CN"/>
              </w:rPr>
            </w:pPr>
            <w:r w:rsidRPr="00A9552F">
              <w:rPr>
                <w:rFonts w:ascii="Times" w:eastAsia="宋体" w:hAnsi="Times"/>
                <w:b/>
                <w:sz w:val="28"/>
                <w:szCs w:val="28"/>
                <w:lang w:eastAsia="zh-CN"/>
              </w:rPr>
              <w:t>四、综合</w:t>
            </w:r>
            <w:r w:rsidRPr="00A9552F">
              <w:rPr>
                <w:rFonts w:ascii="Times" w:eastAsia="宋体" w:hAnsi="Times" w:hint="eastAsia"/>
                <w:b/>
                <w:sz w:val="28"/>
                <w:szCs w:val="28"/>
                <w:lang w:eastAsia="zh-CN"/>
              </w:rPr>
              <w:t>评述</w:t>
            </w:r>
            <w:r w:rsidRPr="00A9552F">
              <w:rPr>
                <w:rFonts w:ascii="Times" w:eastAsia="宋体" w:hAnsi="Times"/>
                <w:b/>
                <w:sz w:val="28"/>
                <w:szCs w:val="28"/>
                <w:lang w:eastAsia="zh-CN"/>
              </w:rPr>
              <w:t>与展望</w:t>
            </w:r>
          </w:p>
          <w:p w14:paraId="1EA65015" w14:textId="77777777" w:rsidR="001304E4" w:rsidRDefault="001304E4" w:rsidP="00D72849">
            <w:pPr>
              <w:ind w:firstLine="480"/>
              <w:rPr>
                <w:rFonts w:ascii="Times" w:eastAsia="宋体" w:hAnsi="Times"/>
                <w:color w:val="000000"/>
                <w:lang w:eastAsia="zh-CN"/>
              </w:rPr>
            </w:pPr>
            <w:r>
              <w:rPr>
                <w:rFonts w:ascii="Times" w:eastAsia="宋体" w:hAnsi="Times" w:hint="eastAsia"/>
                <w:color w:val="000000"/>
                <w:lang w:eastAsia="zh-CN"/>
              </w:rPr>
              <w:t>日本经济在第一季度整体运行平稳，但显出一些隐忧。日本经济中存在的消费不足，物价上涨的情况在</w:t>
            </w:r>
            <w:r>
              <w:rPr>
                <w:rFonts w:ascii="Times" w:eastAsia="宋体" w:hAnsi="Times" w:hint="eastAsia"/>
                <w:color w:val="000000"/>
                <w:lang w:eastAsia="zh-CN"/>
              </w:rPr>
              <w:t>2024</w:t>
            </w:r>
            <w:r>
              <w:rPr>
                <w:rFonts w:ascii="Times" w:eastAsia="宋体" w:hAnsi="Times" w:hint="eastAsia"/>
                <w:color w:val="000000"/>
                <w:lang w:eastAsia="zh-CN"/>
              </w:rPr>
              <w:t>年年中后有所边际好转后，在</w:t>
            </w:r>
            <w:r>
              <w:rPr>
                <w:rFonts w:ascii="Times" w:eastAsia="宋体" w:hAnsi="Times" w:hint="eastAsia"/>
                <w:color w:val="000000"/>
                <w:lang w:eastAsia="zh-CN"/>
              </w:rPr>
              <w:t>2024</w:t>
            </w:r>
            <w:r>
              <w:rPr>
                <w:rFonts w:ascii="Times" w:eastAsia="宋体" w:hAnsi="Times" w:hint="eastAsia"/>
                <w:color w:val="000000"/>
                <w:lang w:eastAsia="zh-CN"/>
              </w:rPr>
              <w:t>年末</w:t>
            </w:r>
            <w:r>
              <w:rPr>
                <w:rFonts w:ascii="Times" w:eastAsia="宋体" w:hAnsi="Times" w:hint="eastAsia"/>
                <w:color w:val="000000"/>
                <w:lang w:eastAsia="zh-CN"/>
              </w:rPr>
              <w:t>2025</w:t>
            </w:r>
            <w:r>
              <w:rPr>
                <w:rFonts w:ascii="Times" w:eastAsia="宋体" w:hAnsi="Times" w:hint="eastAsia"/>
                <w:color w:val="000000"/>
                <w:lang w:eastAsia="zh-CN"/>
              </w:rPr>
              <w:t>年初再度显现。预计这一情况短期内难以根本好转。</w:t>
            </w:r>
          </w:p>
          <w:p w14:paraId="6D5AE821" w14:textId="77777777" w:rsidR="001304E4" w:rsidRPr="00A9552F" w:rsidRDefault="001304E4" w:rsidP="00D72849">
            <w:pPr>
              <w:ind w:firstLine="480"/>
              <w:rPr>
                <w:rFonts w:ascii="Times" w:eastAsia="宋体" w:hAnsi="Times"/>
                <w:color w:val="000000"/>
                <w:lang w:eastAsia="zh-CN"/>
              </w:rPr>
            </w:pPr>
            <w:r>
              <w:rPr>
                <w:rFonts w:ascii="Times" w:eastAsia="宋体" w:hAnsi="Times" w:hint="eastAsia"/>
                <w:color w:val="000000"/>
                <w:lang w:eastAsia="zh-CN"/>
              </w:rPr>
              <w:t>当前，日本经济面临的主要风险还来自国外——尤其是特朗普政府的贸易政策。美国政府对日本的贸易政策走势如何，毫无疑问会影响到包括汽车出口在内的几乎所有商品的出口情况。而且，美国对其他国家的贸易政策也会对日本出口甚至整体经济造成影响。另外，金融市场震荡后续是否会继续发酵，如果波动再度加大，其对日本金融市场乃至日本宏观经济的影响不可小视。</w:t>
            </w:r>
          </w:p>
        </w:tc>
      </w:tr>
    </w:tbl>
    <w:p w14:paraId="62CA9A91" w14:textId="77777777" w:rsidR="00CD310D" w:rsidRPr="009F0C37" w:rsidRDefault="00CD310D">
      <w:pPr>
        <w:ind w:firstLine="480"/>
        <w:rPr>
          <w:lang w:eastAsia="zh-CN"/>
        </w:rPr>
        <w:sectPr w:rsidR="00CD310D" w:rsidRPr="009F0C37" w:rsidSect="00894D49">
          <w:headerReference w:type="default" r:id="rId40"/>
          <w:footerReference w:type="default" r:id="rId41"/>
          <w:pgSz w:w="11906" w:h="16838"/>
          <w:pgMar w:top="1440" w:right="1800" w:bottom="1440" w:left="1800" w:header="851" w:footer="992" w:gutter="0"/>
          <w:cols w:space="425"/>
          <w:docGrid w:type="lines" w:linePitch="326"/>
        </w:sectPr>
      </w:pPr>
    </w:p>
    <w:tbl>
      <w:tblPr>
        <w:tblW w:w="9605" w:type="dxa"/>
        <w:jc w:val="center"/>
        <w:tblLayout w:type="fixed"/>
        <w:tblLook w:val="04A0" w:firstRow="1" w:lastRow="0" w:firstColumn="1" w:lastColumn="0" w:noHBand="0" w:noVBand="1"/>
      </w:tblPr>
      <w:tblGrid>
        <w:gridCol w:w="1989"/>
        <w:gridCol w:w="80"/>
        <w:gridCol w:w="62"/>
        <w:gridCol w:w="99"/>
        <w:gridCol w:w="142"/>
        <w:gridCol w:w="2302"/>
        <w:gridCol w:w="4522"/>
        <w:gridCol w:w="35"/>
        <w:gridCol w:w="374"/>
      </w:tblGrid>
      <w:tr w:rsidR="00140775" w14:paraId="5BB69824" w14:textId="77777777" w:rsidTr="00140775">
        <w:trPr>
          <w:trHeight w:val="1001"/>
          <w:jc w:val="center"/>
        </w:trPr>
        <w:tc>
          <w:tcPr>
            <w:tcW w:w="9605" w:type="dxa"/>
            <w:gridSpan w:val="9"/>
            <w:vAlign w:val="center"/>
          </w:tcPr>
          <w:p w14:paraId="11F76A52" w14:textId="77777777" w:rsidR="00140775" w:rsidRDefault="00140775" w:rsidP="00140775">
            <w:pPr>
              <w:pStyle w:val="1"/>
              <w:rPr>
                <w:b w:val="0"/>
                <w:bCs w:val="0"/>
              </w:rPr>
            </w:pPr>
            <w:bookmarkStart w:id="45" w:name="_Toc196364976"/>
            <w:r>
              <w:rPr>
                <w:rFonts w:hint="eastAsia"/>
                <w:lang w:bidi="en-US"/>
              </w:rPr>
              <w:lastRenderedPageBreak/>
              <w:t>东盟韩国：脆弱性上升</w:t>
            </w:r>
            <w:bookmarkEnd w:id="45"/>
          </w:p>
        </w:tc>
      </w:tr>
      <w:tr w:rsidR="00140775" w14:paraId="709DDFB8" w14:textId="77777777" w:rsidTr="00140775">
        <w:trPr>
          <w:gridAfter w:val="2"/>
          <w:wAfter w:w="426" w:type="dxa"/>
          <w:trHeight w:val="1001"/>
          <w:jc w:val="center"/>
        </w:trPr>
        <w:tc>
          <w:tcPr>
            <w:tcW w:w="9605" w:type="dxa"/>
            <w:gridSpan w:val="7"/>
          </w:tcPr>
          <w:p w14:paraId="102EDB40" w14:textId="77777777" w:rsidR="00140775" w:rsidRDefault="00140775" w:rsidP="00D72849">
            <w:pPr>
              <w:ind w:firstLine="480"/>
              <w:rPr>
                <w:rFonts w:ascii="楷体" w:eastAsia="楷体" w:hAnsi="楷体" w:cs="楷体"/>
                <w:lang w:eastAsia="zh-CN"/>
              </w:rPr>
            </w:pPr>
            <w:r w:rsidRPr="001244F7">
              <w:rPr>
                <w:rFonts w:asciiTheme="minorEastAsia" w:hAnsiTheme="minorEastAsia" w:cs="楷体" w:hint="eastAsia"/>
                <w:lang w:eastAsia="zh-CN"/>
              </w:rPr>
              <w:t>2025年第1季度，东盟整体制造业PMI在荣枯线之上，</w:t>
            </w:r>
            <w:r w:rsidRPr="001244F7">
              <w:rPr>
                <w:rFonts w:asciiTheme="minorEastAsia" w:hAnsiTheme="minorEastAsia" w:hint="eastAsia"/>
                <w:lang w:eastAsia="zh-CN"/>
              </w:rPr>
              <w:t>整体波动企稳</w:t>
            </w:r>
            <w:r w:rsidRPr="001244F7">
              <w:rPr>
                <w:rFonts w:asciiTheme="minorEastAsia" w:hAnsiTheme="minorEastAsia" w:cs="楷体" w:hint="eastAsia"/>
                <w:lang w:eastAsia="zh-CN"/>
              </w:rPr>
              <w:t>；印尼带动东盟整体PMI进入景气区间，</w:t>
            </w:r>
            <w:r w:rsidRPr="001244F7">
              <w:rPr>
                <w:rFonts w:asciiTheme="minorEastAsia" w:hAnsiTheme="minorEastAsia" w:hint="eastAsia"/>
                <w:bCs/>
                <w:lang w:eastAsia="zh-CN"/>
              </w:rPr>
              <w:t>区内前沿经济体PMI稳定在荣枯线附近</w:t>
            </w:r>
            <w:r w:rsidRPr="001244F7">
              <w:rPr>
                <w:rFonts w:asciiTheme="minorEastAsia" w:hAnsiTheme="minorEastAsia" w:cs="楷体" w:hint="eastAsia"/>
                <w:lang w:eastAsia="zh-CN"/>
              </w:rPr>
              <w:t>；新加坡表现相对稳健，马来西亚仍处在荣枯线以下。</w:t>
            </w:r>
            <w:r w:rsidRPr="001244F7">
              <w:rPr>
                <w:rFonts w:asciiTheme="minorEastAsia" w:hAnsiTheme="minorEastAsia" w:hint="eastAsia"/>
                <w:lang w:eastAsia="zh-CN"/>
              </w:rPr>
              <w:t>区内通胀水平在本季度出现分化</w:t>
            </w:r>
            <w:r w:rsidRPr="001244F7">
              <w:rPr>
                <w:rFonts w:asciiTheme="minorEastAsia" w:hAnsiTheme="minorEastAsia" w:cs="楷体" w:hint="eastAsia"/>
                <w:lang w:eastAsia="zh-CN"/>
              </w:rPr>
              <w:t>，前沿经济体通货膨胀有上行态势，内需经济体要警惕进入紧缩区间；美元指数趋弱背景下，</w:t>
            </w:r>
            <w:r w:rsidRPr="001244F7">
              <w:rPr>
                <w:rFonts w:asciiTheme="minorEastAsia" w:hAnsiTheme="minorEastAsia" w:hint="eastAsia"/>
                <w:lang w:eastAsia="zh-CN"/>
              </w:rPr>
              <w:t>区内货币和股票市场走势出现分化，其中印尼汇股双跌压力较大</w:t>
            </w:r>
            <w:r w:rsidRPr="001244F7">
              <w:rPr>
                <w:rFonts w:asciiTheme="minorEastAsia" w:hAnsiTheme="minorEastAsia" w:cs="楷体" w:hint="eastAsia"/>
                <w:lang w:eastAsia="zh-CN"/>
              </w:rPr>
              <w:t>。展望第2季度，“对等关税”相关政策冲击下，区域经济体脆弱性上升，表现为区域金融市场波动风险和供应链重构风险加剧，应依托东盟、清迈倡议、区域贸易协定等平台机制，深化区域金融和区域合作</w:t>
            </w:r>
            <w:r w:rsidRPr="003B22AC">
              <w:rPr>
                <w:rFonts w:ascii="楷体" w:eastAsia="楷体" w:hAnsi="楷体" w:cs="楷体" w:hint="eastAsia"/>
                <w:lang w:eastAsia="zh-CN"/>
              </w:rPr>
              <w:t>。</w:t>
            </w:r>
          </w:p>
        </w:tc>
      </w:tr>
      <w:tr w:rsidR="00140775" w14:paraId="56A31103" w14:textId="77777777" w:rsidTr="00140775">
        <w:trPr>
          <w:gridAfter w:val="2"/>
          <w:wAfter w:w="426" w:type="dxa"/>
          <w:trHeight w:val="1001"/>
          <w:jc w:val="center"/>
        </w:trPr>
        <w:tc>
          <w:tcPr>
            <w:tcW w:w="2075" w:type="dxa"/>
          </w:tcPr>
          <w:p w14:paraId="7A300441" w14:textId="77777777" w:rsidR="000E0157" w:rsidRDefault="00140775" w:rsidP="000E0157">
            <w:pPr>
              <w:pStyle w:val="-4"/>
            </w:pPr>
            <w:r>
              <w:br w:type="page"/>
            </w:r>
          </w:p>
          <w:p w14:paraId="316624B4" w14:textId="77777777" w:rsidR="000E0157" w:rsidRDefault="000E0157" w:rsidP="000E0157">
            <w:pPr>
              <w:pStyle w:val="-4"/>
            </w:pPr>
          </w:p>
          <w:p w14:paraId="739C7BE5" w14:textId="1F20338B" w:rsidR="00140775" w:rsidRDefault="00140775" w:rsidP="000E0157">
            <w:pPr>
              <w:pStyle w:val="-4"/>
              <w:rPr>
                <w:rFonts w:ascii="Times New Roman" w:hAnsi="Times New Roman"/>
              </w:rPr>
            </w:pPr>
            <w:r w:rsidRPr="000E0157">
              <w:rPr>
                <w:rFonts w:hint="eastAsia"/>
              </w:rPr>
              <w:t>东盟整体制造业PMI在荣枯线之上，整体波动企稳</w:t>
            </w:r>
            <w:r w:rsidRPr="00E06B48">
              <w:rPr>
                <w:rFonts w:ascii="Times New Roman" w:eastAsia="楷体" w:hAnsi="Times New Roman" w:hint="eastAsia"/>
              </w:rPr>
              <w:t>。</w:t>
            </w:r>
          </w:p>
        </w:tc>
        <w:tc>
          <w:tcPr>
            <w:tcW w:w="241" w:type="dxa"/>
            <w:gridSpan w:val="3"/>
          </w:tcPr>
          <w:p w14:paraId="5549E951" w14:textId="77777777" w:rsidR="00140775" w:rsidRDefault="00140775" w:rsidP="00D72849">
            <w:pPr>
              <w:keepNext/>
              <w:keepLines/>
              <w:spacing w:before="260" w:after="260"/>
              <w:ind w:firstLine="480"/>
              <w:rPr>
                <w:rFonts w:eastAsia="楷体_GB2312"/>
                <w:lang w:eastAsia="zh-CN"/>
              </w:rPr>
            </w:pPr>
          </w:p>
        </w:tc>
        <w:tc>
          <w:tcPr>
            <w:tcW w:w="7289" w:type="dxa"/>
            <w:gridSpan w:val="3"/>
          </w:tcPr>
          <w:p w14:paraId="0F889C46" w14:textId="77777777" w:rsidR="00140775" w:rsidRDefault="00140775" w:rsidP="00D72849">
            <w:pPr>
              <w:spacing w:beforeLines="50" w:before="163"/>
              <w:ind w:firstLineChars="0" w:firstLine="0"/>
              <w:rPr>
                <w:rFonts w:eastAsia="宋体"/>
                <w:b/>
                <w:sz w:val="28"/>
                <w:szCs w:val="28"/>
                <w:lang w:eastAsia="zh-CN"/>
              </w:rPr>
            </w:pPr>
            <w:r>
              <w:rPr>
                <w:rFonts w:eastAsia="宋体" w:hint="eastAsia"/>
                <w:b/>
                <w:sz w:val="28"/>
                <w:szCs w:val="28"/>
                <w:lang w:eastAsia="zh-CN"/>
              </w:rPr>
              <w:t>一、区内经济体经济景气指数波动企稳</w:t>
            </w:r>
          </w:p>
          <w:p w14:paraId="06DFE6BA" w14:textId="77777777" w:rsidR="00140775" w:rsidRDefault="00140775" w:rsidP="00D72849">
            <w:pPr>
              <w:spacing w:beforeLines="50" w:before="163"/>
              <w:ind w:firstLine="482"/>
              <w:rPr>
                <w:rFonts w:asciiTheme="minorEastAsia" w:hAnsiTheme="minorEastAsia"/>
                <w:bCs/>
                <w:lang w:eastAsia="zh-CN"/>
              </w:rPr>
            </w:pPr>
            <w:r>
              <w:rPr>
                <w:rFonts w:eastAsia="宋体" w:hint="eastAsia"/>
                <w:b/>
                <w:lang w:eastAsia="zh-CN"/>
              </w:rPr>
              <w:t>2025</w:t>
            </w:r>
            <w:r>
              <w:rPr>
                <w:rFonts w:eastAsia="宋体" w:hint="eastAsia"/>
                <w:b/>
                <w:lang w:eastAsia="zh-CN"/>
              </w:rPr>
              <w:t>年第</w:t>
            </w:r>
            <w:r>
              <w:rPr>
                <w:rFonts w:eastAsia="宋体" w:hint="eastAsia"/>
                <w:b/>
                <w:lang w:eastAsia="zh-CN"/>
              </w:rPr>
              <w:t>1</w:t>
            </w:r>
            <w:r>
              <w:rPr>
                <w:rFonts w:eastAsia="宋体" w:hint="eastAsia"/>
                <w:b/>
                <w:lang w:eastAsia="zh-CN"/>
              </w:rPr>
              <w:t>季度，东盟整体制造业</w:t>
            </w:r>
            <w:r>
              <w:rPr>
                <w:rFonts w:eastAsia="宋体" w:hint="eastAsia"/>
                <w:b/>
                <w:lang w:eastAsia="zh-CN"/>
              </w:rPr>
              <w:t>PMI</w:t>
            </w:r>
            <w:r>
              <w:rPr>
                <w:rFonts w:eastAsia="宋体" w:hint="eastAsia"/>
                <w:b/>
                <w:lang w:eastAsia="zh-CN"/>
              </w:rPr>
              <w:t>在荣枯线之上，整体波动企稳。</w:t>
            </w:r>
            <w:r>
              <w:rPr>
                <w:rFonts w:eastAsia="宋体" w:hint="eastAsia"/>
                <w:bCs/>
                <w:lang w:eastAsia="zh-CN"/>
              </w:rPr>
              <w:t>1-3</w:t>
            </w:r>
            <w:r>
              <w:rPr>
                <w:rFonts w:eastAsia="宋体" w:hint="eastAsia"/>
                <w:bCs/>
                <w:lang w:eastAsia="zh-CN"/>
              </w:rPr>
              <w:t>月东盟制造业</w:t>
            </w:r>
            <w:r>
              <w:rPr>
                <w:rFonts w:eastAsia="宋体" w:hint="eastAsia"/>
                <w:bCs/>
                <w:lang w:eastAsia="zh-CN"/>
              </w:rPr>
              <w:t>PMI</w:t>
            </w:r>
            <w:r>
              <w:rPr>
                <w:rFonts w:eastAsia="宋体" w:hint="eastAsia"/>
                <w:bCs/>
                <w:lang w:eastAsia="zh-CN"/>
              </w:rPr>
              <w:t>读数分别为</w:t>
            </w:r>
            <w:r>
              <w:rPr>
                <w:rFonts w:eastAsia="宋体" w:hint="eastAsia"/>
                <w:bCs/>
                <w:lang w:eastAsia="zh-CN"/>
              </w:rPr>
              <w:t>50.4</w:t>
            </w:r>
            <w:r>
              <w:rPr>
                <w:rFonts w:eastAsia="宋体" w:hint="eastAsia"/>
                <w:bCs/>
                <w:lang w:eastAsia="zh-CN"/>
              </w:rPr>
              <w:t>、</w:t>
            </w:r>
            <w:r>
              <w:rPr>
                <w:rFonts w:eastAsia="宋体" w:hint="eastAsia"/>
                <w:bCs/>
                <w:lang w:eastAsia="zh-CN"/>
              </w:rPr>
              <w:t>51.5</w:t>
            </w:r>
            <w:r>
              <w:rPr>
                <w:rFonts w:eastAsia="宋体" w:hint="eastAsia"/>
                <w:bCs/>
                <w:lang w:eastAsia="zh-CN"/>
              </w:rPr>
              <w:t>和</w:t>
            </w:r>
            <w:r>
              <w:rPr>
                <w:rFonts w:eastAsia="宋体" w:hint="eastAsia"/>
                <w:bCs/>
                <w:lang w:eastAsia="zh-CN"/>
              </w:rPr>
              <w:t>50.8</w:t>
            </w:r>
            <w:r>
              <w:rPr>
                <w:rFonts w:eastAsia="宋体" w:hint="eastAsia"/>
                <w:bCs/>
                <w:lang w:eastAsia="zh-CN"/>
              </w:rPr>
              <w:t>，季度平均读数为</w:t>
            </w:r>
            <w:r>
              <w:rPr>
                <w:rFonts w:eastAsia="宋体" w:hint="eastAsia"/>
                <w:bCs/>
                <w:lang w:eastAsia="zh-CN"/>
              </w:rPr>
              <w:t>50.9</w:t>
            </w:r>
            <w:r>
              <w:rPr>
                <w:rFonts w:eastAsia="宋体" w:hint="eastAsia"/>
                <w:bCs/>
                <w:lang w:eastAsia="zh-CN"/>
              </w:rPr>
              <w:t>，较第</w:t>
            </w:r>
            <w:r>
              <w:rPr>
                <w:rFonts w:eastAsia="宋体" w:hint="eastAsia"/>
                <w:bCs/>
                <w:lang w:eastAsia="zh-CN"/>
              </w:rPr>
              <w:t>4</w:t>
            </w:r>
            <w:r>
              <w:rPr>
                <w:rFonts w:eastAsia="宋体" w:hint="eastAsia"/>
                <w:bCs/>
                <w:lang w:eastAsia="zh-CN"/>
              </w:rPr>
              <w:t>季度上升</w:t>
            </w:r>
            <w:r>
              <w:rPr>
                <w:rFonts w:eastAsia="宋体" w:hint="eastAsia"/>
                <w:bCs/>
                <w:lang w:eastAsia="zh-CN"/>
              </w:rPr>
              <w:t>0.2</w:t>
            </w:r>
            <w:r>
              <w:rPr>
                <w:rFonts w:eastAsia="宋体" w:hint="eastAsia"/>
                <w:bCs/>
                <w:lang w:eastAsia="zh-CN"/>
              </w:rPr>
              <w:t>。季度数据来看，东盟制造业</w:t>
            </w:r>
            <w:r>
              <w:rPr>
                <w:rFonts w:eastAsia="宋体" w:hint="eastAsia"/>
                <w:bCs/>
                <w:lang w:eastAsia="zh-CN"/>
              </w:rPr>
              <w:t>PMI</w:t>
            </w:r>
            <w:r>
              <w:rPr>
                <w:rFonts w:eastAsia="宋体" w:hint="eastAsia"/>
                <w:bCs/>
                <w:lang w:eastAsia="zh-CN"/>
              </w:rPr>
              <w:t>上行主要由印尼带动，印尼第</w:t>
            </w:r>
            <w:r>
              <w:rPr>
                <w:rFonts w:eastAsia="宋体" w:hint="eastAsia"/>
                <w:bCs/>
                <w:lang w:eastAsia="zh-CN"/>
              </w:rPr>
              <w:t>1</w:t>
            </w:r>
            <w:r>
              <w:rPr>
                <w:rFonts w:eastAsia="宋体" w:hint="eastAsia"/>
                <w:bCs/>
                <w:lang w:eastAsia="zh-CN"/>
              </w:rPr>
              <w:t>季度制造业</w:t>
            </w:r>
            <w:r>
              <w:rPr>
                <w:rFonts w:eastAsia="宋体" w:hint="eastAsia"/>
                <w:bCs/>
                <w:lang w:eastAsia="zh-CN"/>
              </w:rPr>
              <w:t>PMI</w:t>
            </w:r>
            <w:r>
              <w:rPr>
                <w:rFonts w:eastAsia="宋体" w:hint="eastAsia"/>
                <w:bCs/>
                <w:lang w:eastAsia="zh-CN"/>
              </w:rPr>
              <w:t>读数</w:t>
            </w:r>
            <w:r>
              <w:rPr>
                <w:rFonts w:eastAsia="宋体" w:hint="eastAsia"/>
                <w:bCs/>
                <w:lang w:eastAsia="zh-CN"/>
              </w:rPr>
              <w:t>52.7</w:t>
            </w:r>
            <w:r>
              <w:rPr>
                <w:rFonts w:eastAsia="宋体" w:hint="eastAsia"/>
                <w:bCs/>
                <w:lang w:eastAsia="zh-CN"/>
              </w:rPr>
              <w:t>，较第</w:t>
            </w:r>
            <w:r>
              <w:rPr>
                <w:rFonts w:eastAsia="宋体" w:hint="eastAsia"/>
                <w:bCs/>
                <w:lang w:eastAsia="zh-CN"/>
              </w:rPr>
              <w:t>4</w:t>
            </w:r>
            <w:r>
              <w:rPr>
                <w:rFonts w:eastAsia="宋体" w:hint="eastAsia"/>
                <w:bCs/>
                <w:lang w:eastAsia="zh-CN"/>
              </w:rPr>
              <w:t>季度上升</w:t>
            </w:r>
            <w:r>
              <w:rPr>
                <w:rFonts w:eastAsia="宋体" w:hint="eastAsia"/>
                <w:bCs/>
                <w:lang w:eastAsia="zh-CN"/>
              </w:rPr>
              <w:t>2.7</w:t>
            </w:r>
            <w:r>
              <w:rPr>
                <w:rFonts w:eastAsia="宋体" w:hint="eastAsia"/>
                <w:bCs/>
                <w:lang w:eastAsia="zh-CN"/>
              </w:rPr>
              <w:t>。其余经济体季度数据均落在荣枯线附近，月度数据略有波动，但变动幅度较小。</w:t>
            </w:r>
          </w:p>
        </w:tc>
      </w:tr>
      <w:tr w:rsidR="00140775" w14:paraId="5B527D82" w14:textId="77777777" w:rsidTr="00140775">
        <w:trPr>
          <w:gridAfter w:val="2"/>
          <w:wAfter w:w="426" w:type="dxa"/>
          <w:trHeight w:val="1001"/>
          <w:jc w:val="center"/>
        </w:trPr>
        <w:tc>
          <w:tcPr>
            <w:tcW w:w="2075" w:type="dxa"/>
          </w:tcPr>
          <w:p w14:paraId="6C8F17AB" w14:textId="77777777" w:rsidR="000E0157" w:rsidRDefault="000E0157" w:rsidP="000E0157">
            <w:pPr>
              <w:pStyle w:val="-4"/>
            </w:pPr>
          </w:p>
          <w:p w14:paraId="48D076B5" w14:textId="369AD2A0" w:rsidR="00140775" w:rsidRPr="000E0157" w:rsidRDefault="00140775" w:rsidP="000E0157">
            <w:pPr>
              <w:pStyle w:val="-4"/>
            </w:pPr>
            <w:r w:rsidRPr="000E0157">
              <w:rPr>
                <w:rFonts w:hint="eastAsia"/>
              </w:rPr>
              <w:t>印尼带动东盟整体PMI进入景气区间。</w:t>
            </w:r>
          </w:p>
        </w:tc>
        <w:tc>
          <w:tcPr>
            <w:tcW w:w="241" w:type="dxa"/>
            <w:gridSpan w:val="3"/>
          </w:tcPr>
          <w:p w14:paraId="0066D6B3" w14:textId="77777777" w:rsidR="00140775" w:rsidRDefault="00140775" w:rsidP="00D72849">
            <w:pPr>
              <w:keepNext/>
              <w:keepLines/>
              <w:spacing w:before="260" w:after="260"/>
              <w:ind w:firstLine="480"/>
              <w:rPr>
                <w:rFonts w:eastAsia="楷体_GB2312"/>
                <w:lang w:eastAsia="zh-CN"/>
              </w:rPr>
            </w:pPr>
          </w:p>
        </w:tc>
        <w:tc>
          <w:tcPr>
            <w:tcW w:w="7289" w:type="dxa"/>
            <w:gridSpan w:val="3"/>
          </w:tcPr>
          <w:p w14:paraId="04473572" w14:textId="77777777" w:rsidR="00140775" w:rsidRDefault="00140775" w:rsidP="00D72849">
            <w:pPr>
              <w:spacing w:beforeLines="50" w:before="163"/>
              <w:ind w:firstLine="482"/>
              <w:rPr>
                <w:rFonts w:asciiTheme="minorEastAsia" w:hAnsiTheme="minorEastAsia"/>
                <w:bCs/>
                <w:lang w:eastAsia="zh-CN"/>
              </w:rPr>
            </w:pPr>
            <w:r w:rsidRPr="00E8487A">
              <w:rPr>
                <w:rFonts w:asciiTheme="minorEastAsia" w:hAnsiTheme="minorEastAsia" w:hint="eastAsia"/>
                <w:b/>
                <w:lang w:eastAsia="zh-CN"/>
              </w:rPr>
              <w:t>印尼带动东盟整体PMI进入景气区间</w:t>
            </w:r>
            <w:r>
              <w:rPr>
                <w:rFonts w:asciiTheme="minorEastAsia" w:hAnsiTheme="minorEastAsia" w:hint="eastAsia"/>
                <w:b/>
                <w:lang w:eastAsia="zh-CN"/>
              </w:rPr>
              <w:t>。</w:t>
            </w:r>
            <w:r>
              <w:rPr>
                <w:rFonts w:asciiTheme="minorEastAsia" w:hAnsiTheme="minorEastAsia" w:hint="eastAsia"/>
                <w:bCs/>
                <w:lang w:eastAsia="zh-CN"/>
              </w:rPr>
              <w:t>印尼1-3月PMI读数分别为51.9，53.6和52.4；继2024年12月连续四个月位于景气区间，一改2024年7-11月连续5个月跌落荣枯线的颓势，其中2月份的数据还创11个月以来的新高。</w:t>
            </w:r>
            <w:r w:rsidRPr="005B6313">
              <w:rPr>
                <w:rFonts w:asciiTheme="minorEastAsia" w:hAnsiTheme="minorEastAsia" w:hint="eastAsia"/>
                <w:b/>
                <w:lang w:eastAsia="zh-CN"/>
              </w:rPr>
              <w:t>印尼制造业景气主要由国内需求推动，外商直接投资也起到了较强的推动作用。</w:t>
            </w:r>
            <w:r w:rsidRPr="005765E8">
              <w:rPr>
                <w:rFonts w:asciiTheme="minorEastAsia" w:hAnsiTheme="minorEastAsia" w:hint="eastAsia"/>
                <w:bCs/>
                <w:lang w:eastAsia="zh-CN"/>
              </w:rPr>
              <w:t>受3月开斋节假期影响</w:t>
            </w:r>
            <w:r>
              <w:rPr>
                <w:rFonts w:asciiTheme="minorEastAsia" w:hAnsiTheme="minorEastAsia" w:hint="eastAsia"/>
                <w:bCs/>
                <w:lang w:eastAsia="zh-CN"/>
              </w:rPr>
              <w:t>，印尼</w:t>
            </w:r>
            <w:r w:rsidRPr="005765E8">
              <w:rPr>
                <w:rFonts w:asciiTheme="minorEastAsia" w:hAnsiTheme="minorEastAsia" w:hint="eastAsia"/>
                <w:bCs/>
                <w:lang w:eastAsia="zh-CN"/>
              </w:rPr>
              <w:t>企业通常在节前2-3个月提前增产囤货</w:t>
            </w:r>
            <w:r>
              <w:rPr>
                <w:rFonts w:asciiTheme="minorEastAsia" w:hAnsiTheme="minorEastAsia" w:hint="eastAsia"/>
                <w:bCs/>
                <w:lang w:eastAsia="zh-CN"/>
              </w:rPr>
              <w:t>，围绕</w:t>
            </w:r>
            <w:r w:rsidRPr="005765E8">
              <w:rPr>
                <w:rFonts w:asciiTheme="minorEastAsia" w:hAnsiTheme="minorEastAsia" w:hint="eastAsia"/>
                <w:bCs/>
                <w:lang w:eastAsia="zh-CN"/>
              </w:rPr>
              <w:t>斋月及开斋节期间食品、服装等消费需求激增</w:t>
            </w:r>
            <w:r>
              <w:rPr>
                <w:rFonts w:asciiTheme="minorEastAsia" w:hAnsiTheme="minorEastAsia" w:hint="eastAsia"/>
                <w:bCs/>
                <w:lang w:eastAsia="zh-CN"/>
              </w:rPr>
              <w:t>；2025年1-2月，消费者信心指数读数分别为127.2和126.4，显著高于去年同期的125.2和123.3。</w:t>
            </w:r>
            <w:r w:rsidRPr="005765E8">
              <w:rPr>
                <w:rFonts w:asciiTheme="minorEastAsia" w:hAnsiTheme="minorEastAsia" w:hint="eastAsia"/>
                <w:bCs/>
                <w:lang w:eastAsia="zh-CN"/>
              </w:rPr>
              <w:t>庞大国内市场和年轻化</w:t>
            </w:r>
            <w:r>
              <w:rPr>
                <w:rFonts w:asciiTheme="minorEastAsia" w:hAnsiTheme="minorEastAsia" w:hint="eastAsia"/>
                <w:bCs/>
                <w:lang w:eastAsia="zh-CN"/>
              </w:rPr>
              <w:t>的</w:t>
            </w:r>
            <w:r w:rsidRPr="005765E8">
              <w:rPr>
                <w:rFonts w:asciiTheme="minorEastAsia" w:hAnsiTheme="minorEastAsia" w:hint="eastAsia"/>
                <w:bCs/>
                <w:lang w:eastAsia="zh-CN"/>
              </w:rPr>
              <w:t>人口结构</w:t>
            </w:r>
            <w:r>
              <w:rPr>
                <w:rFonts w:asciiTheme="minorEastAsia" w:hAnsiTheme="minorEastAsia" w:hint="eastAsia"/>
                <w:bCs/>
                <w:lang w:eastAsia="zh-CN"/>
              </w:rPr>
              <w:t>带动外商直接投资持续稳健</w:t>
            </w:r>
            <w:r w:rsidRPr="005765E8">
              <w:rPr>
                <w:rFonts w:asciiTheme="minorEastAsia" w:hAnsiTheme="minorEastAsia" w:hint="eastAsia"/>
                <w:bCs/>
                <w:lang w:eastAsia="zh-CN"/>
              </w:rPr>
              <w:t>。</w:t>
            </w:r>
            <w:r w:rsidRPr="00CB6354">
              <w:rPr>
                <w:rFonts w:asciiTheme="minorEastAsia" w:hAnsiTheme="minorEastAsia" w:hint="eastAsia"/>
                <w:bCs/>
                <w:lang w:eastAsia="zh-CN"/>
              </w:rPr>
              <w:t>2025年1-2月，198家外资企业启动新工厂建设，计划创造2.4万个岗位，主要集中在电子、鞋</w:t>
            </w:r>
            <w:r w:rsidRPr="00CB6354">
              <w:rPr>
                <w:rFonts w:asciiTheme="minorEastAsia" w:hAnsiTheme="minorEastAsia" w:hint="eastAsia"/>
                <w:bCs/>
                <w:lang w:eastAsia="zh-CN"/>
              </w:rPr>
              <w:lastRenderedPageBreak/>
              <w:t>类等劳动密集型领域</w:t>
            </w:r>
            <w:r>
              <w:rPr>
                <w:rFonts w:asciiTheme="minorEastAsia" w:hAnsiTheme="minorEastAsia" w:hint="eastAsia"/>
                <w:bCs/>
                <w:lang w:eastAsia="zh-CN"/>
              </w:rPr>
              <w:t>。</w:t>
            </w:r>
          </w:p>
          <w:p w14:paraId="3ADA1488" w14:textId="77777777" w:rsidR="00140775" w:rsidRPr="00555866" w:rsidRDefault="00140775" w:rsidP="00D72849">
            <w:pPr>
              <w:spacing w:beforeLines="50" w:before="163"/>
              <w:ind w:firstLine="480"/>
              <w:rPr>
                <w:rFonts w:asciiTheme="minorEastAsia" w:hAnsiTheme="minorEastAsia"/>
                <w:bCs/>
                <w:lang w:eastAsia="zh-CN"/>
              </w:rPr>
            </w:pPr>
            <w:r>
              <w:rPr>
                <w:rFonts w:asciiTheme="minorEastAsia" w:hAnsiTheme="minorEastAsia" w:hint="eastAsia"/>
                <w:bCs/>
                <w:lang w:eastAsia="zh-CN"/>
              </w:rPr>
              <w:t>以内需为主的菲律宾制造业PMI位于荣枯线以上，但下行态势显著。第1季度读数为50.9，较2024年第4季度下降1.4。月度数据来看，1-3月份读数分别为52.3，51.0和49.4，呈现连续下滑趋势，3月份</w:t>
            </w:r>
            <w:r w:rsidRPr="0044229A">
              <w:rPr>
                <w:rFonts w:asciiTheme="minorEastAsia" w:hAnsiTheme="minorEastAsia" w:hint="eastAsia"/>
                <w:bCs/>
                <w:lang w:eastAsia="zh-CN"/>
              </w:rPr>
              <w:t>为19个月以来首次跌破50的荣枯线</w:t>
            </w:r>
            <w:r>
              <w:rPr>
                <w:rFonts w:asciiTheme="minorEastAsia" w:hAnsiTheme="minorEastAsia" w:hint="eastAsia"/>
                <w:bCs/>
                <w:lang w:eastAsia="zh-CN"/>
              </w:rPr>
              <w:t>。</w:t>
            </w:r>
            <w:r w:rsidRPr="00EC051C">
              <w:rPr>
                <w:rFonts w:asciiTheme="minorEastAsia" w:hAnsiTheme="minorEastAsia" w:hint="eastAsia"/>
                <w:bCs/>
                <w:lang w:eastAsia="zh-CN"/>
              </w:rPr>
              <w:t>由于新业务减少，海外客户需求也有所下降，导致产出下降</w:t>
            </w:r>
            <w:r>
              <w:rPr>
                <w:rFonts w:asciiTheme="minorEastAsia" w:hAnsiTheme="minorEastAsia" w:hint="eastAsia"/>
                <w:bCs/>
                <w:lang w:eastAsia="zh-CN"/>
              </w:rPr>
              <w:t>。</w:t>
            </w:r>
          </w:p>
        </w:tc>
      </w:tr>
      <w:tr w:rsidR="00140775" w14:paraId="7F006B59" w14:textId="77777777" w:rsidTr="00140775">
        <w:trPr>
          <w:gridAfter w:val="2"/>
          <w:wAfter w:w="426" w:type="dxa"/>
          <w:trHeight w:val="1001"/>
          <w:jc w:val="center"/>
        </w:trPr>
        <w:tc>
          <w:tcPr>
            <w:tcW w:w="2075" w:type="dxa"/>
          </w:tcPr>
          <w:p w14:paraId="06A5BE98" w14:textId="77777777" w:rsidR="00140775" w:rsidRDefault="00140775" w:rsidP="000E0157">
            <w:pPr>
              <w:pStyle w:val="-4"/>
            </w:pPr>
            <w:r>
              <w:rPr>
                <w:rFonts w:hint="eastAsia"/>
              </w:rPr>
              <w:lastRenderedPageBreak/>
              <w:t>区内前沿经济体PMI稳定在荣枯线附近。</w:t>
            </w:r>
          </w:p>
        </w:tc>
        <w:tc>
          <w:tcPr>
            <w:tcW w:w="241" w:type="dxa"/>
            <w:gridSpan w:val="3"/>
          </w:tcPr>
          <w:p w14:paraId="1F8D82F2" w14:textId="77777777" w:rsidR="00140775" w:rsidRDefault="00140775" w:rsidP="00D72849">
            <w:pPr>
              <w:keepNext/>
              <w:keepLines/>
              <w:spacing w:before="260" w:after="260"/>
              <w:ind w:firstLine="480"/>
              <w:rPr>
                <w:rFonts w:eastAsia="楷体_GB2312"/>
                <w:lang w:eastAsia="zh-CN"/>
              </w:rPr>
            </w:pPr>
          </w:p>
        </w:tc>
        <w:tc>
          <w:tcPr>
            <w:tcW w:w="7289" w:type="dxa"/>
            <w:gridSpan w:val="3"/>
          </w:tcPr>
          <w:p w14:paraId="12E53A76" w14:textId="0DE999CA" w:rsidR="00140775" w:rsidRPr="002240D1" w:rsidRDefault="00140775" w:rsidP="00D72849">
            <w:pPr>
              <w:spacing w:beforeLines="50" w:before="163"/>
              <w:ind w:firstLineChars="0" w:firstLine="0"/>
              <w:rPr>
                <w:rFonts w:eastAsia="宋体"/>
                <w:bCs/>
                <w:lang w:eastAsia="zh-CN"/>
              </w:rPr>
            </w:pPr>
            <w:r>
              <w:rPr>
                <w:rFonts w:eastAsia="宋体" w:hint="eastAsia"/>
                <w:b/>
                <w:sz w:val="28"/>
                <w:szCs w:val="28"/>
                <w:lang w:eastAsia="zh-CN"/>
              </w:rPr>
              <w:t xml:space="preserve"> </w:t>
            </w:r>
            <w:r>
              <w:rPr>
                <w:rFonts w:eastAsia="宋体"/>
                <w:b/>
                <w:sz w:val="28"/>
                <w:szCs w:val="28"/>
                <w:lang w:eastAsia="zh-CN"/>
              </w:rPr>
              <w:t xml:space="preserve">       </w:t>
            </w:r>
            <w:r>
              <w:rPr>
                <w:rFonts w:eastAsia="宋体" w:hint="eastAsia"/>
                <w:b/>
                <w:lang w:eastAsia="zh-CN"/>
              </w:rPr>
              <w:t>区内前沿经济体的</w:t>
            </w:r>
            <w:r>
              <w:rPr>
                <w:rFonts w:eastAsia="宋体" w:hint="eastAsia"/>
                <w:b/>
                <w:lang w:eastAsia="zh-CN"/>
              </w:rPr>
              <w:t>PMI</w:t>
            </w:r>
            <w:r w:rsidRPr="00EC051C">
              <w:rPr>
                <w:rFonts w:eastAsia="宋体" w:hint="eastAsia"/>
                <w:b/>
                <w:lang w:eastAsia="zh-CN"/>
              </w:rPr>
              <w:t>稳定在荣枯线附近</w:t>
            </w:r>
            <w:r>
              <w:rPr>
                <w:rFonts w:eastAsia="宋体" w:hint="eastAsia"/>
                <w:b/>
                <w:lang w:eastAsia="zh-CN"/>
              </w:rPr>
              <w:t>。</w:t>
            </w:r>
            <w:r>
              <w:rPr>
                <w:rFonts w:eastAsia="宋体" w:hint="eastAsia"/>
                <w:bCs/>
                <w:lang w:eastAsia="zh-CN"/>
              </w:rPr>
              <w:t>从季度读数来看，泰国读数</w:t>
            </w:r>
            <w:r>
              <w:rPr>
                <w:rFonts w:eastAsia="宋体" w:hint="eastAsia"/>
                <w:bCs/>
                <w:lang w:eastAsia="zh-CN"/>
              </w:rPr>
              <w:t>50.0</w:t>
            </w:r>
            <w:r>
              <w:rPr>
                <w:rFonts w:eastAsia="宋体" w:hint="eastAsia"/>
                <w:bCs/>
                <w:lang w:eastAsia="zh-CN"/>
              </w:rPr>
              <w:t>，韩国和越南读数分别为</w:t>
            </w:r>
            <w:r>
              <w:rPr>
                <w:rFonts w:eastAsia="宋体" w:hint="eastAsia"/>
                <w:bCs/>
                <w:lang w:eastAsia="zh-CN"/>
              </w:rPr>
              <w:t>49.7</w:t>
            </w:r>
            <w:r>
              <w:rPr>
                <w:rFonts w:eastAsia="宋体" w:hint="eastAsia"/>
                <w:bCs/>
                <w:lang w:eastAsia="zh-CN"/>
              </w:rPr>
              <w:t>和</w:t>
            </w:r>
            <w:r>
              <w:rPr>
                <w:rFonts w:eastAsia="宋体" w:hint="eastAsia"/>
                <w:bCs/>
                <w:lang w:eastAsia="zh-CN"/>
              </w:rPr>
              <w:t>49.6</w:t>
            </w:r>
            <w:r>
              <w:rPr>
                <w:rFonts w:eastAsia="宋体" w:hint="eastAsia"/>
                <w:bCs/>
                <w:lang w:eastAsia="zh-CN"/>
              </w:rPr>
              <w:t>。月度数据也围绕荣枯线附近波动。其中，</w:t>
            </w:r>
            <w:r w:rsidRPr="00EC051C">
              <w:rPr>
                <w:rFonts w:eastAsia="宋体" w:hint="eastAsia"/>
                <w:bCs/>
                <w:lang w:eastAsia="zh-CN"/>
              </w:rPr>
              <w:t>泰国制造业</w:t>
            </w:r>
            <w:r w:rsidRPr="00EC051C">
              <w:rPr>
                <w:rFonts w:eastAsia="宋体" w:hint="eastAsia"/>
                <w:bCs/>
                <w:lang w:eastAsia="zh-CN"/>
              </w:rPr>
              <w:t>PMI 2</w:t>
            </w:r>
            <w:r w:rsidRPr="00EC051C">
              <w:rPr>
                <w:rFonts w:eastAsia="宋体" w:hint="eastAsia"/>
                <w:bCs/>
                <w:lang w:eastAsia="zh-CN"/>
              </w:rPr>
              <w:t>月份重回</w:t>
            </w:r>
            <w:r w:rsidRPr="00EC051C">
              <w:rPr>
                <w:rFonts w:eastAsia="宋体" w:hint="eastAsia"/>
                <w:bCs/>
                <w:lang w:eastAsia="zh-CN"/>
              </w:rPr>
              <w:t>50</w:t>
            </w:r>
            <w:r w:rsidRPr="00EC051C">
              <w:rPr>
                <w:rFonts w:eastAsia="宋体" w:hint="eastAsia"/>
                <w:bCs/>
                <w:lang w:eastAsia="zh-CN"/>
              </w:rPr>
              <w:t>上方，</w:t>
            </w:r>
            <w:r>
              <w:rPr>
                <w:rFonts w:eastAsia="宋体" w:hint="eastAsia"/>
                <w:bCs/>
                <w:lang w:eastAsia="zh-CN"/>
              </w:rPr>
              <w:t>3</w:t>
            </w:r>
            <w:r>
              <w:rPr>
                <w:rFonts w:eastAsia="宋体" w:hint="eastAsia"/>
                <w:bCs/>
                <w:lang w:eastAsia="zh-CN"/>
              </w:rPr>
              <w:t>月份再次跌至</w:t>
            </w:r>
            <w:r>
              <w:rPr>
                <w:rFonts w:eastAsia="宋体" w:hint="eastAsia"/>
                <w:bCs/>
                <w:lang w:eastAsia="zh-CN"/>
              </w:rPr>
              <w:t>49.9</w:t>
            </w:r>
            <w:r>
              <w:rPr>
                <w:rFonts w:eastAsia="宋体" w:hint="eastAsia"/>
                <w:bCs/>
                <w:lang w:eastAsia="zh-CN"/>
              </w:rPr>
              <w:t>；越南整体呈现缓慢回调趋势，</w:t>
            </w:r>
            <w:r>
              <w:rPr>
                <w:rFonts w:eastAsia="宋体" w:hint="eastAsia"/>
                <w:bCs/>
                <w:lang w:eastAsia="zh-CN"/>
              </w:rPr>
              <w:t>1-3</w:t>
            </w:r>
            <w:r>
              <w:rPr>
                <w:rFonts w:eastAsia="宋体" w:hint="eastAsia"/>
                <w:bCs/>
                <w:lang w:eastAsia="zh-CN"/>
              </w:rPr>
              <w:t>月份读数分别为</w:t>
            </w:r>
            <w:r>
              <w:rPr>
                <w:rFonts w:eastAsia="宋体" w:hint="eastAsia"/>
                <w:bCs/>
                <w:lang w:eastAsia="zh-CN"/>
              </w:rPr>
              <w:t>48.9</w:t>
            </w:r>
            <w:r>
              <w:rPr>
                <w:rFonts w:eastAsia="宋体" w:hint="eastAsia"/>
                <w:bCs/>
                <w:lang w:eastAsia="zh-CN"/>
              </w:rPr>
              <w:t>，</w:t>
            </w:r>
            <w:r>
              <w:rPr>
                <w:rFonts w:eastAsia="宋体" w:hint="eastAsia"/>
                <w:bCs/>
                <w:lang w:eastAsia="zh-CN"/>
              </w:rPr>
              <w:t>49.2</w:t>
            </w:r>
            <w:r>
              <w:rPr>
                <w:rFonts w:eastAsia="宋体" w:hint="eastAsia"/>
                <w:bCs/>
                <w:lang w:eastAsia="zh-CN"/>
              </w:rPr>
              <w:t>和</w:t>
            </w:r>
            <w:r>
              <w:rPr>
                <w:rFonts w:eastAsia="宋体" w:hint="eastAsia"/>
                <w:bCs/>
                <w:lang w:eastAsia="zh-CN"/>
              </w:rPr>
              <w:t>50.8</w:t>
            </w:r>
            <w:r>
              <w:rPr>
                <w:rFonts w:eastAsia="宋体" w:hint="eastAsia"/>
                <w:bCs/>
                <w:lang w:eastAsia="zh-CN"/>
              </w:rPr>
              <w:t>；两国出口增速较快，在一定程度上带动制造业缓慢回升。</w:t>
            </w:r>
            <w:r>
              <w:rPr>
                <w:rFonts w:eastAsia="宋体" w:hint="eastAsia"/>
                <w:bCs/>
                <w:lang w:eastAsia="zh-CN"/>
              </w:rPr>
              <w:t>1-2</w:t>
            </w:r>
            <w:r>
              <w:rPr>
                <w:rFonts w:eastAsia="宋体" w:hint="eastAsia"/>
                <w:bCs/>
                <w:lang w:eastAsia="zh-CN"/>
              </w:rPr>
              <w:t>月，泰国出口同比增速分别为</w:t>
            </w:r>
            <w:r>
              <w:rPr>
                <w:rFonts w:eastAsia="宋体" w:hint="eastAsia"/>
                <w:bCs/>
                <w:lang w:eastAsia="zh-CN"/>
              </w:rPr>
              <w:t>13.6%</w:t>
            </w:r>
            <w:r>
              <w:rPr>
                <w:rFonts w:eastAsia="宋体" w:hint="eastAsia"/>
                <w:bCs/>
                <w:lang w:eastAsia="zh-CN"/>
              </w:rPr>
              <w:t>和</w:t>
            </w:r>
            <w:r>
              <w:rPr>
                <w:rFonts w:eastAsia="宋体" w:hint="eastAsia"/>
                <w:bCs/>
                <w:lang w:eastAsia="zh-CN"/>
              </w:rPr>
              <w:t>14%</w:t>
            </w:r>
            <w:r>
              <w:rPr>
                <w:rFonts w:eastAsia="宋体" w:hint="eastAsia"/>
                <w:bCs/>
                <w:lang w:eastAsia="zh-CN"/>
              </w:rPr>
              <w:t>；越南出口在</w:t>
            </w:r>
            <w:r>
              <w:rPr>
                <w:rFonts w:eastAsia="宋体" w:hint="eastAsia"/>
                <w:bCs/>
                <w:lang w:eastAsia="zh-CN"/>
              </w:rPr>
              <w:t>1</w:t>
            </w:r>
            <w:r>
              <w:rPr>
                <w:rFonts w:eastAsia="宋体" w:hint="eastAsia"/>
                <w:bCs/>
                <w:lang w:eastAsia="zh-CN"/>
              </w:rPr>
              <w:t>月份经历小幅下滑后，</w:t>
            </w:r>
            <w:r>
              <w:rPr>
                <w:rFonts w:eastAsia="宋体" w:hint="eastAsia"/>
                <w:bCs/>
                <w:lang w:eastAsia="zh-CN"/>
              </w:rPr>
              <w:t>2-3</w:t>
            </w:r>
            <w:r>
              <w:rPr>
                <w:rFonts w:eastAsia="宋体" w:hint="eastAsia"/>
                <w:bCs/>
                <w:lang w:eastAsia="zh-CN"/>
              </w:rPr>
              <w:t>月出口同比增速达到</w:t>
            </w:r>
            <w:r>
              <w:rPr>
                <w:rFonts w:eastAsia="宋体" w:hint="eastAsia"/>
                <w:bCs/>
                <w:lang w:eastAsia="zh-CN"/>
              </w:rPr>
              <w:t>25.3%</w:t>
            </w:r>
            <w:r>
              <w:rPr>
                <w:rFonts w:eastAsia="宋体" w:hint="eastAsia"/>
                <w:bCs/>
                <w:lang w:eastAsia="zh-CN"/>
              </w:rPr>
              <w:t>和</w:t>
            </w:r>
            <w:r>
              <w:rPr>
                <w:rFonts w:eastAsia="宋体" w:hint="eastAsia"/>
                <w:bCs/>
                <w:lang w:eastAsia="zh-CN"/>
              </w:rPr>
              <w:t>13.2%</w:t>
            </w:r>
            <w:r>
              <w:rPr>
                <w:rFonts w:eastAsia="宋体" w:hint="eastAsia"/>
                <w:bCs/>
                <w:lang w:eastAsia="zh-CN"/>
              </w:rPr>
              <w:t>。韩国则整体呈现下行态势，</w:t>
            </w:r>
            <w:r>
              <w:rPr>
                <w:rFonts w:eastAsia="宋体" w:hint="eastAsia"/>
                <w:bCs/>
                <w:lang w:eastAsia="zh-CN"/>
              </w:rPr>
              <w:t>1-3</w:t>
            </w:r>
            <w:r>
              <w:rPr>
                <w:rFonts w:eastAsia="宋体" w:hint="eastAsia"/>
                <w:bCs/>
                <w:lang w:eastAsia="zh-CN"/>
              </w:rPr>
              <w:t>月份读数分别为</w:t>
            </w:r>
            <w:r>
              <w:rPr>
                <w:rFonts w:eastAsia="宋体" w:hint="eastAsia"/>
                <w:bCs/>
                <w:lang w:eastAsia="zh-CN"/>
              </w:rPr>
              <w:t>50.3</w:t>
            </w:r>
            <w:r>
              <w:rPr>
                <w:rFonts w:eastAsia="宋体" w:hint="eastAsia"/>
                <w:bCs/>
                <w:lang w:eastAsia="zh-CN"/>
              </w:rPr>
              <w:t>，</w:t>
            </w:r>
            <w:r>
              <w:rPr>
                <w:rFonts w:eastAsia="宋体" w:hint="eastAsia"/>
                <w:bCs/>
                <w:lang w:eastAsia="zh-CN"/>
              </w:rPr>
              <w:t>49.9</w:t>
            </w:r>
            <w:r>
              <w:rPr>
                <w:rFonts w:eastAsia="宋体" w:hint="eastAsia"/>
                <w:bCs/>
                <w:lang w:eastAsia="zh-CN"/>
              </w:rPr>
              <w:t>和</w:t>
            </w:r>
            <w:r>
              <w:rPr>
                <w:rFonts w:eastAsia="宋体" w:hint="eastAsia"/>
                <w:bCs/>
                <w:lang w:eastAsia="zh-CN"/>
              </w:rPr>
              <w:t>49.1</w:t>
            </w:r>
            <w:r>
              <w:rPr>
                <w:rFonts w:eastAsia="宋体" w:hint="eastAsia"/>
                <w:bCs/>
                <w:lang w:eastAsia="zh-CN"/>
              </w:rPr>
              <w:t>。</w:t>
            </w:r>
            <w:r>
              <w:rPr>
                <w:rFonts w:eastAsia="宋体" w:hint="eastAsia"/>
                <w:bCs/>
                <w:lang w:eastAsia="zh-CN"/>
              </w:rPr>
              <w:t>1</w:t>
            </w:r>
            <w:r>
              <w:rPr>
                <w:rFonts w:eastAsia="宋体" w:hint="eastAsia"/>
                <w:bCs/>
                <w:lang w:eastAsia="zh-CN"/>
              </w:rPr>
              <w:t>月份，韩国出口同比下滑近</w:t>
            </w:r>
            <w:r>
              <w:rPr>
                <w:rFonts w:eastAsia="宋体" w:hint="eastAsia"/>
                <w:bCs/>
                <w:lang w:eastAsia="zh-CN"/>
              </w:rPr>
              <w:t>10%</w:t>
            </w:r>
            <w:r>
              <w:rPr>
                <w:rFonts w:eastAsia="宋体" w:hint="eastAsia"/>
                <w:bCs/>
                <w:lang w:eastAsia="zh-CN"/>
              </w:rPr>
              <w:t>，使得国内制造业生产呈现颓势；细分行业来看，</w:t>
            </w:r>
            <w:r w:rsidRPr="00B54AC9">
              <w:rPr>
                <w:rFonts w:eastAsia="宋体" w:hint="eastAsia"/>
                <w:bCs/>
                <w:lang w:eastAsia="zh-CN"/>
              </w:rPr>
              <w:t>汽车制造业、初生金属和机械设备等行业的生产同比下降</w:t>
            </w:r>
            <w:r w:rsidRPr="00B54AC9">
              <w:rPr>
                <w:rFonts w:eastAsia="宋体" w:hint="eastAsia"/>
                <w:bCs/>
                <w:lang w:eastAsia="zh-CN"/>
              </w:rPr>
              <w:t>14.4%</w:t>
            </w:r>
            <w:r w:rsidRPr="00B54AC9">
              <w:rPr>
                <w:rFonts w:eastAsia="宋体" w:hint="eastAsia"/>
                <w:bCs/>
                <w:lang w:eastAsia="zh-CN"/>
              </w:rPr>
              <w:t>、</w:t>
            </w:r>
            <w:r w:rsidRPr="00B54AC9">
              <w:rPr>
                <w:rFonts w:eastAsia="宋体" w:hint="eastAsia"/>
                <w:bCs/>
                <w:lang w:eastAsia="zh-CN"/>
              </w:rPr>
              <w:t>11.4%</w:t>
            </w:r>
            <w:r w:rsidRPr="00B54AC9">
              <w:rPr>
                <w:rFonts w:eastAsia="宋体" w:hint="eastAsia"/>
                <w:bCs/>
                <w:lang w:eastAsia="zh-CN"/>
              </w:rPr>
              <w:t>和</w:t>
            </w:r>
            <w:r w:rsidRPr="00B54AC9">
              <w:rPr>
                <w:rFonts w:eastAsia="宋体" w:hint="eastAsia"/>
                <w:bCs/>
                <w:lang w:eastAsia="zh-CN"/>
              </w:rPr>
              <w:t>7.5%</w:t>
            </w:r>
            <w:r>
              <w:rPr>
                <w:rFonts w:eastAsia="宋体" w:hint="eastAsia"/>
                <w:bCs/>
                <w:lang w:eastAsia="zh-CN"/>
              </w:rPr>
              <w:t>。对此，</w:t>
            </w:r>
            <w:r w:rsidRPr="001561F3">
              <w:rPr>
                <w:rFonts w:eastAsia="宋体" w:hint="eastAsia"/>
                <w:bCs/>
                <w:lang w:eastAsia="zh-CN"/>
              </w:rPr>
              <w:t>2</w:t>
            </w:r>
            <w:r w:rsidRPr="001561F3">
              <w:rPr>
                <w:rFonts w:eastAsia="宋体" w:hint="eastAsia"/>
                <w:bCs/>
                <w:lang w:eastAsia="zh-CN"/>
              </w:rPr>
              <w:t>月韩国产业通商资源部（</w:t>
            </w:r>
            <w:r w:rsidRPr="001561F3">
              <w:rPr>
                <w:rFonts w:eastAsia="宋体" w:hint="eastAsia"/>
                <w:bCs/>
                <w:lang w:eastAsia="zh-CN"/>
              </w:rPr>
              <w:t>MOTIE</w:t>
            </w:r>
            <w:r w:rsidRPr="001561F3">
              <w:rPr>
                <w:rFonts w:eastAsia="宋体" w:hint="eastAsia"/>
                <w:bCs/>
                <w:lang w:eastAsia="zh-CN"/>
              </w:rPr>
              <w:t>）</w:t>
            </w:r>
            <w:r>
              <w:rPr>
                <w:rFonts w:eastAsia="宋体" w:hint="eastAsia"/>
                <w:bCs/>
                <w:lang w:eastAsia="zh-CN"/>
              </w:rPr>
              <w:t>的</w:t>
            </w:r>
            <w:r w:rsidRPr="001561F3">
              <w:rPr>
                <w:rFonts w:eastAsia="宋体" w:hint="eastAsia"/>
                <w:bCs/>
                <w:lang w:eastAsia="zh-CN"/>
              </w:rPr>
              <w:t>第五次产业投资战略会议</w:t>
            </w:r>
            <w:r>
              <w:rPr>
                <w:rFonts w:eastAsia="宋体" w:hint="eastAsia"/>
                <w:bCs/>
                <w:lang w:eastAsia="zh-CN"/>
              </w:rPr>
              <w:t>上，商定</w:t>
            </w:r>
            <w:r w:rsidRPr="001561F3">
              <w:rPr>
                <w:rFonts w:eastAsia="宋体" w:hint="eastAsia"/>
                <w:bCs/>
                <w:lang w:eastAsia="zh-CN"/>
              </w:rPr>
              <w:t>韩国十大制造业计划投资</w:t>
            </w:r>
            <w:r w:rsidRPr="001561F3">
              <w:rPr>
                <w:rFonts w:eastAsia="宋体" w:hint="eastAsia"/>
                <w:bCs/>
                <w:lang w:eastAsia="zh-CN"/>
              </w:rPr>
              <w:t>119</w:t>
            </w:r>
            <w:r w:rsidRPr="001561F3">
              <w:rPr>
                <w:rFonts w:eastAsia="宋体" w:hint="eastAsia"/>
                <w:bCs/>
                <w:lang w:eastAsia="zh-CN"/>
              </w:rPr>
              <w:t>万亿韩元（约合</w:t>
            </w:r>
            <w:r w:rsidRPr="001561F3">
              <w:rPr>
                <w:rFonts w:eastAsia="宋体" w:hint="eastAsia"/>
                <w:bCs/>
                <w:lang w:eastAsia="zh-CN"/>
              </w:rPr>
              <w:t>820</w:t>
            </w:r>
            <w:r w:rsidRPr="001561F3">
              <w:rPr>
                <w:rFonts w:eastAsia="宋体" w:hint="eastAsia"/>
                <w:bCs/>
                <w:lang w:eastAsia="zh-CN"/>
              </w:rPr>
              <w:t>亿美元），</w:t>
            </w:r>
            <w:r>
              <w:rPr>
                <w:rFonts w:eastAsia="宋体" w:hint="eastAsia"/>
                <w:bCs/>
                <w:lang w:eastAsia="zh-CN"/>
              </w:rPr>
              <w:t>同比</w:t>
            </w:r>
            <w:r w:rsidRPr="001561F3">
              <w:rPr>
                <w:rFonts w:eastAsia="宋体" w:hint="eastAsia"/>
                <w:bCs/>
                <w:lang w:eastAsia="zh-CN"/>
              </w:rPr>
              <w:t>增长</w:t>
            </w:r>
            <w:r w:rsidRPr="001561F3">
              <w:rPr>
                <w:rFonts w:eastAsia="宋体" w:hint="eastAsia"/>
                <w:bCs/>
                <w:lang w:eastAsia="zh-CN"/>
              </w:rPr>
              <w:t>7%</w:t>
            </w:r>
            <w:r w:rsidRPr="001561F3">
              <w:rPr>
                <w:rFonts w:eastAsia="宋体" w:hint="eastAsia"/>
                <w:bCs/>
                <w:lang w:eastAsia="zh-CN"/>
              </w:rPr>
              <w:t>。</w:t>
            </w:r>
            <w:r>
              <w:rPr>
                <w:rFonts w:eastAsia="宋体" w:hint="eastAsia"/>
                <w:bCs/>
                <w:lang w:eastAsia="zh-CN"/>
              </w:rPr>
              <w:t>整体而言，</w:t>
            </w:r>
            <w:r w:rsidR="00642F6A" w:rsidRPr="00642F6A">
              <w:rPr>
                <w:rFonts w:eastAsia="宋体" w:hint="eastAsia"/>
                <w:bCs/>
                <w:lang w:eastAsia="zh-CN"/>
              </w:rPr>
              <w:t>前沿</w:t>
            </w:r>
            <w:r>
              <w:rPr>
                <w:rFonts w:eastAsia="宋体" w:hint="eastAsia"/>
                <w:bCs/>
                <w:lang w:eastAsia="zh-CN"/>
              </w:rPr>
              <w:t>经济体对贸易依赖度较高，贸易政策不确定性下经济上行压力较大。</w:t>
            </w:r>
          </w:p>
        </w:tc>
      </w:tr>
      <w:tr w:rsidR="00140775" w14:paraId="36AA920B" w14:textId="77777777" w:rsidTr="00140775">
        <w:trPr>
          <w:gridAfter w:val="2"/>
          <w:wAfter w:w="426" w:type="dxa"/>
          <w:trHeight w:val="1001"/>
          <w:jc w:val="center"/>
        </w:trPr>
        <w:tc>
          <w:tcPr>
            <w:tcW w:w="2075" w:type="dxa"/>
          </w:tcPr>
          <w:p w14:paraId="4E233529" w14:textId="77777777" w:rsidR="00140775" w:rsidRDefault="00140775" w:rsidP="000E0157">
            <w:pPr>
              <w:pStyle w:val="-4"/>
            </w:pPr>
            <w:r>
              <w:rPr>
                <w:rFonts w:hint="eastAsia"/>
              </w:rPr>
              <w:t>新加坡表现相对稳健，马来西亚仍处于荣枯线以下。</w:t>
            </w:r>
          </w:p>
        </w:tc>
        <w:tc>
          <w:tcPr>
            <w:tcW w:w="241" w:type="dxa"/>
            <w:gridSpan w:val="3"/>
          </w:tcPr>
          <w:p w14:paraId="37BB3B3D" w14:textId="77777777" w:rsidR="00140775" w:rsidRDefault="00140775" w:rsidP="00D72849">
            <w:pPr>
              <w:keepNext/>
              <w:keepLines/>
              <w:spacing w:before="260" w:after="260"/>
              <w:ind w:firstLine="480"/>
              <w:rPr>
                <w:rFonts w:eastAsia="楷体_GB2312"/>
                <w:lang w:eastAsia="zh-CN"/>
              </w:rPr>
            </w:pPr>
          </w:p>
        </w:tc>
        <w:tc>
          <w:tcPr>
            <w:tcW w:w="7289" w:type="dxa"/>
            <w:gridSpan w:val="3"/>
          </w:tcPr>
          <w:p w14:paraId="24DC68BB" w14:textId="77777777" w:rsidR="00140775" w:rsidRPr="00555866" w:rsidRDefault="00140775" w:rsidP="00D72849">
            <w:pPr>
              <w:spacing w:beforeLines="50" w:before="163"/>
              <w:ind w:firstLine="482"/>
              <w:rPr>
                <w:rFonts w:asciiTheme="minorEastAsia" w:hAnsiTheme="minorEastAsia"/>
                <w:bCs/>
                <w:lang w:eastAsia="zh-CN"/>
              </w:rPr>
            </w:pPr>
            <w:r w:rsidRPr="000D53CE">
              <w:rPr>
                <w:rFonts w:asciiTheme="minorEastAsia" w:hAnsiTheme="minorEastAsia" w:hint="eastAsia"/>
                <w:b/>
                <w:lang w:eastAsia="zh-CN"/>
              </w:rPr>
              <w:t>新加坡表现相对稳健，马来西亚</w:t>
            </w:r>
            <w:r w:rsidRPr="00555866">
              <w:rPr>
                <w:rFonts w:asciiTheme="minorEastAsia" w:hAnsiTheme="minorEastAsia" w:hint="eastAsia"/>
                <w:b/>
                <w:lang w:eastAsia="zh-CN"/>
              </w:rPr>
              <w:t>仍处于荣枯线以下</w:t>
            </w:r>
            <w:r>
              <w:rPr>
                <w:rFonts w:asciiTheme="minorEastAsia" w:hAnsiTheme="minorEastAsia" w:hint="eastAsia"/>
                <w:b/>
                <w:lang w:eastAsia="zh-CN"/>
              </w:rPr>
              <w:t>。</w:t>
            </w:r>
            <w:r>
              <w:rPr>
                <w:rFonts w:asciiTheme="minorEastAsia" w:hAnsiTheme="minorEastAsia" w:hint="eastAsia"/>
                <w:bCs/>
                <w:lang w:eastAsia="zh-CN"/>
              </w:rPr>
              <w:t>新加坡和马来西亚第1季度PMI分别读数50.7和49.1，基本和第4季度持平。月度数据来看，新加坡表现相对稳健，1-3月份读数分别为50.9、50.7和50.6。马来西亚制造业PMI连续处于荣枯线以下，1-3月份读数分别为48.7、49.7和48.8。</w:t>
            </w:r>
          </w:p>
        </w:tc>
      </w:tr>
      <w:tr w:rsidR="00140775" w14:paraId="5EA5810A" w14:textId="77777777" w:rsidTr="00140775">
        <w:trPr>
          <w:gridAfter w:val="2"/>
          <w:wAfter w:w="426" w:type="dxa"/>
          <w:trHeight w:val="1001"/>
          <w:jc w:val="center"/>
        </w:trPr>
        <w:tc>
          <w:tcPr>
            <w:tcW w:w="9605" w:type="dxa"/>
            <w:gridSpan w:val="7"/>
            <w:vAlign w:val="center"/>
          </w:tcPr>
          <w:p w14:paraId="48B18E1B" w14:textId="67AADD58" w:rsidR="00140775" w:rsidRDefault="00DB2622" w:rsidP="00D37774">
            <w:pPr>
              <w:pStyle w:val="a4"/>
              <w:rPr>
                <w:sz w:val="28"/>
                <w:szCs w:val="28"/>
              </w:rPr>
            </w:pPr>
            <w:bookmarkStart w:id="46" w:name="_Toc196399431"/>
            <w:r>
              <w:rPr>
                <w:rFonts w:hint="eastAsia"/>
              </w:rPr>
              <w:lastRenderedPageBreak/>
              <w:t xml:space="preserve">图表 </w:t>
            </w:r>
            <w:r>
              <w:rPr>
                <w:rFonts w:hint="eastAsia"/>
              </w:rPr>
              <w:fldChar w:fldCharType="begin"/>
            </w:r>
            <w:r>
              <w:rPr>
                <w:rFonts w:hint="eastAsia"/>
              </w:rPr>
              <w:instrText xml:space="preserve"> SEQ 图表 \* ARABIC </w:instrText>
            </w:r>
            <w:r>
              <w:rPr>
                <w:rFonts w:hint="eastAsia"/>
              </w:rPr>
              <w:fldChar w:fldCharType="separate"/>
            </w:r>
            <w:r w:rsidR="00530ED7">
              <w:rPr>
                <w:rFonts w:hint="eastAsia"/>
                <w:noProof/>
              </w:rPr>
              <w:t>20</w:t>
            </w:r>
            <w:r>
              <w:rPr>
                <w:rFonts w:hint="eastAsia"/>
              </w:rPr>
              <w:fldChar w:fldCharType="end"/>
            </w:r>
            <w:r w:rsidR="00140775">
              <w:t xml:space="preserve">  </w:t>
            </w:r>
            <w:r w:rsidR="00140775">
              <w:rPr>
                <w:rFonts w:hint="eastAsia"/>
              </w:rPr>
              <w:t>东盟六国与韩国第1季度制造业PMI</w:t>
            </w:r>
            <w:bookmarkEnd w:id="46"/>
          </w:p>
        </w:tc>
      </w:tr>
      <w:tr w:rsidR="00140775" w14:paraId="2F2A9DCA" w14:textId="77777777" w:rsidTr="00140775">
        <w:trPr>
          <w:gridAfter w:val="2"/>
          <w:wAfter w:w="426" w:type="dxa"/>
          <w:trHeight w:val="1001"/>
          <w:jc w:val="center"/>
        </w:trPr>
        <w:tc>
          <w:tcPr>
            <w:tcW w:w="4873" w:type="dxa"/>
            <w:gridSpan w:val="6"/>
          </w:tcPr>
          <w:p w14:paraId="0E5457AB" w14:textId="77777777" w:rsidR="00140775" w:rsidRDefault="00140775" w:rsidP="00D72849">
            <w:pPr>
              <w:ind w:firstLineChars="0" w:firstLine="0"/>
              <w:rPr>
                <w:rFonts w:eastAsia="楷体"/>
                <w:b/>
                <w:sz w:val="21"/>
                <w:szCs w:val="21"/>
                <w:lang w:eastAsia="zh-CN"/>
              </w:rPr>
            </w:pPr>
            <w:r>
              <w:rPr>
                <w:noProof/>
                <w:lang w:eastAsia="zh-CN"/>
              </w:rPr>
              <w:t xml:space="preserve"> </w:t>
            </w:r>
            <w:r>
              <w:rPr>
                <w:noProof/>
                <w:lang w:eastAsia="zh-CN" w:bidi="ar-SA"/>
              </w:rPr>
              <w:drawing>
                <wp:inline distT="0" distB="0" distL="0" distR="0" wp14:anchorId="1A2688BA" wp14:editId="6C4BEAB5">
                  <wp:extent cx="2904979" cy="2092325"/>
                  <wp:effectExtent l="0" t="0" r="10160" b="3175"/>
                  <wp:docPr id="1039079241" name="图表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c>
        <w:tc>
          <w:tcPr>
            <w:tcW w:w="4732" w:type="dxa"/>
          </w:tcPr>
          <w:p w14:paraId="54B3F856" w14:textId="77777777" w:rsidR="00140775" w:rsidRDefault="00140775" w:rsidP="00D72849">
            <w:pPr>
              <w:ind w:firstLineChars="0" w:firstLine="0"/>
              <w:rPr>
                <w:noProof/>
              </w:rPr>
            </w:pPr>
          </w:p>
          <w:p w14:paraId="174AE472" w14:textId="77777777" w:rsidR="00140775" w:rsidRDefault="00140775" w:rsidP="00D72849">
            <w:pPr>
              <w:ind w:firstLineChars="0" w:firstLine="0"/>
              <w:rPr>
                <w:rFonts w:eastAsia="楷体"/>
                <w:b/>
                <w:sz w:val="21"/>
                <w:szCs w:val="21"/>
                <w:lang w:eastAsia="zh-CN"/>
              </w:rPr>
            </w:pPr>
            <w:r>
              <w:rPr>
                <w:noProof/>
                <w:lang w:eastAsia="zh-CN" w:bidi="ar-SA"/>
              </w:rPr>
              <w:drawing>
                <wp:inline distT="0" distB="0" distL="0" distR="0" wp14:anchorId="7263603A" wp14:editId="40AA6481">
                  <wp:extent cx="2771335" cy="2075180"/>
                  <wp:effectExtent l="0" t="0" r="10160" b="1270"/>
                  <wp:docPr id="677583507" name="图表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r>
              <w:rPr>
                <w:noProof/>
              </w:rPr>
              <w:t xml:space="preserve"> </w:t>
            </w:r>
          </w:p>
        </w:tc>
      </w:tr>
      <w:tr w:rsidR="00140775" w14:paraId="78CE0170" w14:textId="77777777" w:rsidTr="00140775">
        <w:trPr>
          <w:gridAfter w:val="2"/>
          <w:wAfter w:w="426" w:type="dxa"/>
          <w:trHeight w:val="1001"/>
          <w:jc w:val="center"/>
        </w:trPr>
        <w:tc>
          <w:tcPr>
            <w:tcW w:w="2075" w:type="dxa"/>
          </w:tcPr>
          <w:p w14:paraId="113481C8" w14:textId="77777777" w:rsidR="000E0157" w:rsidRDefault="000E0157" w:rsidP="000E0157">
            <w:pPr>
              <w:pStyle w:val="-4"/>
            </w:pPr>
          </w:p>
          <w:p w14:paraId="10F426F4" w14:textId="073ED9C1" w:rsidR="00140775" w:rsidRDefault="00140775" w:rsidP="000E0157">
            <w:pPr>
              <w:pStyle w:val="-4"/>
            </w:pPr>
            <w:r>
              <w:rPr>
                <w:rFonts w:hint="eastAsia"/>
              </w:rPr>
              <w:t>区内通胀在本季度出现分化。</w:t>
            </w:r>
          </w:p>
        </w:tc>
        <w:tc>
          <w:tcPr>
            <w:tcW w:w="241" w:type="dxa"/>
            <w:gridSpan w:val="3"/>
          </w:tcPr>
          <w:p w14:paraId="01870695" w14:textId="77777777" w:rsidR="00140775" w:rsidRDefault="00140775" w:rsidP="00D72849">
            <w:pPr>
              <w:keepNext/>
              <w:keepLines/>
              <w:spacing w:before="260" w:after="260"/>
              <w:ind w:firstLine="480"/>
              <w:rPr>
                <w:rFonts w:eastAsia="楷体_GB2312"/>
                <w:lang w:eastAsia="zh-CN"/>
              </w:rPr>
            </w:pPr>
          </w:p>
        </w:tc>
        <w:tc>
          <w:tcPr>
            <w:tcW w:w="7289" w:type="dxa"/>
            <w:gridSpan w:val="3"/>
          </w:tcPr>
          <w:p w14:paraId="34142E7D" w14:textId="77777777" w:rsidR="00140775" w:rsidRPr="003C046B" w:rsidRDefault="00140775" w:rsidP="00D72849">
            <w:pPr>
              <w:ind w:firstLineChars="0" w:firstLine="0"/>
              <w:rPr>
                <w:rFonts w:eastAsia="宋体"/>
                <w:b/>
                <w:sz w:val="28"/>
                <w:szCs w:val="28"/>
                <w:lang w:eastAsia="zh-CN"/>
              </w:rPr>
            </w:pPr>
            <w:r>
              <w:rPr>
                <w:rFonts w:eastAsia="宋体" w:hint="eastAsia"/>
                <w:b/>
                <w:sz w:val="28"/>
                <w:szCs w:val="28"/>
                <w:lang w:eastAsia="zh-CN"/>
              </w:rPr>
              <w:t>二、区内通货膨胀</w:t>
            </w:r>
            <w:r w:rsidRPr="003C046B">
              <w:rPr>
                <w:rFonts w:eastAsia="宋体" w:hint="eastAsia"/>
                <w:b/>
                <w:sz w:val="28"/>
                <w:szCs w:val="28"/>
                <w:lang w:eastAsia="zh-CN"/>
              </w:rPr>
              <w:t>出现分化</w:t>
            </w:r>
          </w:p>
          <w:p w14:paraId="05483945" w14:textId="77777777" w:rsidR="00140775" w:rsidRDefault="00140775" w:rsidP="00D72849">
            <w:pPr>
              <w:spacing w:beforeLines="50" w:before="163"/>
              <w:ind w:firstLineChars="0" w:firstLine="0"/>
              <w:rPr>
                <w:rFonts w:eastAsia="宋体"/>
                <w:bCs/>
                <w:lang w:eastAsia="zh-CN"/>
              </w:rPr>
            </w:pPr>
            <w:r>
              <w:rPr>
                <w:rFonts w:eastAsia="宋体" w:hint="eastAsia"/>
                <w:b/>
                <w:lang w:eastAsia="zh-CN"/>
              </w:rPr>
              <w:t xml:space="preserve"> </w:t>
            </w:r>
            <w:r>
              <w:rPr>
                <w:rFonts w:eastAsia="宋体"/>
                <w:b/>
                <w:lang w:eastAsia="zh-CN"/>
              </w:rPr>
              <w:t xml:space="preserve">       </w:t>
            </w:r>
            <w:r>
              <w:rPr>
                <w:rFonts w:eastAsia="宋体" w:hint="eastAsia"/>
                <w:b/>
                <w:lang w:eastAsia="zh-CN"/>
              </w:rPr>
              <w:t>区内通胀在本季度出现分化。</w:t>
            </w:r>
            <w:r w:rsidRPr="002A10F2">
              <w:rPr>
                <w:rFonts w:eastAsia="宋体" w:hint="eastAsia"/>
                <w:b/>
                <w:lang w:eastAsia="zh-CN"/>
              </w:rPr>
              <w:t>前沿经济体通货膨胀有上行态势，部分内需经济体要警惕进入紧缩区间</w:t>
            </w:r>
            <w:r>
              <w:rPr>
                <w:rFonts w:eastAsia="宋体" w:hint="eastAsia"/>
                <w:bCs/>
                <w:lang w:eastAsia="zh-CN"/>
              </w:rPr>
              <w:t>。具体表现为越南和韩国通货膨胀水平有小幅反弹趋势。</w:t>
            </w:r>
            <w:r>
              <w:rPr>
                <w:rFonts w:eastAsia="宋体" w:hint="eastAsia"/>
                <w:bCs/>
                <w:lang w:eastAsia="zh-CN"/>
              </w:rPr>
              <w:t>1-3</w:t>
            </w:r>
            <w:r>
              <w:rPr>
                <w:rFonts w:eastAsia="宋体" w:hint="eastAsia"/>
                <w:bCs/>
                <w:lang w:eastAsia="zh-CN"/>
              </w:rPr>
              <w:t>月份，越南</w:t>
            </w:r>
            <w:r>
              <w:rPr>
                <w:rFonts w:eastAsia="宋体" w:hint="eastAsia"/>
                <w:bCs/>
                <w:lang w:eastAsia="zh-CN"/>
              </w:rPr>
              <w:t>CPI</w:t>
            </w:r>
            <w:r>
              <w:rPr>
                <w:rFonts w:eastAsia="宋体" w:hint="eastAsia"/>
                <w:bCs/>
                <w:lang w:eastAsia="zh-CN"/>
              </w:rPr>
              <w:t>同比增速读数分别为</w:t>
            </w:r>
            <w:r>
              <w:rPr>
                <w:rFonts w:eastAsia="宋体" w:hint="eastAsia"/>
                <w:bCs/>
                <w:lang w:eastAsia="zh-CN"/>
              </w:rPr>
              <w:t>3.6%</w:t>
            </w:r>
            <w:r>
              <w:rPr>
                <w:rFonts w:eastAsia="宋体" w:hint="eastAsia"/>
                <w:bCs/>
                <w:lang w:eastAsia="zh-CN"/>
              </w:rPr>
              <w:t>、</w:t>
            </w:r>
            <w:r>
              <w:rPr>
                <w:rFonts w:eastAsia="宋体" w:hint="eastAsia"/>
                <w:bCs/>
                <w:lang w:eastAsia="zh-CN"/>
              </w:rPr>
              <w:t>2.9%</w:t>
            </w:r>
            <w:r>
              <w:rPr>
                <w:rFonts w:eastAsia="宋体" w:hint="eastAsia"/>
                <w:bCs/>
                <w:lang w:eastAsia="zh-CN"/>
              </w:rPr>
              <w:t>和</w:t>
            </w:r>
            <w:r>
              <w:rPr>
                <w:rFonts w:eastAsia="宋体" w:hint="eastAsia"/>
                <w:bCs/>
                <w:lang w:eastAsia="zh-CN"/>
              </w:rPr>
              <w:t>3.1%</w:t>
            </w:r>
            <w:r>
              <w:rPr>
                <w:rFonts w:eastAsia="宋体" w:hint="eastAsia"/>
                <w:bCs/>
                <w:lang w:eastAsia="zh-CN"/>
              </w:rPr>
              <w:t>，均高于</w:t>
            </w:r>
            <w:r>
              <w:rPr>
                <w:rFonts w:eastAsia="宋体" w:hint="eastAsia"/>
                <w:bCs/>
                <w:lang w:eastAsia="zh-CN"/>
              </w:rPr>
              <w:t>2024</w:t>
            </w:r>
            <w:r>
              <w:rPr>
                <w:rFonts w:eastAsia="宋体" w:hint="eastAsia"/>
                <w:bCs/>
                <w:lang w:eastAsia="zh-CN"/>
              </w:rPr>
              <w:t>年第</w:t>
            </w:r>
            <w:r>
              <w:rPr>
                <w:rFonts w:eastAsia="宋体" w:hint="eastAsia"/>
                <w:bCs/>
                <w:lang w:eastAsia="zh-CN"/>
              </w:rPr>
              <w:t>4</w:t>
            </w:r>
            <w:r>
              <w:rPr>
                <w:rFonts w:eastAsia="宋体" w:hint="eastAsia"/>
                <w:bCs/>
                <w:lang w:eastAsia="zh-CN"/>
              </w:rPr>
              <w:t>季度均值。越南通货膨胀的小幅反弹主要有医药保健和房屋建筑材料两大细分行业推动，其中前者同期</w:t>
            </w:r>
            <w:r>
              <w:rPr>
                <w:rFonts w:eastAsia="宋体" w:hint="eastAsia"/>
                <w:bCs/>
                <w:lang w:eastAsia="zh-CN"/>
              </w:rPr>
              <w:t>CPI</w:t>
            </w:r>
            <w:r>
              <w:rPr>
                <w:rFonts w:eastAsia="宋体" w:hint="eastAsia"/>
                <w:bCs/>
                <w:lang w:eastAsia="zh-CN"/>
              </w:rPr>
              <w:t>同比增速均超过</w:t>
            </w:r>
            <w:r>
              <w:rPr>
                <w:rFonts w:eastAsia="宋体" w:hint="eastAsia"/>
                <w:bCs/>
                <w:lang w:eastAsia="zh-CN"/>
              </w:rPr>
              <w:t>14%</w:t>
            </w:r>
            <w:r>
              <w:rPr>
                <w:rFonts w:eastAsia="宋体" w:hint="eastAsia"/>
                <w:bCs/>
                <w:lang w:eastAsia="zh-CN"/>
              </w:rPr>
              <w:t>，后者读数平均也得到</w:t>
            </w:r>
            <w:r>
              <w:rPr>
                <w:rFonts w:eastAsia="宋体" w:hint="eastAsia"/>
                <w:bCs/>
                <w:lang w:eastAsia="zh-CN"/>
              </w:rPr>
              <w:t>5%</w:t>
            </w:r>
            <w:r>
              <w:rPr>
                <w:rFonts w:eastAsia="宋体" w:hint="eastAsia"/>
                <w:bCs/>
                <w:lang w:eastAsia="zh-CN"/>
              </w:rPr>
              <w:t>。同期，韩国</w:t>
            </w:r>
            <w:r>
              <w:rPr>
                <w:rFonts w:eastAsia="宋体" w:hint="eastAsia"/>
                <w:bCs/>
                <w:lang w:eastAsia="zh-CN"/>
              </w:rPr>
              <w:t>CPI</w:t>
            </w:r>
            <w:r>
              <w:rPr>
                <w:rFonts w:eastAsia="宋体" w:hint="eastAsia"/>
                <w:bCs/>
                <w:lang w:eastAsia="zh-CN"/>
              </w:rPr>
              <w:t>同比增速读数也较</w:t>
            </w:r>
            <w:r>
              <w:rPr>
                <w:rFonts w:eastAsia="宋体" w:hint="eastAsia"/>
                <w:bCs/>
                <w:lang w:eastAsia="zh-CN"/>
              </w:rPr>
              <w:t>2024</w:t>
            </w:r>
            <w:r>
              <w:rPr>
                <w:rFonts w:eastAsia="宋体" w:hint="eastAsia"/>
                <w:bCs/>
                <w:lang w:eastAsia="zh-CN"/>
              </w:rPr>
              <w:t>年第</w:t>
            </w:r>
            <w:r>
              <w:rPr>
                <w:rFonts w:eastAsia="宋体" w:hint="eastAsia"/>
                <w:bCs/>
                <w:lang w:eastAsia="zh-CN"/>
              </w:rPr>
              <w:t>4</w:t>
            </w:r>
            <w:r>
              <w:rPr>
                <w:rFonts w:eastAsia="宋体" w:hint="eastAsia"/>
                <w:bCs/>
                <w:lang w:eastAsia="zh-CN"/>
              </w:rPr>
              <w:t>季度有所回升，读数分别为</w:t>
            </w:r>
            <w:r>
              <w:rPr>
                <w:rFonts w:eastAsia="宋体" w:hint="eastAsia"/>
                <w:bCs/>
                <w:lang w:eastAsia="zh-CN"/>
              </w:rPr>
              <w:t>2.0%</w:t>
            </w:r>
            <w:r>
              <w:rPr>
                <w:rFonts w:eastAsia="宋体" w:hint="eastAsia"/>
                <w:bCs/>
                <w:lang w:eastAsia="zh-CN"/>
              </w:rPr>
              <w:t>，</w:t>
            </w:r>
            <w:r>
              <w:rPr>
                <w:rFonts w:eastAsia="宋体" w:hint="eastAsia"/>
                <w:bCs/>
                <w:lang w:eastAsia="zh-CN"/>
              </w:rPr>
              <w:t>1.9%</w:t>
            </w:r>
            <w:r>
              <w:rPr>
                <w:rFonts w:eastAsia="宋体" w:hint="eastAsia"/>
                <w:bCs/>
                <w:lang w:eastAsia="zh-CN"/>
              </w:rPr>
              <w:t>和</w:t>
            </w:r>
            <w:r>
              <w:rPr>
                <w:rFonts w:eastAsia="宋体" w:hint="eastAsia"/>
                <w:bCs/>
                <w:lang w:eastAsia="zh-CN"/>
              </w:rPr>
              <w:t>2.1%</w:t>
            </w:r>
            <w:r>
              <w:rPr>
                <w:rFonts w:eastAsia="宋体" w:hint="eastAsia"/>
                <w:bCs/>
                <w:lang w:eastAsia="zh-CN"/>
              </w:rPr>
              <w:t>，略高于全</w:t>
            </w:r>
            <w:r w:rsidRPr="00531AFB">
              <w:rPr>
                <w:rFonts w:eastAsia="宋体" w:hint="eastAsia"/>
                <w:bCs/>
                <w:lang w:eastAsia="zh-CN"/>
              </w:rPr>
              <w:t>年</w:t>
            </w:r>
            <w:r w:rsidRPr="00531AFB">
              <w:rPr>
                <w:rFonts w:eastAsia="宋体" w:hint="eastAsia"/>
                <w:bCs/>
                <w:lang w:eastAsia="zh-CN"/>
              </w:rPr>
              <w:t>1.9%</w:t>
            </w:r>
            <w:r w:rsidRPr="00531AFB">
              <w:rPr>
                <w:rFonts w:eastAsia="宋体" w:hint="eastAsia"/>
                <w:bCs/>
                <w:lang w:eastAsia="zh-CN"/>
              </w:rPr>
              <w:t>的通胀率预测</w:t>
            </w:r>
            <w:r>
              <w:rPr>
                <w:rFonts w:eastAsia="宋体" w:hint="eastAsia"/>
                <w:bCs/>
                <w:lang w:eastAsia="zh-CN"/>
              </w:rPr>
              <w:t>。本次</w:t>
            </w:r>
            <w:r>
              <w:rPr>
                <w:rFonts w:eastAsia="宋体" w:hint="eastAsia"/>
                <w:bCs/>
                <w:lang w:eastAsia="zh-CN"/>
              </w:rPr>
              <w:t>CPI</w:t>
            </w:r>
            <w:r>
              <w:rPr>
                <w:rFonts w:eastAsia="宋体" w:hint="eastAsia"/>
                <w:bCs/>
                <w:lang w:eastAsia="zh-CN"/>
              </w:rPr>
              <w:t>上行主要是蔬菜、水果等产品价格的大幅上涨引致的。韩国央行认为通货膨胀水平</w:t>
            </w:r>
            <w:r w:rsidRPr="00531AFB">
              <w:rPr>
                <w:rFonts w:eastAsia="宋体" w:hint="eastAsia"/>
                <w:bCs/>
                <w:lang w:eastAsia="zh-CN"/>
              </w:rPr>
              <w:t>稳定</w:t>
            </w:r>
            <w:r>
              <w:rPr>
                <w:rFonts w:eastAsia="宋体" w:hint="eastAsia"/>
                <w:bCs/>
                <w:lang w:eastAsia="zh-CN"/>
              </w:rPr>
              <w:t>可控，</w:t>
            </w:r>
            <w:r w:rsidRPr="00531AFB">
              <w:rPr>
                <w:rFonts w:eastAsia="宋体" w:hint="eastAsia"/>
                <w:bCs/>
                <w:lang w:eastAsia="zh-CN"/>
              </w:rPr>
              <w:t>在</w:t>
            </w:r>
            <w:r w:rsidRPr="00531AFB">
              <w:rPr>
                <w:rFonts w:eastAsia="宋体" w:hint="eastAsia"/>
                <w:bCs/>
                <w:lang w:eastAsia="zh-CN"/>
              </w:rPr>
              <w:t>2</w:t>
            </w:r>
            <w:r w:rsidRPr="00531AFB">
              <w:rPr>
                <w:rFonts w:eastAsia="宋体" w:hint="eastAsia"/>
                <w:bCs/>
                <w:lang w:eastAsia="zh-CN"/>
              </w:rPr>
              <w:t>月会议上将利率下调</w:t>
            </w:r>
            <w:r w:rsidRPr="00531AFB">
              <w:rPr>
                <w:rFonts w:eastAsia="宋体" w:hint="eastAsia"/>
                <w:bCs/>
                <w:lang w:eastAsia="zh-CN"/>
              </w:rPr>
              <w:t>25</w:t>
            </w:r>
            <w:r w:rsidRPr="00531AFB">
              <w:rPr>
                <w:rFonts w:eastAsia="宋体" w:hint="eastAsia"/>
                <w:bCs/>
                <w:lang w:eastAsia="zh-CN"/>
              </w:rPr>
              <w:t>个基点至</w:t>
            </w:r>
            <w:r w:rsidRPr="00531AFB">
              <w:rPr>
                <w:rFonts w:eastAsia="宋体" w:hint="eastAsia"/>
                <w:bCs/>
                <w:lang w:eastAsia="zh-CN"/>
              </w:rPr>
              <w:t>2.78%</w:t>
            </w:r>
            <w:r w:rsidRPr="00531AFB">
              <w:rPr>
                <w:rFonts w:eastAsia="宋体" w:hint="eastAsia"/>
                <w:bCs/>
                <w:lang w:eastAsia="zh-CN"/>
              </w:rPr>
              <w:t>。</w:t>
            </w:r>
          </w:p>
          <w:p w14:paraId="3EC9D276" w14:textId="77777777" w:rsidR="00140775" w:rsidRDefault="00140775" w:rsidP="00D72849">
            <w:pPr>
              <w:spacing w:beforeLines="50" w:before="163"/>
              <w:ind w:firstLineChars="0" w:firstLine="0"/>
              <w:rPr>
                <w:rFonts w:eastAsia="宋体"/>
                <w:bCs/>
                <w:lang w:eastAsia="zh-CN"/>
              </w:rPr>
            </w:pPr>
            <w:r>
              <w:rPr>
                <w:rFonts w:eastAsia="宋体" w:hint="eastAsia"/>
                <w:bCs/>
                <w:lang w:eastAsia="zh-CN"/>
              </w:rPr>
              <w:t xml:space="preserve">        </w:t>
            </w:r>
            <w:r>
              <w:rPr>
                <w:rFonts w:eastAsia="宋体" w:hint="eastAsia"/>
                <w:bCs/>
                <w:lang w:eastAsia="zh-CN"/>
              </w:rPr>
              <w:t>印度尼西亚</w:t>
            </w:r>
            <w:r>
              <w:rPr>
                <w:rFonts w:eastAsia="宋体" w:hint="eastAsia"/>
                <w:bCs/>
                <w:lang w:eastAsia="zh-CN"/>
              </w:rPr>
              <w:t>CPI</w:t>
            </w:r>
            <w:r>
              <w:rPr>
                <w:rFonts w:eastAsia="宋体" w:hint="eastAsia"/>
                <w:bCs/>
                <w:lang w:eastAsia="zh-CN"/>
              </w:rPr>
              <w:t>同比增速在</w:t>
            </w:r>
            <w:r>
              <w:rPr>
                <w:rFonts w:eastAsia="宋体" w:hint="eastAsia"/>
                <w:bCs/>
                <w:lang w:eastAsia="zh-CN"/>
              </w:rPr>
              <w:t>1</w:t>
            </w:r>
            <w:r>
              <w:rPr>
                <w:rFonts w:eastAsia="宋体" w:hint="eastAsia"/>
                <w:bCs/>
                <w:lang w:eastAsia="zh-CN"/>
              </w:rPr>
              <w:t>月份降至</w:t>
            </w:r>
            <w:r>
              <w:rPr>
                <w:rFonts w:eastAsia="宋体" w:hint="eastAsia"/>
                <w:bCs/>
                <w:lang w:eastAsia="zh-CN"/>
              </w:rPr>
              <w:t>0.8%</w:t>
            </w:r>
            <w:r>
              <w:rPr>
                <w:rFonts w:eastAsia="宋体" w:hint="eastAsia"/>
                <w:bCs/>
                <w:lang w:eastAsia="zh-CN"/>
              </w:rPr>
              <w:t>，</w:t>
            </w:r>
            <w:r>
              <w:rPr>
                <w:rFonts w:eastAsia="宋体" w:hint="eastAsia"/>
                <w:bCs/>
                <w:lang w:eastAsia="zh-CN"/>
              </w:rPr>
              <w:t>2</w:t>
            </w:r>
            <w:r>
              <w:rPr>
                <w:rFonts w:eastAsia="宋体" w:hint="eastAsia"/>
                <w:bCs/>
                <w:lang w:eastAsia="zh-CN"/>
              </w:rPr>
              <w:t>月份再次下降至</w:t>
            </w:r>
            <w:r>
              <w:rPr>
                <w:rFonts w:eastAsia="宋体" w:hint="eastAsia"/>
                <w:bCs/>
                <w:lang w:eastAsia="zh-CN"/>
              </w:rPr>
              <w:t>-0.1%</w:t>
            </w:r>
            <w:r>
              <w:rPr>
                <w:rFonts w:eastAsia="宋体" w:hint="eastAsia"/>
                <w:bCs/>
                <w:lang w:eastAsia="zh-CN"/>
              </w:rPr>
              <w:t>，</w:t>
            </w:r>
            <w:r w:rsidRPr="00531AFB">
              <w:rPr>
                <w:rFonts w:eastAsia="宋体" w:hint="eastAsia"/>
                <w:bCs/>
                <w:lang w:eastAsia="zh-CN"/>
              </w:rPr>
              <w:t>这是</w:t>
            </w:r>
            <w:r>
              <w:rPr>
                <w:rFonts w:eastAsia="宋体" w:hint="eastAsia"/>
                <w:bCs/>
                <w:lang w:eastAsia="zh-CN"/>
              </w:rPr>
              <w:t>印尼</w:t>
            </w:r>
            <w:r w:rsidRPr="00531AFB">
              <w:rPr>
                <w:rFonts w:eastAsia="宋体" w:hint="eastAsia"/>
                <w:bCs/>
                <w:lang w:eastAsia="zh-CN"/>
              </w:rPr>
              <w:t>自</w:t>
            </w:r>
            <w:r w:rsidRPr="00531AFB">
              <w:rPr>
                <w:rFonts w:eastAsia="宋体" w:hint="eastAsia"/>
                <w:bCs/>
                <w:lang w:eastAsia="zh-CN"/>
              </w:rPr>
              <w:t>2000</w:t>
            </w:r>
            <w:r w:rsidRPr="00531AFB">
              <w:rPr>
                <w:rFonts w:eastAsia="宋体" w:hint="eastAsia"/>
                <w:bCs/>
                <w:lang w:eastAsia="zh-CN"/>
              </w:rPr>
              <w:t>年</w:t>
            </w:r>
            <w:r w:rsidRPr="00531AFB">
              <w:rPr>
                <w:rFonts w:eastAsia="宋体" w:hint="eastAsia"/>
                <w:bCs/>
                <w:lang w:eastAsia="zh-CN"/>
              </w:rPr>
              <w:t>3</w:t>
            </w:r>
            <w:r w:rsidRPr="00531AFB">
              <w:rPr>
                <w:rFonts w:eastAsia="宋体" w:hint="eastAsia"/>
                <w:bCs/>
                <w:lang w:eastAsia="zh-CN"/>
              </w:rPr>
              <w:t>月以来首次出现通货紧缩</w:t>
            </w:r>
            <w:r>
              <w:rPr>
                <w:rFonts w:eastAsia="宋体" w:hint="eastAsia"/>
                <w:bCs/>
                <w:lang w:eastAsia="zh-CN"/>
              </w:rPr>
              <w:t>。</w:t>
            </w:r>
            <w:r w:rsidRPr="009D5670">
              <w:rPr>
                <w:rFonts w:eastAsia="宋体"/>
                <w:bCs/>
                <w:lang w:eastAsia="zh-CN"/>
              </w:rPr>
              <w:t>2025</w:t>
            </w:r>
            <w:r w:rsidRPr="009D5670">
              <w:rPr>
                <w:rFonts w:eastAsia="宋体"/>
                <w:bCs/>
                <w:lang w:eastAsia="zh-CN"/>
              </w:rPr>
              <w:t>年</w:t>
            </w:r>
            <w:r w:rsidRPr="009D5670">
              <w:rPr>
                <w:rFonts w:eastAsia="宋体"/>
                <w:bCs/>
                <w:lang w:eastAsia="zh-CN"/>
              </w:rPr>
              <w:t>1~2</w:t>
            </w:r>
            <w:r w:rsidRPr="009D5670">
              <w:rPr>
                <w:rFonts w:eastAsia="宋体"/>
                <w:bCs/>
                <w:lang w:eastAsia="zh-CN"/>
              </w:rPr>
              <w:t>月</w:t>
            </w:r>
            <w:r>
              <w:rPr>
                <w:rFonts w:eastAsia="宋体" w:hint="eastAsia"/>
                <w:bCs/>
                <w:lang w:eastAsia="zh-CN"/>
              </w:rPr>
              <w:t>电费</w:t>
            </w:r>
            <w:r>
              <w:rPr>
                <w:rFonts w:eastAsia="宋体" w:hint="eastAsia"/>
                <w:bCs/>
                <w:lang w:eastAsia="zh-CN"/>
              </w:rPr>
              <w:t>50%</w:t>
            </w:r>
            <w:r>
              <w:rPr>
                <w:rFonts w:eastAsia="宋体" w:hint="eastAsia"/>
                <w:bCs/>
                <w:lang w:eastAsia="zh-CN"/>
              </w:rPr>
              <w:t>折扣优惠下住房、水、电和家庭燃料</w:t>
            </w:r>
            <w:r>
              <w:rPr>
                <w:rFonts w:eastAsia="宋体" w:hint="eastAsia"/>
                <w:bCs/>
                <w:lang w:eastAsia="zh-CN"/>
              </w:rPr>
              <w:t>CPI</w:t>
            </w:r>
            <w:r>
              <w:rPr>
                <w:rFonts w:eastAsia="宋体" w:hint="eastAsia"/>
                <w:bCs/>
                <w:lang w:eastAsia="zh-CN"/>
              </w:rPr>
              <w:t>同比增速连续为负，</w:t>
            </w:r>
            <w:r>
              <w:rPr>
                <w:rFonts w:eastAsia="宋体" w:hint="eastAsia"/>
                <w:bCs/>
                <w:lang w:eastAsia="zh-CN"/>
              </w:rPr>
              <w:t>1-2</w:t>
            </w:r>
            <w:r>
              <w:rPr>
                <w:rFonts w:eastAsia="宋体" w:hint="eastAsia"/>
                <w:bCs/>
                <w:lang w:eastAsia="zh-CN"/>
              </w:rPr>
              <w:t>月份读数分别为</w:t>
            </w:r>
            <w:r>
              <w:rPr>
                <w:rFonts w:eastAsia="宋体" w:hint="eastAsia"/>
                <w:bCs/>
                <w:lang w:eastAsia="zh-CN"/>
              </w:rPr>
              <w:t>-8.8%</w:t>
            </w:r>
            <w:r>
              <w:rPr>
                <w:rFonts w:eastAsia="宋体" w:hint="eastAsia"/>
                <w:bCs/>
                <w:lang w:eastAsia="zh-CN"/>
              </w:rPr>
              <w:t>和</w:t>
            </w:r>
            <w:r>
              <w:rPr>
                <w:rFonts w:eastAsia="宋体" w:hint="eastAsia"/>
                <w:bCs/>
                <w:lang w:eastAsia="zh-CN"/>
              </w:rPr>
              <w:t>-12.1%</w:t>
            </w:r>
            <w:r>
              <w:rPr>
                <w:rFonts w:eastAsia="宋体" w:hint="eastAsia"/>
                <w:bCs/>
                <w:lang w:eastAsia="zh-CN"/>
              </w:rPr>
              <w:t>，成为拉低印尼通货膨胀水平的主要行业；其次，食品、饮料和烟草同比增速放缓，信息、通讯和金融服务同比持续为负，也在一定</w:t>
            </w:r>
            <w:r>
              <w:rPr>
                <w:rFonts w:eastAsia="宋体" w:hint="eastAsia"/>
                <w:bCs/>
                <w:lang w:eastAsia="zh-CN"/>
              </w:rPr>
              <w:lastRenderedPageBreak/>
              <w:t>程度上推动印尼通货膨胀走向紧缩。</w:t>
            </w:r>
          </w:p>
          <w:p w14:paraId="5F9BD883" w14:textId="55BD8936" w:rsidR="00140775" w:rsidRDefault="00140775" w:rsidP="00D72849">
            <w:pPr>
              <w:spacing w:beforeLines="50" w:before="163"/>
              <w:ind w:firstLineChars="0" w:firstLine="0"/>
              <w:rPr>
                <w:rFonts w:eastAsia="宋体"/>
                <w:bCs/>
                <w:lang w:eastAsia="zh-CN"/>
              </w:rPr>
            </w:pPr>
            <w:r>
              <w:rPr>
                <w:rFonts w:eastAsia="宋体" w:hint="eastAsia"/>
                <w:bCs/>
                <w:lang w:eastAsia="zh-CN"/>
              </w:rPr>
              <w:t xml:space="preserve">         </w:t>
            </w:r>
            <w:r>
              <w:rPr>
                <w:rFonts w:eastAsia="宋体" w:hint="eastAsia"/>
                <w:bCs/>
                <w:lang w:eastAsia="zh-CN"/>
              </w:rPr>
              <w:t>新加坡、菲律宾和马来西亚的通货膨胀水平仍处于下行区间。其中新加坡下降幅度较大，从</w:t>
            </w:r>
            <w:r>
              <w:rPr>
                <w:rFonts w:eastAsia="宋体" w:hint="eastAsia"/>
                <w:bCs/>
                <w:lang w:eastAsia="zh-CN"/>
              </w:rPr>
              <w:t>2024</w:t>
            </w:r>
            <w:r>
              <w:rPr>
                <w:rFonts w:eastAsia="宋体" w:hint="eastAsia"/>
                <w:bCs/>
                <w:lang w:eastAsia="zh-CN"/>
              </w:rPr>
              <w:t>年</w:t>
            </w:r>
            <w:r>
              <w:rPr>
                <w:rFonts w:eastAsia="宋体" w:hint="eastAsia"/>
                <w:bCs/>
                <w:lang w:eastAsia="zh-CN"/>
              </w:rPr>
              <w:t>12</w:t>
            </w:r>
            <w:r>
              <w:rPr>
                <w:rFonts w:eastAsia="宋体" w:hint="eastAsia"/>
                <w:bCs/>
                <w:lang w:eastAsia="zh-CN"/>
              </w:rPr>
              <w:t>月份的</w:t>
            </w:r>
            <w:r>
              <w:rPr>
                <w:rFonts w:eastAsia="宋体" w:hint="eastAsia"/>
                <w:bCs/>
                <w:lang w:eastAsia="zh-CN"/>
              </w:rPr>
              <w:t>1.7%</w:t>
            </w:r>
            <w:r>
              <w:rPr>
                <w:rFonts w:eastAsia="宋体" w:hint="eastAsia"/>
                <w:bCs/>
                <w:lang w:eastAsia="zh-CN"/>
              </w:rPr>
              <w:t>大幅下滑至</w:t>
            </w:r>
            <w:r>
              <w:rPr>
                <w:rFonts w:eastAsia="宋体" w:hint="eastAsia"/>
                <w:bCs/>
                <w:lang w:eastAsia="zh-CN"/>
              </w:rPr>
              <w:t>2025</w:t>
            </w:r>
            <w:r>
              <w:rPr>
                <w:rFonts w:eastAsia="宋体" w:hint="eastAsia"/>
                <w:bCs/>
                <w:lang w:eastAsia="zh-CN"/>
              </w:rPr>
              <w:t>年</w:t>
            </w:r>
            <w:r>
              <w:rPr>
                <w:rFonts w:eastAsia="宋体" w:hint="eastAsia"/>
                <w:bCs/>
                <w:lang w:eastAsia="zh-CN"/>
              </w:rPr>
              <w:t>1</w:t>
            </w:r>
            <w:r>
              <w:rPr>
                <w:rFonts w:eastAsia="宋体" w:hint="eastAsia"/>
                <w:bCs/>
                <w:lang w:eastAsia="zh-CN"/>
              </w:rPr>
              <w:t>月的</w:t>
            </w:r>
            <w:r>
              <w:rPr>
                <w:rFonts w:eastAsia="宋体" w:hint="eastAsia"/>
                <w:bCs/>
                <w:lang w:eastAsia="zh-CN"/>
              </w:rPr>
              <w:t>0.8%</w:t>
            </w:r>
            <w:r>
              <w:rPr>
                <w:rFonts w:eastAsia="宋体" w:hint="eastAsia"/>
                <w:bCs/>
                <w:lang w:eastAsia="zh-CN"/>
              </w:rPr>
              <w:t>，</w:t>
            </w:r>
            <w:r>
              <w:rPr>
                <w:rFonts w:eastAsia="宋体" w:hint="eastAsia"/>
                <w:bCs/>
                <w:lang w:eastAsia="zh-CN"/>
              </w:rPr>
              <w:t>2</w:t>
            </w:r>
            <w:r>
              <w:rPr>
                <w:rFonts w:eastAsia="宋体" w:hint="eastAsia"/>
                <w:bCs/>
                <w:lang w:eastAsia="zh-CN"/>
              </w:rPr>
              <w:t>月份再次下降至</w:t>
            </w:r>
            <w:r>
              <w:rPr>
                <w:rFonts w:eastAsia="宋体" w:hint="eastAsia"/>
                <w:bCs/>
                <w:lang w:eastAsia="zh-CN"/>
              </w:rPr>
              <w:t>0.6%</w:t>
            </w:r>
            <w:r>
              <w:rPr>
                <w:rFonts w:eastAsia="宋体" w:hint="eastAsia"/>
                <w:bCs/>
                <w:lang w:eastAsia="zh-CN"/>
              </w:rPr>
              <w:t>；菲律宾和马来西亚的下降速度较为缓慢，前者从</w:t>
            </w:r>
            <w:r>
              <w:rPr>
                <w:rFonts w:eastAsia="宋体" w:hint="eastAsia"/>
                <w:bCs/>
                <w:lang w:eastAsia="zh-CN"/>
              </w:rPr>
              <w:t>2.6%</w:t>
            </w:r>
            <w:r>
              <w:rPr>
                <w:rFonts w:eastAsia="宋体" w:hint="eastAsia"/>
                <w:bCs/>
                <w:lang w:eastAsia="zh-CN"/>
              </w:rPr>
              <w:t>下降至</w:t>
            </w:r>
            <w:r>
              <w:rPr>
                <w:rFonts w:eastAsia="宋体" w:hint="eastAsia"/>
                <w:bCs/>
                <w:lang w:eastAsia="zh-CN"/>
              </w:rPr>
              <w:t>2.2%</w:t>
            </w:r>
            <w:r>
              <w:rPr>
                <w:rFonts w:eastAsia="宋体" w:hint="eastAsia"/>
                <w:bCs/>
                <w:lang w:eastAsia="zh-CN"/>
              </w:rPr>
              <w:t>，后者从</w:t>
            </w:r>
            <w:r>
              <w:rPr>
                <w:rFonts w:eastAsia="宋体" w:hint="eastAsia"/>
                <w:bCs/>
                <w:lang w:eastAsia="zh-CN"/>
              </w:rPr>
              <w:t>1.7%</w:t>
            </w:r>
            <w:r>
              <w:rPr>
                <w:rFonts w:eastAsia="宋体" w:hint="eastAsia"/>
                <w:bCs/>
                <w:lang w:eastAsia="zh-CN"/>
              </w:rPr>
              <w:t>下降至</w:t>
            </w:r>
            <w:r>
              <w:rPr>
                <w:rFonts w:eastAsia="宋体" w:hint="eastAsia"/>
                <w:bCs/>
                <w:lang w:eastAsia="zh-CN"/>
              </w:rPr>
              <w:t>1.5%</w:t>
            </w:r>
            <w:r>
              <w:rPr>
                <w:rFonts w:eastAsia="宋体" w:hint="eastAsia"/>
                <w:bCs/>
                <w:lang w:eastAsia="zh-CN"/>
              </w:rPr>
              <w:t>。泰国通货膨胀水平略有上浮，但仍处于低于</w:t>
            </w:r>
            <w:r>
              <w:rPr>
                <w:rFonts w:eastAsia="宋体" w:hint="eastAsia"/>
                <w:bCs/>
                <w:lang w:eastAsia="zh-CN"/>
              </w:rPr>
              <w:t>1%</w:t>
            </w:r>
            <w:r>
              <w:rPr>
                <w:rFonts w:eastAsia="宋体" w:hint="eastAsia"/>
                <w:bCs/>
                <w:lang w:eastAsia="zh-CN"/>
              </w:rPr>
              <w:t>的温和通货膨胀区间。</w:t>
            </w:r>
          </w:p>
        </w:tc>
      </w:tr>
      <w:tr w:rsidR="00140775" w14:paraId="4CCC6289" w14:textId="77777777" w:rsidTr="00D72849">
        <w:trPr>
          <w:trHeight w:val="1001"/>
          <w:jc w:val="center"/>
        </w:trPr>
        <w:tc>
          <w:tcPr>
            <w:tcW w:w="10031" w:type="dxa"/>
            <w:gridSpan w:val="9"/>
          </w:tcPr>
          <w:p w14:paraId="121A1C74" w14:textId="13C721D6" w:rsidR="00140775" w:rsidRPr="001244F7" w:rsidRDefault="00DB2622" w:rsidP="00D37774">
            <w:pPr>
              <w:pStyle w:val="a4"/>
            </w:pPr>
            <w:bookmarkStart w:id="47" w:name="_Toc196399432"/>
            <w:r>
              <w:rPr>
                <w:rFonts w:hint="eastAsia"/>
              </w:rPr>
              <w:lastRenderedPageBreak/>
              <w:t xml:space="preserve">图表 </w:t>
            </w:r>
            <w:r>
              <w:rPr>
                <w:rFonts w:hint="eastAsia"/>
              </w:rPr>
              <w:fldChar w:fldCharType="begin"/>
            </w:r>
            <w:r>
              <w:rPr>
                <w:rFonts w:hint="eastAsia"/>
              </w:rPr>
              <w:instrText xml:space="preserve"> SEQ 图表 \* ARABIC </w:instrText>
            </w:r>
            <w:r>
              <w:rPr>
                <w:rFonts w:hint="eastAsia"/>
              </w:rPr>
              <w:fldChar w:fldCharType="separate"/>
            </w:r>
            <w:r w:rsidR="00530ED7">
              <w:rPr>
                <w:rFonts w:hint="eastAsia"/>
                <w:noProof/>
              </w:rPr>
              <w:t>21</w:t>
            </w:r>
            <w:r>
              <w:rPr>
                <w:rFonts w:hint="eastAsia"/>
              </w:rPr>
              <w:fldChar w:fldCharType="end"/>
            </w:r>
            <w:r w:rsidR="00D37774" w:rsidRPr="00D37774">
              <w:t xml:space="preserve">  </w:t>
            </w:r>
            <w:r w:rsidR="00140775" w:rsidRPr="001244F7">
              <w:rPr>
                <w:rFonts w:hint="eastAsia"/>
              </w:rPr>
              <w:t>区内通货膨胀出现分化</w:t>
            </w:r>
            <w:bookmarkEnd w:id="47"/>
          </w:p>
          <w:p w14:paraId="0EC23DE0" w14:textId="77777777" w:rsidR="00140775" w:rsidRDefault="00140775" w:rsidP="00D72849">
            <w:pPr>
              <w:spacing w:beforeLines="50" w:before="163"/>
              <w:ind w:firstLineChars="0" w:firstLine="0"/>
              <w:jc w:val="center"/>
              <w:rPr>
                <w:rFonts w:eastAsia="宋体"/>
                <w:b/>
                <w:sz w:val="28"/>
                <w:szCs w:val="28"/>
                <w:lang w:eastAsia="zh-CN"/>
              </w:rPr>
            </w:pPr>
            <w:r>
              <w:rPr>
                <w:noProof/>
                <w:lang w:eastAsia="zh-CN" w:bidi="ar-SA"/>
              </w:rPr>
              <w:drawing>
                <wp:inline distT="0" distB="0" distL="0" distR="0" wp14:anchorId="746D86E8" wp14:editId="63DE8A7E">
                  <wp:extent cx="5305425" cy="3148716"/>
                  <wp:effectExtent l="0" t="0" r="0" b="0"/>
                  <wp:docPr id="893442029" name="图表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8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tr>
      <w:tr w:rsidR="00140775" w14:paraId="672448F3" w14:textId="77777777" w:rsidTr="00D72849">
        <w:trPr>
          <w:trHeight w:val="1001"/>
          <w:jc w:val="center"/>
        </w:trPr>
        <w:tc>
          <w:tcPr>
            <w:tcW w:w="2217" w:type="dxa"/>
            <w:gridSpan w:val="3"/>
          </w:tcPr>
          <w:p w14:paraId="57ED0965" w14:textId="77777777" w:rsidR="00140775" w:rsidRDefault="00140775" w:rsidP="000E0157">
            <w:pPr>
              <w:pStyle w:val="-4"/>
            </w:pPr>
            <w:r>
              <w:rPr>
                <w:rFonts w:hint="eastAsia"/>
              </w:rPr>
              <w:t>区内货币和股市走势均出现分化。</w:t>
            </w:r>
          </w:p>
        </w:tc>
        <w:tc>
          <w:tcPr>
            <w:tcW w:w="241" w:type="dxa"/>
            <w:gridSpan w:val="2"/>
          </w:tcPr>
          <w:p w14:paraId="3B8E498C" w14:textId="77777777" w:rsidR="00140775" w:rsidRDefault="00140775" w:rsidP="00D72849">
            <w:pPr>
              <w:keepNext/>
              <w:keepLines/>
              <w:spacing w:before="260" w:after="260"/>
              <w:ind w:firstLine="480"/>
              <w:rPr>
                <w:rFonts w:eastAsia="楷体_GB2312"/>
                <w:lang w:eastAsia="zh-CN"/>
              </w:rPr>
            </w:pPr>
          </w:p>
        </w:tc>
        <w:tc>
          <w:tcPr>
            <w:tcW w:w="7573" w:type="dxa"/>
            <w:gridSpan w:val="4"/>
          </w:tcPr>
          <w:p w14:paraId="5CA8623D" w14:textId="77777777" w:rsidR="00140775" w:rsidRDefault="00140775" w:rsidP="00D72849">
            <w:pPr>
              <w:ind w:firstLine="482"/>
              <w:rPr>
                <w:rFonts w:eastAsia="宋体"/>
                <w:bCs/>
                <w:lang w:eastAsia="zh-CN"/>
              </w:rPr>
            </w:pPr>
            <w:r>
              <w:rPr>
                <w:rFonts w:eastAsia="宋体" w:hint="eastAsia"/>
                <w:b/>
                <w:lang w:eastAsia="zh-CN"/>
              </w:rPr>
              <w:t>区内货币</w:t>
            </w:r>
            <w:r w:rsidRPr="002C0C4B">
              <w:rPr>
                <w:rFonts w:eastAsia="宋体" w:hint="eastAsia"/>
                <w:b/>
                <w:lang w:eastAsia="zh-CN"/>
              </w:rPr>
              <w:t>和股市</w:t>
            </w:r>
            <w:r>
              <w:rPr>
                <w:rFonts w:eastAsia="宋体" w:hint="eastAsia"/>
                <w:b/>
                <w:lang w:eastAsia="zh-CN"/>
              </w:rPr>
              <w:t>走势出现分化。</w:t>
            </w:r>
            <w:r w:rsidRPr="002C0C4B">
              <w:rPr>
                <w:rFonts w:eastAsia="宋体" w:hint="eastAsia"/>
                <w:bCs/>
                <w:lang w:eastAsia="zh-CN"/>
              </w:rPr>
              <w:t>货币走势方面，</w:t>
            </w:r>
            <w:r>
              <w:rPr>
                <w:rFonts w:eastAsia="宋体" w:hint="eastAsia"/>
                <w:bCs/>
                <w:lang w:eastAsia="zh-CN"/>
              </w:rPr>
              <w:t>第</w:t>
            </w:r>
            <w:r>
              <w:rPr>
                <w:rFonts w:eastAsia="宋体" w:hint="eastAsia"/>
                <w:bCs/>
                <w:lang w:eastAsia="zh-CN"/>
              </w:rPr>
              <w:t>1</w:t>
            </w:r>
            <w:r>
              <w:rPr>
                <w:rFonts w:eastAsia="宋体" w:hint="eastAsia"/>
                <w:bCs/>
                <w:lang w:eastAsia="zh-CN"/>
              </w:rPr>
              <w:t>季度，受经济基本面拖累，美元指数贬值</w:t>
            </w:r>
            <w:r>
              <w:rPr>
                <w:rFonts w:eastAsia="宋体" w:hint="eastAsia"/>
                <w:bCs/>
                <w:lang w:eastAsia="zh-CN"/>
              </w:rPr>
              <w:t>3.9</w:t>
            </w:r>
            <w:r>
              <w:rPr>
                <w:rFonts w:eastAsia="宋体"/>
                <w:bCs/>
                <w:lang w:eastAsia="zh-CN"/>
              </w:rPr>
              <w:t>%</w:t>
            </w:r>
            <w:r>
              <w:rPr>
                <w:rFonts w:eastAsia="宋体" w:hint="eastAsia"/>
                <w:lang w:eastAsia="zh-CN"/>
              </w:rPr>
              <w:t>，</w:t>
            </w:r>
            <w:r>
              <w:rPr>
                <w:rFonts w:eastAsia="宋体" w:hint="eastAsia"/>
                <w:bCs/>
                <w:lang w:eastAsia="zh-CN"/>
              </w:rPr>
              <w:t>区域内货币走势出现分化；但整体波动幅度较</w:t>
            </w:r>
            <w:r>
              <w:rPr>
                <w:rFonts w:eastAsia="宋体" w:hint="eastAsia"/>
                <w:bCs/>
                <w:lang w:eastAsia="zh-CN"/>
              </w:rPr>
              <w:t>2024</w:t>
            </w:r>
            <w:r>
              <w:rPr>
                <w:rFonts w:eastAsia="宋体" w:hint="eastAsia"/>
                <w:bCs/>
                <w:lang w:eastAsia="zh-CN"/>
              </w:rPr>
              <w:t>年第</w:t>
            </w:r>
            <w:r>
              <w:rPr>
                <w:rFonts w:eastAsia="宋体" w:hint="eastAsia"/>
                <w:bCs/>
                <w:lang w:eastAsia="zh-CN"/>
              </w:rPr>
              <w:t>3</w:t>
            </w:r>
            <w:r>
              <w:rPr>
                <w:rFonts w:eastAsia="宋体" w:hint="eastAsia"/>
                <w:bCs/>
                <w:lang w:eastAsia="zh-CN"/>
              </w:rPr>
              <w:t>和第</w:t>
            </w:r>
            <w:r>
              <w:rPr>
                <w:rFonts w:eastAsia="宋体" w:hint="eastAsia"/>
                <w:bCs/>
                <w:lang w:eastAsia="zh-CN"/>
              </w:rPr>
              <w:t>4</w:t>
            </w:r>
            <w:r>
              <w:rPr>
                <w:rFonts w:eastAsia="宋体" w:hint="eastAsia"/>
                <w:bCs/>
                <w:lang w:eastAsia="zh-CN"/>
              </w:rPr>
              <w:t>季度显著下降。其中，印度尼西亚和越南货币仍呈现贬值态势，分别贬值</w:t>
            </w:r>
            <w:r>
              <w:rPr>
                <w:rFonts w:eastAsia="宋体" w:hint="eastAsia"/>
                <w:bCs/>
                <w:lang w:eastAsia="zh-CN"/>
              </w:rPr>
              <w:t>2.5</w:t>
            </w:r>
            <w:r>
              <w:rPr>
                <w:rFonts w:eastAsia="宋体"/>
                <w:bCs/>
                <w:lang w:eastAsia="zh-CN"/>
              </w:rPr>
              <w:t>%</w:t>
            </w:r>
            <w:r>
              <w:rPr>
                <w:rFonts w:eastAsia="宋体" w:hint="eastAsia"/>
                <w:bCs/>
                <w:lang w:eastAsia="zh-CN"/>
              </w:rPr>
              <w:t>和</w:t>
            </w:r>
            <w:r>
              <w:rPr>
                <w:rFonts w:eastAsia="宋体" w:hint="eastAsia"/>
                <w:bCs/>
                <w:lang w:eastAsia="zh-CN"/>
              </w:rPr>
              <w:t>2.1</w:t>
            </w:r>
            <w:r>
              <w:rPr>
                <w:rFonts w:eastAsia="宋体"/>
                <w:bCs/>
                <w:lang w:eastAsia="zh-CN"/>
              </w:rPr>
              <w:t>%</w:t>
            </w:r>
            <w:r>
              <w:rPr>
                <w:rFonts w:eastAsia="宋体" w:hint="eastAsia"/>
                <w:bCs/>
                <w:lang w:eastAsia="zh-CN"/>
              </w:rPr>
              <w:t>；新加坡货币在美元弱势下升值了</w:t>
            </w:r>
            <w:r>
              <w:rPr>
                <w:rFonts w:eastAsia="宋体" w:hint="eastAsia"/>
                <w:bCs/>
                <w:lang w:eastAsia="zh-CN"/>
              </w:rPr>
              <w:t>1.6%</w:t>
            </w:r>
            <w:r>
              <w:rPr>
                <w:rFonts w:eastAsia="宋体" w:hint="eastAsia"/>
                <w:bCs/>
                <w:lang w:eastAsia="zh-CN"/>
              </w:rPr>
              <w:t>；马来西亚、泰国、韩国和菲律宾四国货币相对稳定，呈现小幅升值态势，但是升值幅度均未超过</w:t>
            </w:r>
            <w:r>
              <w:rPr>
                <w:rFonts w:eastAsia="宋体" w:hint="eastAsia"/>
                <w:bCs/>
                <w:lang w:eastAsia="zh-CN"/>
              </w:rPr>
              <w:t>1%</w:t>
            </w:r>
            <w:r>
              <w:rPr>
                <w:rFonts w:eastAsia="宋体" w:hint="eastAsia"/>
                <w:bCs/>
                <w:lang w:eastAsia="zh-CN"/>
              </w:rPr>
              <w:t>。</w:t>
            </w:r>
            <w:r w:rsidRPr="002C0C4B">
              <w:rPr>
                <w:rFonts w:eastAsia="宋体" w:hint="eastAsia"/>
                <w:b/>
                <w:lang w:eastAsia="zh-CN"/>
              </w:rPr>
              <w:t>区域内股票市场同样分化，前沿经济体股票市场整体上扬，其余经济体股票市场下行趋势显著。</w:t>
            </w:r>
            <w:r w:rsidRPr="002C0C4B">
              <w:rPr>
                <w:rFonts w:eastAsia="宋体" w:hint="eastAsia"/>
                <w:bCs/>
                <w:lang w:eastAsia="zh-CN"/>
              </w:rPr>
              <w:t>其中，新加坡海峡指数、韩国综合指数和越南胡志明指数第</w:t>
            </w:r>
            <w:r w:rsidRPr="002C0C4B">
              <w:rPr>
                <w:rFonts w:eastAsia="宋体" w:hint="eastAsia"/>
                <w:bCs/>
                <w:lang w:eastAsia="zh-CN"/>
              </w:rPr>
              <w:t>1</w:t>
            </w:r>
            <w:r w:rsidRPr="002C0C4B">
              <w:rPr>
                <w:rFonts w:eastAsia="宋体" w:hint="eastAsia"/>
                <w:bCs/>
                <w:lang w:eastAsia="zh-CN"/>
              </w:rPr>
              <w:t>季度的上涨幅度分别为</w:t>
            </w:r>
            <w:r w:rsidRPr="002C0C4B">
              <w:rPr>
                <w:rFonts w:eastAsia="宋体" w:hint="eastAsia"/>
                <w:bCs/>
                <w:lang w:eastAsia="zh-CN"/>
              </w:rPr>
              <w:lastRenderedPageBreak/>
              <w:t>4.9%</w:t>
            </w:r>
            <w:r w:rsidRPr="002C0C4B">
              <w:rPr>
                <w:rFonts w:eastAsia="宋体" w:hint="eastAsia"/>
                <w:bCs/>
                <w:lang w:eastAsia="zh-CN"/>
              </w:rPr>
              <w:t>、</w:t>
            </w:r>
            <w:r w:rsidRPr="002C0C4B">
              <w:rPr>
                <w:rFonts w:eastAsia="宋体" w:hint="eastAsia"/>
                <w:bCs/>
                <w:lang w:eastAsia="zh-CN"/>
              </w:rPr>
              <w:t>3.4%</w:t>
            </w:r>
            <w:r w:rsidRPr="002C0C4B">
              <w:rPr>
                <w:rFonts w:eastAsia="宋体" w:hint="eastAsia"/>
                <w:bCs/>
                <w:lang w:eastAsia="zh-CN"/>
              </w:rPr>
              <w:t>和</w:t>
            </w:r>
            <w:r w:rsidRPr="002C0C4B">
              <w:rPr>
                <w:rFonts w:eastAsia="宋体" w:hint="eastAsia"/>
                <w:bCs/>
                <w:lang w:eastAsia="zh-CN"/>
              </w:rPr>
              <w:t>2.7%</w:t>
            </w:r>
            <w:r w:rsidRPr="002C0C4B">
              <w:rPr>
                <w:rFonts w:eastAsia="宋体" w:hint="eastAsia"/>
                <w:bCs/>
                <w:lang w:eastAsia="zh-CN"/>
              </w:rPr>
              <w:t>。</w:t>
            </w:r>
            <w:r>
              <w:rPr>
                <w:rFonts w:eastAsia="宋体" w:hint="eastAsia"/>
                <w:bCs/>
                <w:lang w:eastAsia="zh-CN"/>
              </w:rPr>
              <w:t>区内股票市场下行幅度最大的是</w:t>
            </w:r>
            <w:r w:rsidRPr="002F5433">
              <w:rPr>
                <w:rFonts w:eastAsia="宋体" w:hint="eastAsia"/>
                <w:bCs/>
                <w:lang w:eastAsia="zh-CN"/>
              </w:rPr>
              <w:t>泰国</w:t>
            </w:r>
            <w:r w:rsidRPr="002F5433">
              <w:rPr>
                <w:rFonts w:eastAsia="宋体" w:hint="eastAsia"/>
                <w:bCs/>
                <w:lang w:eastAsia="zh-CN"/>
              </w:rPr>
              <w:t>SET</w:t>
            </w:r>
            <w:r w:rsidRPr="002F5433">
              <w:rPr>
                <w:rFonts w:eastAsia="宋体" w:hint="eastAsia"/>
                <w:bCs/>
                <w:lang w:eastAsia="zh-CN"/>
              </w:rPr>
              <w:t>指数</w:t>
            </w:r>
            <w:r>
              <w:rPr>
                <w:rFonts w:eastAsia="宋体" w:hint="eastAsia"/>
                <w:bCs/>
                <w:lang w:eastAsia="zh-CN"/>
              </w:rPr>
              <w:t>，第</w:t>
            </w:r>
            <w:r>
              <w:rPr>
                <w:rFonts w:eastAsia="宋体" w:hint="eastAsia"/>
                <w:bCs/>
                <w:lang w:eastAsia="zh-CN"/>
              </w:rPr>
              <w:t>1</w:t>
            </w:r>
            <w:r>
              <w:rPr>
                <w:rFonts w:eastAsia="宋体" w:hint="eastAsia"/>
                <w:bCs/>
                <w:lang w:eastAsia="zh-CN"/>
              </w:rPr>
              <w:t>季度下跌幅度超过</w:t>
            </w:r>
            <w:r>
              <w:rPr>
                <w:rFonts w:eastAsia="宋体" w:hint="eastAsia"/>
                <w:bCs/>
                <w:lang w:eastAsia="zh-CN"/>
              </w:rPr>
              <w:t>17.29%</w:t>
            </w:r>
            <w:r>
              <w:rPr>
                <w:rFonts w:eastAsia="宋体" w:hint="eastAsia"/>
                <w:bCs/>
                <w:lang w:eastAsia="zh-CN"/>
              </w:rPr>
              <w:t>，</w:t>
            </w:r>
            <w:r w:rsidRPr="002F5433">
              <w:rPr>
                <w:rFonts w:eastAsia="宋体" w:hint="eastAsia"/>
                <w:bCs/>
                <w:lang w:eastAsia="zh-CN"/>
              </w:rPr>
              <w:t>印尼雅加达综合指数</w:t>
            </w:r>
            <w:r>
              <w:rPr>
                <w:rFonts w:eastAsia="宋体" w:hint="eastAsia"/>
                <w:bCs/>
                <w:lang w:eastAsia="zh-CN"/>
              </w:rPr>
              <w:t>紧随其后，下跌</w:t>
            </w:r>
            <w:r>
              <w:rPr>
                <w:rFonts w:eastAsia="宋体" w:hint="eastAsia"/>
                <w:bCs/>
                <w:lang w:eastAsia="zh-CN"/>
              </w:rPr>
              <w:t>8%</w:t>
            </w:r>
            <w:r>
              <w:rPr>
                <w:rFonts w:eastAsia="宋体" w:hint="eastAsia"/>
                <w:bCs/>
                <w:lang w:eastAsia="zh-CN"/>
              </w:rPr>
              <w:t>，</w:t>
            </w:r>
            <w:r w:rsidRPr="002F5433">
              <w:rPr>
                <w:rFonts w:eastAsia="宋体" w:hint="eastAsia"/>
                <w:bCs/>
                <w:lang w:eastAsia="zh-CN"/>
              </w:rPr>
              <w:t>马来西亚吉隆坡指数</w:t>
            </w:r>
            <w:r>
              <w:rPr>
                <w:rFonts w:eastAsia="宋体" w:hint="eastAsia"/>
                <w:bCs/>
                <w:lang w:eastAsia="zh-CN"/>
              </w:rPr>
              <w:t>和</w:t>
            </w:r>
            <w:r w:rsidRPr="002F5433">
              <w:rPr>
                <w:rFonts w:eastAsia="宋体" w:hint="eastAsia"/>
                <w:bCs/>
                <w:lang w:eastAsia="zh-CN"/>
              </w:rPr>
              <w:t>菲律宾马尼拉综合指数</w:t>
            </w:r>
            <w:r>
              <w:rPr>
                <w:rFonts w:eastAsia="宋体" w:hint="eastAsia"/>
                <w:bCs/>
                <w:lang w:eastAsia="zh-CN"/>
              </w:rPr>
              <w:t>分别下跌</w:t>
            </w:r>
            <w:r>
              <w:rPr>
                <w:rFonts w:eastAsia="宋体" w:hint="eastAsia"/>
                <w:bCs/>
                <w:lang w:eastAsia="zh-CN"/>
              </w:rPr>
              <w:t>6.2%</w:t>
            </w:r>
            <w:r>
              <w:rPr>
                <w:rFonts w:eastAsia="宋体" w:hint="eastAsia"/>
                <w:bCs/>
                <w:lang w:eastAsia="zh-CN"/>
              </w:rPr>
              <w:t>和</w:t>
            </w:r>
            <w:r>
              <w:rPr>
                <w:rFonts w:eastAsia="宋体" w:hint="eastAsia"/>
                <w:bCs/>
                <w:lang w:eastAsia="zh-CN"/>
              </w:rPr>
              <w:t>6%</w:t>
            </w:r>
            <w:r>
              <w:rPr>
                <w:rFonts w:eastAsia="宋体" w:hint="eastAsia"/>
                <w:bCs/>
                <w:lang w:eastAsia="zh-CN"/>
              </w:rPr>
              <w:t>。</w:t>
            </w:r>
          </w:p>
          <w:p w14:paraId="42CDAAF5" w14:textId="77777777" w:rsidR="00140775" w:rsidRPr="002240D1" w:rsidRDefault="00140775" w:rsidP="00D72849">
            <w:pPr>
              <w:ind w:firstLine="480"/>
              <w:rPr>
                <w:rFonts w:eastAsia="宋体"/>
                <w:bCs/>
                <w:lang w:eastAsia="zh-CN"/>
              </w:rPr>
            </w:pPr>
            <w:r>
              <w:rPr>
                <w:rFonts w:eastAsia="宋体" w:hint="eastAsia"/>
                <w:bCs/>
                <w:lang w:eastAsia="zh-CN"/>
              </w:rPr>
              <w:t>总体来看，</w:t>
            </w:r>
            <w:r w:rsidRPr="004E5826">
              <w:rPr>
                <w:rFonts w:eastAsia="宋体" w:hint="eastAsia"/>
                <w:b/>
                <w:lang w:eastAsia="zh-CN"/>
              </w:rPr>
              <w:t>新加坡和韩国货币和股市整体表现较稳定，越南和泰国在单一市场表现较差，前者是汇率下行显著，后者是股市下行显著，印尼则表现为汇市和股市双跌。</w:t>
            </w:r>
          </w:p>
        </w:tc>
      </w:tr>
      <w:tr w:rsidR="00140775" w14:paraId="0E64AC35" w14:textId="77777777" w:rsidTr="00D72849">
        <w:trPr>
          <w:trHeight w:val="1001"/>
          <w:jc w:val="center"/>
        </w:trPr>
        <w:tc>
          <w:tcPr>
            <w:tcW w:w="2217" w:type="dxa"/>
            <w:gridSpan w:val="3"/>
          </w:tcPr>
          <w:p w14:paraId="760F8B35" w14:textId="77777777" w:rsidR="00140775" w:rsidRDefault="00140775" w:rsidP="000E0157">
            <w:pPr>
              <w:pStyle w:val="-4"/>
            </w:pPr>
            <w:r>
              <w:rPr>
                <w:rFonts w:hint="eastAsia"/>
              </w:rPr>
              <w:lastRenderedPageBreak/>
              <w:t>政府对市场的有效管理是新加坡和韩国市场企稳的主要原因。</w:t>
            </w:r>
          </w:p>
        </w:tc>
        <w:tc>
          <w:tcPr>
            <w:tcW w:w="241" w:type="dxa"/>
            <w:gridSpan w:val="2"/>
          </w:tcPr>
          <w:p w14:paraId="4D5C76E6" w14:textId="77777777" w:rsidR="00140775" w:rsidRDefault="00140775" w:rsidP="00D72849">
            <w:pPr>
              <w:keepNext/>
              <w:keepLines/>
              <w:spacing w:before="260" w:after="260"/>
              <w:ind w:firstLine="480"/>
              <w:rPr>
                <w:rFonts w:eastAsia="楷体_GB2312"/>
                <w:lang w:eastAsia="zh-CN"/>
              </w:rPr>
            </w:pPr>
          </w:p>
        </w:tc>
        <w:tc>
          <w:tcPr>
            <w:tcW w:w="7573" w:type="dxa"/>
            <w:gridSpan w:val="4"/>
          </w:tcPr>
          <w:p w14:paraId="6F4A3F20" w14:textId="77777777" w:rsidR="00140775" w:rsidRPr="002C0C4B" w:rsidRDefault="00140775" w:rsidP="00D72849">
            <w:pPr>
              <w:ind w:firstLine="482"/>
              <w:rPr>
                <w:rFonts w:eastAsia="宋体"/>
                <w:bCs/>
                <w:lang w:eastAsia="zh-CN"/>
              </w:rPr>
            </w:pPr>
            <w:r w:rsidRPr="002C0C4B">
              <w:rPr>
                <w:rFonts w:eastAsia="宋体" w:hint="eastAsia"/>
                <w:b/>
                <w:lang w:eastAsia="zh-CN"/>
              </w:rPr>
              <w:t>政府对市场的有效管理是新加坡和韩国市场企稳的主要原因。</w:t>
            </w:r>
            <w:r w:rsidRPr="009804DF">
              <w:rPr>
                <w:rFonts w:eastAsia="宋体"/>
                <w:bCs/>
                <w:lang w:eastAsia="zh-CN"/>
              </w:rPr>
              <w:t>为了振兴股市并提升竞争力，新加坡政府于</w:t>
            </w:r>
            <w:r w:rsidRPr="009804DF">
              <w:rPr>
                <w:rFonts w:eastAsia="宋体"/>
                <w:bCs/>
                <w:lang w:eastAsia="zh-CN"/>
              </w:rPr>
              <w:t>2024</w:t>
            </w:r>
            <w:r w:rsidRPr="009804DF">
              <w:rPr>
                <w:rFonts w:eastAsia="宋体"/>
                <w:bCs/>
                <w:lang w:eastAsia="zh-CN"/>
              </w:rPr>
              <w:t>年</w:t>
            </w:r>
            <w:r w:rsidRPr="009804DF">
              <w:rPr>
                <w:rFonts w:eastAsia="宋体"/>
                <w:bCs/>
                <w:lang w:eastAsia="zh-CN"/>
              </w:rPr>
              <w:t>8</w:t>
            </w:r>
            <w:r w:rsidRPr="009804DF">
              <w:rPr>
                <w:rFonts w:eastAsia="宋体"/>
                <w:bCs/>
                <w:lang w:eastAsia="zh-CN"/>
              </w:rPr>
              <w:t>月宣布设立检讨小组</w:t>
            </w:r>
            <w:r>
              <w:rPr>
                <w:rFonts w:eastAsia="宋体" w:hint="eastAsia"/>
                <w:bCs/>
                <w:lang w:eastAsia="zh-CN"/>
              </w:rPr>
              <w:t>；</w:t>
            </w:r>
            <w:r>
              <w:rPr>
                <w:rFonts w:eastAsia="宋体" w:hint="eastAsia"/>
                <w:bCs/>
                <w:lang w:eastAsia="zh-CN"/>
              </w:rPr>
              <w:t>2025</w:t>
            </w:r>
            <w:r>
              <w:rPr>
                <w:rFonts w:eastAsia="宋体" w:hint="eastAsia"/>
                <w:bCs/>
                <w:lang w:eastAsia="zh-CN"/>
              </w:rPr>
              <w:t>年</w:t>
            </w:r>
            <w:r w:rsidRPr="009804DF">
              <w:rPr>
                <w:rFonts w:eastAsia="宋体" w:hint="eastAsia"/>
                <w:bCs/>
                <w:lang w:eastAsia="zh-CN"/>
              </w:rPr>
              <w:t>2</w:t>
            </w:r>
            <w:r w:rsidRPr="009804DF">
              <w:rPr>
                <w:rFonts w:eastAsia="宋体" w:hint="eastAsia"/>
                <w:bCs/>
                <w:lang w:eastAsia="zh-CN"/>
              </w:rPr>
              <w:t>月</w:t>
            </w:r>
            <w:r w:rsidRPr="009804DF">
              <w:rPr>
                <w:rFonts w:eastAsia="宋体" w:hint="eastAsia"/>
                <w:bCs/>
                <w:lang w:eastAsia="zh-CN"/>
              </w:rPr>
              <w:t>21</w:t>
            </w:r>
            <w:r w:rsidRPr="009804DF">
              <w:rPr>
                <w:rFonts w:eastAsia="宋体" w:hint="eastAsia"/>
                <w:bCs/>
                <w:lang w:eastAsia="zh-CN"/>
              </w:rPr>
              <w:t>日，新加坡金融管理局（</w:t>
            </w:r>
            <w:r w:rsidRPr="009804DF">
              <w:rPr>
                <w:rFonts w:eastAsia="宋体" w:hint="eastAsia"/>
                <w:bCs/>
                <w:lang w:eastAsia="zh-CN"/>
              </w:rPr>
              <w:t>MAS</w:t>
            </w:r>
            <w:r w:rsidRPr="009804DF">
              <w:rPr>
                <w:rFonts w:eastAsia="宋体" w:hint="eastAsia"/>
                <w:bCs/>
                <w:lang w:eastAsia="zh-CN"/>
              </w:rPr>
              <w:t>）证券市场检讨小组宣布，推出规模</w:t>
            </w:r>
            <w:r w:rsidRPr="009804DF">
              <w:rPr>
                <w:rFonts w:eastAsia="宋体" w:hint="eastAsia"/>
                <w:bCs/>
                <w:lang w:eastAsia="zh-CN"/>
              </w:rPr>
              <w:t>50</w:t>
            </w:r>
            <w:r w:rsidRPr="009804DF">
              <w:rPr>
                <w:rFonts w:eastAsia="宋体" w:hint="eastAsia"/>
                <w:bCs/>
                <w:lang w:eastAsia="zh-CN"/>
              </w:rPr>
              <w:t>亿新元的证券市场发展计划（</w:t>
            </w:r>
            <w:r w:rsidRPr="009804DF">
              <w:rPr>
                <w:rFonts w:eastAsia="宋体" w:hint="eastAsia"/>
                <w:bCs/>
                <w:lang w:eastAsia="zh-CN"/>
              </w:rPr>
              <w:t>EQDP</w:t>
            </w:r>
            <w:r w:rsidRPr="009804DF">
              <w:rPr>
                <w:rFonts w:eastAsia="宋体" w:hint="eastAsia"/>
                <w:bCs/>
                <w:lang w:eastAsia="zh-CN"/>
              </w:rPr>
              <w:t>）</w:t>
            </w:r>
            <w:r>
              <w:rPr>
                <w:rFonts w:eastAsia="宋体" w:hint="eastAsia"/>
                <w:bCs/>
                <w:lang w:eastAsia="zh-CN"/>
              </w:rPr>
              <w:t>；</w:t>
            </w:r>
            <w:r w:rsidRPr="004635B6">
              <w:rPr>
                <w:rFonts w:eastAsia="宋体"/>
                <w:bCs/>
                <w:lang w:eastAsia="zh-CN"/>
              </w:rPr>
              <w:t>旨在鼓励基金管理人带来更多的散户及机构投资者，提升交易流动性、提升价格发现、改善上市后估值合理性，并且带动投资者参与非指数成分股的交易。</w:t>
            </w:r>
            <w:r>
              <w:rPr>
                <w:rFonts w:eastAsia="宋体" w:hint="eastAsia"/>
                <w:bCs/>
                <w:lang w:eastAsia="zh-CN"/>
              </w:rPr>
              <w:t>韩国股市卖空禁令延长至</w:t>
            </w:r>
            <w:r>
              <w:rPr>
                <w:rFonts w:eastAsia="宋体" w:hint="eastAsia"/>
                <w:bCs/>
                <w:lang w:eastAsia="zh-CN"/>
              </w:rPr>
              <w:t>2025</w:t>
            </w:r>
            <w:r>
              <w:rPr>
                <w:rFonts w:eastAsia="宋体" w:hint="eastAsia"/>
                <w:bCs/>
                <w:lang w:eastAsia="zh-CN"/>
              </w:rPr>
              <w:t>年</w:t>
            </w:r>
            <w:r>
              <w:rPr>
                <w:rFonts w:eastAsia="宋体" w:hint="eastAsia"/>
                <w:bCs/>
                <w:lang w:eastAsia="zh-CN"/>
              </w:rPr>
              <w:t>3</w:t>
            </w:r>
            <w:r>
              <w:rPr>
                <w:rFonts w:eastAsia="宋体" w:hint="eastAsia"/>
                <w:bCs/>
                <w:lang w:eastAsia="zh-CN"/>
              </w:rPr>
              <w:t>月底，再加上半导体行业的复苏预期，在一定程度上推动股市企稳。</w:t>
            </w:r>
          </w:p>
        </w:tc>
      </w:tr>
      <w:tr w:rsidR="00140775" w14:paraId="1F60E3F0" w14:textId="77777777" w:rsidTr="00D72849">
        <w:trPr>
          <w:trHeight w:val="1001"/>
          <w:jc w:val="center"/>
        </w:trPr>
        <w:tc>
          <w:tcPr>
            <w:tcW w:w="2217" w:type="dxa"/>
            <w:gridSpan w:val="3"/>
          </w:tcPr>
          <w:p w14:paraId="472F3137" w14:textId="77777777" w:rsidR="00140775" w:rsidRDefault="00140775" w:rsidP="000E0157">
            <w:pPr>
              <w:pStyle w:val="-4"/>
            </w:pPr>
            <w:r>
              <w:rPr>
                <w:rFonts w:hint="eastAsia"/>
              </w:rPr>
              <w:t>贸易政策不确定性是东南亚货币和股市波动下行的主要原因。</w:t>
            </w:r>
          </w:p>
        </w:tc>
        <w:tc>
          <w:tcPr>
            <w:tcW w:w="241" w:type="dxa"/>
            <w:gridSpan w:val="2"/>
          </w:tcPr>
          <w:p w14:paraId="787FDB27" w14:textId="77777777" w:rsidR="00140775" w:rsidRDefault="00140775" w:rsidP="00D72849">
            <w:pPr>
              <w:keepNext/>
              <w:keepLines/>
              <w:spacing w:before="260" w:after="260"/>
              <w:ind w:firstLine="480"/>
              <w:rPr>
                <w:rFonts w:eastAsia="楷体_GB2312"/>
                <w:lang w:eastAsia="zh-CN"/>
              </w:rPr>
            </w:pPr>
          </w:p>
        </w:tc>
        <w:tc>
          <w:tcPr>
            <w:tcW w:w="7573" w:type="dxa"/>
            <w:gridSpan w:val="4"/>
          </w:tcPr>
          <w:p w14:paraId="5C074EA4" w14:textId="077AB564" w:rsidR="00140775" w:rsidRPr="004E5826" w:rsidRDefault="00140775" w:rsidP="00D72849">
            <w:pPr>
              <w:ind w:firstLine="482"/>
              <w:rPr>
                <w:rFonts w:eastAsia="宋体"/>
                <w:bCs/>
                <w:lang w:eastAsia="zh-CN"/>
              </w:rPr>
            </w:pPr>
            <w:r w:rsidRPr="002C0C4B">
              <w:rPr>
                <w:rFonts w:eastAsia="宋体" w:hint="eastAsia"/>
                <w:b/>
                <w:lang w:eastAsia="zh-CN"/>
              </w:rPr>
              <w:t>贸易政策不确定性是东南亚货币和股市波动下行的主要原因</w:t>
            </w:r>
            <w:r w:rsidRPr="002C0C4B">
              <w:rPr>
                <w:rFonts w:eastAsia="宋体" w:hint="eastAsia"/>
                <w:bCs/>
                <w:lang w:eastAsia="zh-CN"/>
              </w:rPr>
              <w:t>。</w:t>
            </w:r>
            <w:r>
              <w:rPr>
                <w:rFonts w:eastAsia="宋体" w:hint="eastAsia"/>
                <w:bCs/>
                <w:lang w:eastAsia="zh-CN"/>
              </w:rPr>
              <w:t>泰国经济增速不</w:t>
            </w:r>
            <w:r w:rsidR="00642F6A">
              <w:rPr>
                <w:rFonts w:eastAsia="宋体" w:hint="eastAsia"/>
                <w:bCs/>
                <w:lang w:eastAsia="zh-CN"/>
              </w:rPr>
              <w:t>及</w:t>
            </w:r>
            <w:r>
              <w:rPr>
                <w:rFonts w:eastAsia="宋体" w:hint="eastAsia"/>
                <w:bCs/>
                <w:lang w:eastAsia="zh-CN"/>
              </w:rPr>
              <w:t>预期，</w:t>
            </w:r>
            <w:r>
              <w:rPr>
                <w:rFonts w:eastAsia="宋体" w:hint="eastAsia"/>
                <w:bCs/>
                <w:lang w:eastAsia="zh-CN"/>
              </w:rPr>
              <w:t>2024</w:t>
            </w:r>
            <w:r>
              <w:rPr>
                <w:rFonts w:eastAsia="宋体" w:hint="eastAsia"/>
                <w:bCs/>
                <w:lang w:eastAsia="zh-CN"/>
              </w:rPr>
              <w:t>年后半年股市就进入技术熊市，再加上</w:t>
            </w:r>
            <w:r w:rsidRPr="00E849C3">
              <w:rPr>
                <w:rFonts w:eastAsia="宋体"/>
                <w:bCs/>
                <w:lang w:eastAsia="zh-CN"/>
              </w:rPr>
              <w:t>泰国对美国商品征收的进口关税高于华盛顿对泰国货物征收的关税，</w:t>
            </w:r>
            <w:r>
              <w:rPr>
                <w:rFonts w:eastAsia="宋体" w:hint="eastAsia"/>
                <w:bCs/>
                <w:lang w:eastAsia="zh-CN"/>
              </w:rPr>
              <w:t>“对等关税”政策和出口依赖带动泰国股市大幅下行。尽管越南第</w:t>
            </w:r>
            <w:r>
              <w:rPr>
                <w:rFonts w:eastAsia="宋体" w:hint="eastAsia"/>
                <w:bCs/>
                <w:lang w:eastAsia="zh-CN"/>
              </w:rPr>
              <w:t>1</w:t>
            </w:r>
            <w:r>
              <w:rPr>
                <w:rFonts w:eastAsia="宋体" w:hint="eastAsia"/>
                <w:bCs/>
                <w:lang w:eastAsia="zh-CN"/>
              </w:rPr>
              <w:t>季度经济增速显著，但贸易政策不确定性冲击，叠加越南较小的外汇储备规模，越南汇率仍呈现小幅贬值态势。</w:t>
            </w:r>
          </w:p>
        </w:tc>
      </w:tr>
      <w:tr w:rsidR="00140775" w14:paraId="384D9CB1" w14:textId="77777777" w:rsidTr="00D72849">
        <w:trPr>
          <w:trHeight w:val="1001"/>
          <w:jc w:val="center"/>
        </w:trPr>
        <w:tc>
          <w:tcPr>
            <w:tcW w:w="10031" w:type="dxa"/>
            <w:gridSpan w:val="9"/>
          </w:tcPr>
          <w:p w14:paraId="6315396A" w14:textId="162DB1DE" w:rsidR="00140775" w:rsidRPr="006F0FB7" w:rsidRDefault="00DB2622" w:rsidP="00D37774">
            <w:pPr>
              <w:pStyle w:val="a4"/>
            </w:pPr>
            <w:bookmarkStart w:id="48" w:name="_Toc196399433"/>
            <w:r>
              <w:rPr>
                <w:rFonts w:hint="eastAsia"/>
              </w:rPr>
              <w:lastRenderedPageBreak/>
              <w:t xml:space="preserve">图表 </w:t>
            </w:r>
            <w:r>
              <w:rPr>
                <w:rFonts w:hint="eastAsia"/>
              </w:rPr>
              <w:fldChar w:fldCharType="begin"/>
            </w:r>
            <w:r>
              <w:rPr>
                <w:rFonts w:hint="eastAsia"/>
              </w:rPr>
              <w:instrText xml:space="preserve"> SEQ 图表 \* ARABIC </w:instrText>
            </w:r>
            <w:r>
              <w:rPr>
                <w:rFonts w:hint="eastAsia"/>
              </w:rPr>
              <w:fldChar w:fldCharType="separate"/>
            </w:r>
            <w:r w:rsidR="00530ED7">
              <w:rPr>
                <w:rFonts w:hint="eastAsia"/>
                <w:noProof/>
              </w:rPr>
              <w:t>22</w:t>
            </w:r>
            <w:r>
              <w:rPr>
                <w:rFonts w:hint="eastAsia"/>
              </w:rPr>
              <w:fldChar w:fldCharType="end"/>
            </w:r>
            <w:r w:rsidR="00D37774" w:rsidRPr="00D37774">
              <w:t xml:space="preserve">  </w:t>
            </w:r>
            <w:r w:rsidR="00140775" w:rsidRPr="006F0FB7">
              <w:rPr>
                <w:rFonts w:hint="eastAsia"/>
              </w:rPr>
              <w:t>区内货币走势出现分化</w:t>
            </w:r>
            <w:bookmarkEnd w:id="48"/>
          </w:p>
          <w:p w14:paraId="40487F6F" w14:textId="77777777" w:rsidR="00140775" w:rsidRDefault="00140775" w:rsidP="00D72849">
            <w:pPr>
              <w:ind w:firstLine="480"/>
              <w:jc w:val="center"/>
              <w:rPr>
                <w:rFonts w:eastAsia="宋体"/>
                <w:b/>
                <w:lang w:eastAsia="zh-CN"/>
              </w:rPr>
            </w:pPr>
            <w:r>
              <w:rPr>
                <w:noProof/>
                <w:lang w:eastAsia="zh-CN" w:bidi="ar-SA"/>
              </w:rPr>
              <w:drawing>
                <wp:inline distT="0" distB="0" distL="0" distR="0" wp14:anchorId="4FE00F00" wp14:editId="5AEF14D4">
                  <wp:extent cx="5257800" cy="3282950"/>
                  <wp:effectExtent l="0" t="0" r="0" b="12700"/>
                  <wp:docPr id="863216279" name="图表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0F4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c>
      </w:tr>
      <w:tr w:rsidR="00140775" w14:paraId="4ED1D0BB" w14:textId="77777777" w:rsidTr="00D72849">
        <w:trPr>
          <w:trHeight w:val="1001"/>
          <w:jc w:val="center"/>
        </w:trPr>
        <w:tc>
          <w:tcPr>
            <w:tcW w:w="10031" w:type="dxa"/>
            <w:gridSpan w:val="9"/>
          </w:tcPr>
          <w:p w14:paraId="14810433" w14:textId="09C6D9E7" w:rsidR="00140775" w:rsidRPr="006F0FB7" w:rsidRDefault="00DB2622" w:rsidP="00D37774">
            <w:pPr>
              <w:pStyle w:val="a4"/>
            </w:pPr>
            <w:bookmarkStart w:id="49" w:name="_Toc196399434"/>
            <w:r>
              <w:rPr>
                <w:rFonts w:hint="eastAsia"/>
              </w:rPr>
              <w:t xml:space="preserve">图表 </w:t>
            </w:r>
            <w:r>
              <w:rPr>
                <w:rFonts w:hint="eastAsia"/>
              </w:rPr>
              <w:fldChar w:fldCharType="begin"/>
            </w:r>
            <w:r>
              <w:rPr>
                <w:rFonts w:hint="eastAsia"/>
              </w:rPr>
              <w:instrText xml:space="preserve"> SEQ 图表 \* ARABIC </w:instrText>
            </w:r>
            <w:r>
              <w:rPr>
                <w:rFonts w:hint="eastAsia"/>
              </w:rPr>
              <w:fldChar w:fldCharType="separate"/>
            </w:r>
            <w:r w:rsidR="00530ED7">
              <w:rPr>
                <w:rFonts w:hint="eastAsia"/>
                <w:noProof/>
              </w:rPr>
              <w:t>23</w:t>
            </w:r>
            <w:r>
              <w:rPr>
                <w:rFonts w:hint="eastAsia"/>
              </w:rPr>
              <w:fldChar w:fldCharType="end"/>
            </w:r>
            <w:r w:rsidR="00D37774" w:rsidRPr="00D37774">
              <w:t xml:space="preserve">  </w:t>
            </w:r>
            <w:r w:rsidR="00140775" w:rsidRPr="006F0FB7">
              <w:rPr>
                <w:rFonts w:hint="eastAsia"/>
              </w:rPr>
              <w:t>区内金融市场出现分化</w:t>
            </w:r>
            <w:bookmarkEnd w:id="49"/>
          </w:p>
          <w:p w14:paraId="348AE076" w14:textId="77777777" w:rsidR="00140775" w:rsidRPr="002F5433" w:rsidRDefault="00140775" w:rsidP="00D72849">
            <w:pPr>
              <w:ind w:firstLine="480"/>
              <w:jc w:val="center"/>
              <w:rPr>
                <w:rFonts w:eastAsia="宋体"/>
                <w:b/>
                <w:lang w:eastAsia="zh-CN"/>
              </w:rPr>
            </w:pPr>
            <w:r>
              <w:rPr>
                <w:noProof/>
                <w:lang w:eastAsia="zh-CN" w:bidi="ar-SA"/>
              </w:rPr>
              <w:drawing>
                <wp:inline distT="0" distB="0" distL="0" distR="0" wp14:anchorId="2C3D2C8F" wp14:editId="716DCDE5">
                  <wp:extent cx="5086350" cy="2871788"/>
                  <wp:effectExtent l="0" t="0" r="0" b="5080"/>
                  <wp:docPr id="1112780224" name="图表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600-00001508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tc>
      </w:tr>
      <w:tr w:rsidR="00140775" w14:paraId="0E66E765" w14:textId="77777777" w:rsidTr="00D72849">
        <w:trPr>
          <w:trHeight w:val="2284"/>
          <w:jc w:val="center"/>
        </w:trPr>
        <w:tc>
          <w:tcPr>
            <w:tcW w:w="2217" w:type="dxa"/>
            <w:gridSpan w:val="3"/>
          </w:tcPr>
          <w:p w14:paraId="52295F30" w14:textId="77777777" w:rsidR="000E0157" w:rsidRDefault="000E0157" w:rsidP="000E0157">
            <w:pPr>
              <w:pStyle w:val="-4"/>
            </w:pPr>
          </w:p>
          <w:p w14:paraId="624162CF" w14:textId="26637FC5" w:rsidR="00140775" w:rsidRDefault="00140775" w:rsidP="000E0157">
            <w:pPr>
              <w:pStyle w:val="-4"/>
            </w:pPr>
            <w:r>
              <w:rPr>
                <w:rFonts w:hint="eastAsia"/>
              </w:rPr>
              <w:t>军政关系调整叠加财政赤字带动印尼汇股双杀。</w:t>
            </w:r>
          </w:p>
        </w:tc>
        <w:tc>
          <w:tcPr>
            <w:tcW w:w="241" w:type="dxa"/>
            <w:gridSpan w:val="2"/>
          </w:tcPr>
          <w:p w14:paraId="017886FB" w14:textId="77777777" w:rsidR="00140775" w:rsidRDefault="00140775" w:rsidP="00D72849">
            <w:pPr>
              <w:keepNext/>
              <w:keepLines/>
              <w:spacing w:before="260" w:after="260"/>
              <w:ind w:firstLine="480"/>
              <w:rPr>
                <w:rFonts w:eastAsia="楷体_GB2312"/>
                <w:lang w:eastAsia="zh-CN"/>
              </w:rPr>
            </w:pPr>
          </w:p>
        </w:tc>
        <w:tc>
          <w:tcPr>
            <w:tcW w:w="7573" w:type="dxa"/>
            <w:gridSpan w:val="4"/>
          </w:tcPr>
          <w:p w14:paraId="07DEEE41" w14:textId="77777777" w:rsidR="00140775" w:rsidRPr="00C24975" w:rsidRDefault="00140775" w:rsidP="00D72849">
            <w:pPr>
              <w:ind w:firstLine="482"/>
              <w:rPr>
                <w:rFonts w:eastAsia="宋体"/>
                <w:bCs/>
                <w:lang w:eastAsia="zh-CN"/>
              </w:rPr>
            </w:pPr>
            <w:r w:rsidRPr="00C87B4C">
              <w:rPr>
                <w:rFonts w:eastAsia="宋体" w:hint="eastAsia"/>
                <w:b/>
                <w:lang w:eastAsia="zh-CN"/>
              </w:rPr>
              <w:t>政府不稳定叠加财政赤字带动印尼汇股双杀</w:t>
            </w:r>
            <w:r>
              <w:rPr>
                <w:rFonts w:eastAsia="宋体" w:hint="eastAsia"/>
                <w:bCs/>
                <w:lang w:eastAsia="zh-CN"/>
              </w:rPr>
              <w:t>。</w:t>
            </w:r>
            <w:r>
              <w:rPr>
                <w:rFonts w:eastAsia="宋体" w:hint="eastAsia"/>
                <w:bCs/>
                <w:lang w:eastAsia="zh-CN"/>
              </w:rPr>
              <w:t>3</w:t>
            </w:r>
            <w:r>
              <w:rPr>
                <w:rFonts w:eastAsia="宋体" w:hint="eastAsia"/>
                <w:bCs/>
                <w:lang w:eastAsia="zh-CN"/>
              </w:rPr>
              <w:t>月印尼股市大幅下行；</w:t>
            </w:r>
            <w:r w:rsidRPr="00E849C3">
              <w:rPr>
                <w:rFonts w:eastAsia="宋体" w:hint="eastAsia"/>
                <w:bCs/>
                <w:lang w:eastAsia="zh-CN"/>
              </w:rPr>
              <w:t>3</w:t>
            </w:r>
            <w:r w:rsidRPr="00E849C3">
              <w:rPr>
                <w:rFonts w:eastAsia="宋体" w:hint="eastAsia"/>
                <w:bCs/>
                <w:lang w:eastAsia="zh-CN"/>
              </w:rPr>
              <w:t>月</w:t>
            </w:r>
            <w:r w:rsidRPr="00E849C3">
              <w:rPr>
                <w:rFonts w:eastAsia="宋体" w:hint="eastAsia"/>
                <w:bCs/>
                <w:lang w:eastAsia="zh-CN"/>
              </w:rPr>
              <w:t>18</w:t>
            </w:r>
            <w:r w:rsidRPr="00E849C3">
              <w:rPr>
                <w:rFonts w:eastAsia="宋体" w:hint="eastAsia"/>
                <w:bCs/>
                <w:lang w:eastAsia="zh-CN"/>
              </w:rPr>
              <w:t>日，印尼综合指数</w:t>
            </w:r>
            <w:r w:rsidRPr="00E849C3">
              <w:rPr>
                <w:rFonts w:eastAsia="宋体" w:hint="eastAsia"/>
                <w:bCs/>
                <w:lang w:eastAsia="zh-CN"/>
              </w:rPr>
              <w:t>(JCI)</w:t>
            </w:r>
            <w:r w:rsidRPr="00E849C3">
              <w:rPr>
                <w:rFonts w:eastAsia="宋体" w:hint="eastAsia"/>
                <w:bCs/>
                <w:lang w:eastAsia="zh-CN"/>
              </w:rPr>
              <w:t>开盘就</w:t>
            </w:r>
            <w:r>
              <w:rPr>
                <w:rFonts w:eastAsia="宋体" w:hint="eastAsia"/>
                <w:bCs/>
                <w:lang w:eastAsia="zh-CN"/>
              </w:rPr>
              <w:t>大跌</w:t>
            </w:r>
            <w:r w:rsidRPr="00E849C3">
              <w:rPr>
                <w:rFonts w:eastAsia="宋体" w:hint="eastAsia"/>
                <w:bCs/>
                <w:lang w:eastAsia="zh-CN"/>
              </w:rPr>
              <w:t>5%</w:t>
            </w:r>
            <w:r w:rsidRPr="00E849C3">
              <w:rPr>
                <w:rFonts w:eastAsia="宋体" w:hint="eastAsia"/>
                <w:bCs/>
                <w:lang w:eastAsia="zh-CN"/>
              </w:rPr>
              <w:t>，触发了熔断机制，交易暂停</w:t>
            </w:r>
            <w:r>
              <w:rPr>
                <w:rFonts w:eastAsia="宋体" w:hint="eastAsia"/>
                <w:bCs/>
                <w:lang w:eastAsia="zh-CN"/>
              </w:rPr>
              <w:t>并</w:t>
            </w:r>
            <w:r w:rsidRPr="00E849C3">
              <w:rPr>
                <w:rFonts w:eastAsia="宋体" w:hint="eastAsia"/>
                <w:bCs/>
                <w:lang w:eastAsia="zh-CN"/>
              </w:rPr>
              <w:t>恢复后，指数继续跳水，</w:t>
            </w:r>
            <w:r>
              <w:rPr>
                <w:rFonts w:eastAsia="宋体" w:hint="eastAsia"/>
                <w:bCs/>
                <w:lang w:eastAsia="zh-CN"/>
              </w:rPr>
              <w:t>最大跌幅超</w:t>
            </w:r>
            <w:r w:rsidRPr="00E849C3">
              <w:rPr>
                <w:rFonts w:eastAsia="宋体" w:hint="eastAsia"/>
                <w:bCs/>
                <w:lang w:eastAsia="zh-CN"/>
              </w:rPr>
              <w:t>7%</w:t>
            </w:r>
            <w:r w:rsidRPr="00E849C3">
              <w:rPr>
                <w:rFonts w:eastAsia="宋体" w:hint="eastAsia"/>
                <w:bCs/>
                <w:lang w:eastAsia="zh-CN"/>
              </w:rPr>
              <w:t>，最低跌到</w:t>
            </w:r>
            <w:r w:rsidRPr="00E849C3">
              <w:rPr>
                <w:rFonts w:eastAsia="宋体" w:hint="eastAsia"/>
                <w:bCs/>
                <w:lang w:eastAsia="zh-CN"/>
              </w:rPr>
              <w:t>6021.34</w:t>
            </w:r>
            <w:r w:rsidRPr="00E849C3">
              <w:rPr>
                <w:rFonts w:eastAsia="宋体" w:hint="eastAsia"/>
                <w:bCs/>
                <w:lang w:eastAsia="zh-CN"/>
              </w:rPr>
              <w:t>点，创下了</w:t>
            </w:r>
            <w:r w:rsidRPr="00E849C3">
              <w:rPr>
                <w:rFonts w:eastAsia="宋体" w:hint="eastAsia"/>
                <w:bCs/>
                <w:lang w:eastAsia="zh-CN"/>
              </w:rPr>
              <w:t>2024</w:t>
            </w:r>
            <w:r w:rsidRPr="00E849C3">
              <w:rPr>
                <w:rFonts w:eastAsia="宋体" w:hint="eastAsia"/>
                <w:bCs/>
                <w:lang w:eastAsia="zh-CN"/>
              </w:rPr>
              <w:t>年</w:t>
            </w:r>
            <w:r w:rsidRPr="00E849C3">
              <w:rPr>
                <w:rFonts w:eastAsia="宋体" w:hint="eastAsia"/>
                <w:bCs/>
                <w:lang w:eastAsia="zh-CN"/>
              </w:rPr>
              <w:t>8</w:t>
            </w:r>
            <w:r w:rsidRPr="00E849C3">
              <w:rPr>
                <w:rFonts w:eastAsia="宋体" w:hint="eastAsia"/>
                <w:bCs/>
                <w:lang w:eastAsia="zh-CN"/>
              </w:rPr>
              <w:t>月以来的新低</w:t>
            </w:r>
            <w:r>
              <w:rPr>
                <w:rFonts w:eastAsia="宋体" w:hint="eastAsia"/>
                <w:bCs/>
                <w:lang w:eastAsia="zh-CN"/>
              </w:rPr>
              <w:t>。印尼政府推动</w:t>
            </w:r>
            <w:r w:rsidRPr="00C87B4C">
              <w:rPr>
                <w:rFonts w:eastAsia="宋体" w:hint="eastAsia"/>
                <w:bCs/>
                <w:lang w:eastAsia="zh-CN"/>
              </w:rPr>
              <w:t>修订</w:t>
            </w:r>
            <w:r>
              <w:rPr>
                <w:rFonts w:eastAsia="宋体" w:hint="eastAsia"/>
                <w:bCs/>
                <w:lang w:eastAsia="zh-CN"/>
              </w:rPr>
              <w:t>的</w:t>
            </w:r>
            <w:r w:rsidRPr="00C87B4C">
              <w:rPr>
                <w:rFonts w:eastAsia="宋体" w:hint="eastAsia"/>
                <w:bCs/>
                <w:lang w:eastAsia="zh-CN"/>
              </w:rPr>
              <w:t>《印尼国民军法》</w:t>
            </w:r>
            <w:r>
              <w:rPr>
                <w:rFonts w:eastAsia="宋体" w:hint="eastAsia"/>
                <w:bCs/>
                <w:lang w:eastAsia="zh-CN"/>
              </w:rPr>
              <w:t>涉及军政关系调整，可能会引发政坛政治</w:t>
            </w:r>
            <w:r>
              <w:rPr>
                <w:rFonts w:eastAsia="宋体" w:hint="eastAsia"/>
                <w:bCs/>
                <w:lang w:eastAsia="zh-CN"/>
              </w:rPr>
              <w:lastRenderedPageBreak/>
              <w:t>博弈；这种不确定性使得外资持续流出国内市场，仅</w:t>
            </w:r>
            <w:r>
              <w:rPr>
                <w:rFonts w:eastAsia="宋体" w:hint="eastAsia"/>
                <w:bCs/>
                <w:lang w:eastAsia="zh-CN"/>
              </w:rPr>
              <w:t>2</w:t>
            </w:r>
            <w:r>
              <w:rPr>
                <w:rFonts w:eastAsia="宋体" w:hint="eastAsia"/>
                <w:bCs/>
                <w:lang w:eastAsia="zh-CN"/>
              </w:rPr>
              <w:t>月份，印尼股市资金净流出就达到</w:t>
            </w:r>
            <w:r>
              <w:rPr>
                <w:rFonts w:eastAsia="宋体" w:hint="eastAsia"/>
                <w:bCs/>
                <w:lang w:eastAsia="zh-CN"/>
              </w:rPr>
              <w:t>11.1</w:t>
            </w:r>
            <w:r>
              <w:rPr>
                <w:rFonts w:eastAsia="宋体" w:hint="eastAsia"/>
                <w:bCs/>
                <w:lang w:eastAsia="zh-CN"/>
              </w:rPr>
              <w:t>亿美元。其次，</w:t>
            </w:r>
            <w:r>
              <w:rPr>
                <w:rFonts w:hint="eastAsia"/>
                <w:lang w:eastAsia="zh-CN"/>
              </w:rPr>
              <w:t>大宗商品价格疲软下的政府财政赤字也给股市带来较大下行压力；作为能源出口大国，大宗商品价格疲软，使得政府收入大幅下滑。</w:t>
            </w:r>
            <w:r w:rsidRPr="00843054">
              <w:rPr>
                <w:lang w:eastAsia="zh-CN"/>
              </w:rPr>
              <w:t xml:space="preserve">2 </w:t>
            </w:r>
            <w:r w:rsidRPr="00843054">
              <w:rPr>
                <w:lang w:eastAsia="zh-CN"/>
              </w:rPr>
              <w:t>月份</w:t>
            </w:r>
            <w:r>
              <w:rPr>
                <w:rFonts w:hint="eastAsia"/>
                <w:lang w:eastAsia="zh-CN"/>
              </w:rPr>
              <w:t>印尼</w:t>
            </w:r>
            <w:r w:rsidRPr="00843054">
              <w:rPr>
                <w:lang w:eastAsia="zh-CN"/>
              </w:rPr>
              <w:t>出现了预算赤字，</w:t>
            </w:r>
            <w:r w:rsidRPr="00843054">
              <w:rPr>
                <w:rFonts w:hint="eastAsia"/>
                <w:lang w:eastAsia="zh-CN"/>
              </w:rPr>
              <w:t>上一次在年初出现预算赤字</w:t>
            </w:r>
            <w:r>
              <w:rPr>
                <w:rFonts w:hint="eastAsia"/>
                <w:lang w:eastAsia="zh-CN"/>
              </w:rPr>
              <w:t>是新冠疫情最严重的</w:t>
            </w:r>
            <w:r w:rsidRPr="00843054">
              <w:rPr>
                <w:lang w:eastAsia="zh-CN"/>
              </w:rPr>
              <w:t>2021</w:t>
            </w:r>
            <w:r w:rsidRPr="00843054">
              <w:rPr>
                <w:lang w:eastAsia="zh-CN"/>
              </w:rPr>
              <w:t>年</w:t>
            </w:r>
            <w:r>
              <w:rPr>
                <w:rFonts w:hint="eastAsia"/>
                <w:lang w:eastAsia="zh-CN"/>
              </w:rPr>
              <w:t>，</w:t>
            </w:r>
            <w:r w:rsidRPr="00843054">
              <w:rPr>
                <w:lang w:eastAsia="zh-CN"/>
              </w:rPr>
              <w:t>这增加了人们对今年政府财政健康状况的担忧</w:t>
            </w:r>
            <w:r>
              <w:rPr>
                <w:rFonts w:hint="eastAsia"/>
                <w:lang w:eastAsia="zh-CN"/>
              </w:rPr>
              <w:t>。特别的，</w:t>
            </w:r>
            <w:r>
              <w:rPr>
                <w:rFonts w:hint="eastAsia"/>
                <w:lang w:eastAsia="zh-CN"/>
              </w:rPr>
              <w:t>2</w:t>
            </w:r>
            <w:r>
              <w:rPr>
                <w:rFonts w:hint="eastAsia"/>
                <w:lang w:eastAsia="zh-CN"/>
              </w:rPr>
              <w:t>月份的通缩也使得股市在一定程度上承压。</w:t>
            </w:r>
          </w:p>
        </w:tc>
      </w:tr>
      <w:tr w:rsidR="00140775" w14:paraId="4800F81A" w14:textId="77777777" w:rsidTr="00D72849">
        <w:trPr>
          <w:trHeight w:val="416"/>
          <w:jc w:val="center"/>
        </w:trPr>
        <w:tc>
          <w:tcPr>
            <w:tcW w:w="2217" w:type="dxa"/>
            <w:gridSpan w:val="3"/>
          </w:tcPr>
          <w:p w14:paraId="5C044FEB" w14:textId="77777777" w:rsidR="000E0157" w:rsidRDefault="000E0157" w:rsidP="000E0157">
            <w:pPr>
              <w:pStyle w:val="-4"/>
            </w:pPr>
          </w:p>
          <w:p w14:paraId="7D64362C" w14:textId="77777777" w:rsidR="000E0157" w:rsidRDefault="000E0157" w:rsidP="000E0157">
            <w:pPr>
              <w:pStyle w:val="-4"/>
            </w:pPr>
          </w:p>
          <w:p w14:paraId="1CC7BA04" w14:textId="2C7AC855" w:rsidR="00140775" w:rsidRDefault="00140775" w:rsidP="000E0157">
            <w:pPr>
              <w:pStyle w:val="-4"/>
              <w:rPr>
                <w:rFonts w:ascii="Times New Roman" w:hAnsi="Times New Roman"/>
              </w:rPr>
            </w:pPr>
            <w:r w:rsidRPr="00CD1ECE">
              <w:rPr>
                <w:rFonts w:hint="eastAsia"/>
              </w:rPr>
              <w:t>要警惕金融市场过度波动</w:t>
            </w:r>
            <w:r>
              <w:rPr>
                <w:rFonts w:hint="eastAsia"/>
              </w:rPr>
              <w:t>和供应链重构</w:t>
            </w:r>
            <w:r w:rsidRPr="00CD1ECE">
              <w:rPr>
                <w:rFonts w:hint="eastAsia"/>
              </w:rPr>
              <w:t>风险</w:t>
            </w:r>
            <w:r>
              <w:rPr>
                <w:rFonts w:hint="eastAsia"/>
              </w:rPr>
              <w:t>。</w:t>
            </w:r>
          </w:p>
        </w:tc>
        <w:tc>
          <w:tcPr>
            <w:tcW w:w="241" w:type="dxa"/>
            <w:gridSpan w:val="2"/>
          </w:tcPr>
          <w:p w14:paraId="3537DCA5" w14:textId="77777777" w:rsidR="00140775" w:rsidRDefault="00140775" w:rsidP="00D72849">
            <w:pPr>
              <w:keepNext/>
              <w:keepLines/>
              <w:spacing w:before="260" w:after="260"/>
              <w:ind w:firstLine="480"/>
              <w:rPr>
                <w:rFonts w:eastAsia="楷体_GB2312"/>
                <w:lang w:eastAsia="zh-CN"/>
              </w:rPr>
            </w:pPr>
          </w:p>
        </w:tc>
        <w:tc>
          <w:tcPr>
            <w:tcW w:w="7573" w:type="dxa"/>
            <w:gridSpan w:val="4"/>
          </w:tcPr>
          <w:p w14:paraId="3B187614" w14:textId="77777777" w:rsidR="00140775" w:rsidRDefault="00140775" w:rsidP="00D72849">
            <w:pPr>
              <w:ind w:firstLineChars="0" w:firstLine="0"/>
              <w:rPr>
                <w:rFonts w:eastAsia="宋体"/>
                <w:b/>
                <w:sz w:val="28"/>
                <w:szCs w:val="28"/>
                <w:lang w:eastAsia="zh-CN"/>
              </w:rPr>
            </w:pPr>
            <w:r w:rsidRPr="00786FB4">
              <w:rPr>
                <w:rFonts w:eastAsia="宋体" w:hint="eastAsia"/>
                <w:b/>
                <w:sz w:val="28"/>
                <w:szCs w:val="28"/>
                <w:lang w:eastAsia="zh-CN"/>
              </w:rPr>
              <w:t>四、展望</w:t>
            </w:r>
          </w:p>
          <w:p w14:paraId="3476AE14" w14:textId="77777777" w:rsidR="00140775" w:rsidRPr="006D7D49" w:rsidRDefault="00140775" w:rsidP="00D72849">
            <w:pPr>
              <w:ind w:firstLine="482"/>
              <w:rPr>
                <w:rFonts w:eastAsia="宋体"/>
                <w:bCs/>
                <w:lang w:eastAsia="zh-CN"/>
              </w:rPr>
            </w:pPr>
            <w:r w:rsidRPr="00CD1ECE">
              <w:rPr>
                <w:rFonts w:eastAsia="宋体" w:hint="eastAsia"/>
                <w:b/>
                <w:lang w:eastAsia="zh-CN"/>
              </w:rPr>
              <w:t>要警惕金融市场过度波动和供应链重构风险</w:t>
            </w:r>
            <w:r>
              <w:rPr>
                <w:rFonts w:eastAsia="宋体" w:hint="eastAsia"/>
                <w:bCs/>
                <w:lang w:eastAsia="zh-CN"/>
              </w:rPr>
              <w:t>。“对等关税”相关政策冲击下，区域金融市场波动风险和区域金融脆弱性持续加剧。区内金融市场受贸易政策影响较大，再加上不稳定的政坛、有限的政策调整空间，都使得区域金融市场脆弱性大幅上升。</w:t>
            </w:r>
            <w:r>
              <w:rPr>
                <w:rFonts w:eastAsia="宋体" w:hint="eastAsia"/>
                <w:bCs/>
                <w:lang w:eastAsia="zh-CN"/>
              </w:rPr>
              <w:t xml:space="preserve"> </w:t>
            </w:r>
            <w:r>
              <w:rPr>
                <w:rFonts w:eastAsia="宋体" w:hint="eastAsia"/>
                <w:bCs/>
                <w:lang w:eastAsia="zh-CN"/>
              </w:rPr>
              <w:t>“对等关税”相关政策也对区域供应链重构带来较大冲击。一是鞋类、纺织服装等轻工业产品短期冲击较大，特别是越南和柬埔寨；二是汽车相关供应链也面临较大冲击，特别是泰国和韩国；泰国对美国进口汽车和相关零部件的关税水平在</w:t>
            </w:r>
            <w:r>
              <w:rPr>
                <w:rFonts w:eastAsia="宋体" w:hint="eastAsia"/>
                <w:bCs/>
                <w:lang w:eastAsia="zh-CN"/>
              </w:rPr>
              <w:t>3</w:t>
            </w:r>
            <w:r>
              <w:rPr>
                <w:rFonts w:eastAsia="宋体"/>
                <w:bCs/>
                <w:lang w:eastAsia="zh-CN"/>
              </w:rPr>
              <w:t>0%</w:t>
            </w:r>
            <w:r>
              <w:rPr>
                <w:rFonts w:eastAsia="宋体" w:hint="eastAsia"/>
                <w:bCs/>
                <w:lang w:eastAsia="zh-CN"/>
              </w:rPr>
              <w:t>左右，“对等关税”下泰国面临下调进口关税或者出口下滑的两难选择。此外，半导体等相关产业投资也将受到较大影响，特别是泰国和马来西亚。</w:t>
            </w:r>
          </w:p>
        </w:tc>
      </w:tr>
      <w:tr w:rsidR="00140775" w14:paraId="5C433A75" w14:textId="77777777" w:rsidTr="00D72849">
        <w:trPr>
          <w:trHeight w:val="1773"/>
          <w:jc w:val="center"/>
        </w:trPr>
        <w:tc>
          <w:tcPr>
            <w:tcW w:w="2217" w:type="dxa"/>
            <w:gridSpan w:val="3"/>
          </w:tcPr>
          <w:p w14:paraId="683AD82E" w14:textId="77777777" w:rsidR="00140775" w:rsidRDefault="00140775" w:rsidP="000E0157">
            <w:pPr>
              <w:pStyle w:val="-4"/>
              <w:rPr>
                <w:rFonts w:ascii="Times New Roman" w:hAnsi="Times New Roman"/>
              </w:rPr>
            </w:pPr>
            <w:r w:rsidRPr="00232D22">
              <w:rPr>
                <w:rFonts w:hint="eastAsia"/>
              </w:rPr>
              <w:t>要</w:t>
            </w:r>
            <w:r>
              <w:rPr>
                <w:rFonts w:hint="eastAsia"/>
              </w:rPr>
              <w:t>加大区域金融和贸易合作。</w:t>
            </w:r>
          </w:p>
        </w:tc>
        <w:tc>
          <w:tcPr>
            <w:tcW w:w="241" w:type="dxa"/>
            <w:gridSpan w:val="2"/>
          </w:tcPr>
          <w:p w14:paraId="34845BA4" w14:textId="77777777" w:rsidR="00140775" w:rsidRDefault="00140775" w:rsidP="00D72849">
            <w:pPr>
              <w:keepNext/>
              <w:keepLines/>
              <w:spacing w:before="260" w:after="260"/>
              <w:ind w:firstLine="480"/>
              <w:rPr>
                <w:rFonts w:eastAsia="楷体_GB2312"/>
                <w:lang w:eastAsia="zh-CN"/>
              </w:rPr>
            </w:pPr>
          </w:p>
        </w:tc>
        <w:tc>
          <w:tcPr>
            <w:tcW w:w="7573" w:type="dxa"/>
            <w:gridSpan w:val="4"/>
          </w:tcPr>
          <w:p w14:paraId="54BC70E1" w14:textId="77777777" w:rsidR="00140775" w:rsidRPr="009B4022" w:rsidRDefault="00140775" w:rsidP="00D72849">
            <w:pPr>
              <w:ind w:firstLine="482"/>
              <w:rPr>
                <w:rFonts w:eastAsia="宋体"/>
                <w:b/>
                <w:lang w:eastAsia="zh-CN"/>
              </w:rPr>
            </w:pPr>
            <w:r w:rsidRPr="009B4022">
              <w:rPr>
                <w:rFonts w:eastAsia="宋体" w:hint="eastAsia"/>
                <w:b/>
                <w:lang w:eastAsia="zh-CN"/>
              </w:rPr>
              <w:t>要加大区域金融和贸易合作</w:t>
            </w:r>
            <w:r>
              <w:rPr>
                <w:rFonts w:eastAsia="宋体" w:hint="eastAsia"/>
                <w:bCs/>
                <w:lang w:eastAsia="zh-CN"/>
              </w:rPr>
              <w:t>。</w:t>
            </w:r>
            <w:r>
              <w:rPr>
                <w:rFonts w:ascii="Segoe UI" w:hAnsi="Segoe UI" w:cs="Segoe UI"/>
                <w:shd w:val="clear" w:color="auto" w:fill="FFFFFF"/>
                <w:lang w:eastAsia="zh-CN"/>
              </w:rPr>
              <w:t>面对特朗普</w:t>
            </w:r>
            <w:r>
              <w:rPr>
                <w:rFonts w:ascii="Segoe UI" w:hAnsi="Segoe UI" w:cs="Segoe UI" w:hint="eastAsia"/>
                <w:shd w:val="clear" w:color="auto" w:fill="FFFFFF"/>
                <w:lang w:eastAsia="zh-CN"/>
              </w:rPr>
              <w:t>关税等</w:t>
            </w:r>
            <w:r>
              <w:rPr>
                <w:rFonts w:ascii="Segoe UI" w:hAnsi="Segoe UI" w:cs="Segoe UI"/>
                <w:shd w:val="clear" w:color="auto" w:fill="FFFFFF"/>
                <w:lang w:eastAsia="zh-CN"/>
              </w:rPr>
              <w:t>政策带来的不确定性，亚洲国家必须通过加强区域合作来保障自身利益。</w:t>
            </w:r>
            <w:r>
              <w:rPr>
                <w:rFonts w:ascii="Segoe UI" w:hAnsi="Segoe UI" w:cs="Segoe UI" w:hint="eastAsia"/>
                <w:shd w:val="clear" w:color="auto" w:fill="FFFFFF"/>
                <w:lang w:eastAsia="zh-CN"/>
              </w:rPr>
              <w:t>一是区域乃至亚洲</w:t>
            </w:r>
            <w:r w:rsidRPr="009B4022">
              <w:rPr>
                <w:rFonts w:ascii="Segoe UI" w:hAnsi="Segoe UI" w:cs="Segoe UI" w:hint="eastAsia"/>
                <w:shd w:val="clear" w:color="auto" w:fill="FFFFFF"/>
                <w:lang w:eastAsia="zh-CN"/>
              </w:rPr>
              <w:t>国家</w:t>
            </w:r>
            <w:r>
              <w:rPr>
                <w:rFonts w:ascii="Segoe UI" w:hAnsi="Segoe UI" w:cs="Segoe UI" w:hint="eastAsia"/>
                <w:shd w:val="clear" w:color="auto" w:fill="FFFFFF"/>
                <w:lang w:eastAsia="zh-CN"/>
              </w:rPr>
              <w:t>要</w:t>
            </w:r>
            <w:r w:rsidRPr="009B4022">
              <w:rPr>
                <w:rFonts w:ascii="Segoe UI" w:hAnsi="Segoe UI" w:cs="Segoe UI" w:hint="eastAsia"/>
                <w:shd w:val="clear" w:color="auto" w:fill="FFFFFF"/>
                <w:lang w:eastAsia="zh-CN"/>
              </w:rPr>
              <w:t>加强战略和安全合作，利用东盟（</w:t>
            </w:r>
            <w:r w:rsidRPr="009B4022">
              <w:rPr>
                <w:rFonts w:ascii="Segoe UI" w:hAnsi="Segoe UI" w:cs="Segoe UI" w:hint="eastAsia"/>
                <w:shd w:val="clear" w:color="auto" w:fill="FFFFFF"/>
                <w:lang w:eastAsia="zh-CN"/>
              </w:rPr>
              <w:t>ASEAN</w:t>
            </w:r>
            <w:r w:rsidRPr="009B4022">
              <w:rPr>
                <w:rFonts w:ascii="Segoe UI" w:hAnsi="Segoe UI" w:cs="Segoe UI" w:hint="eastAsia"/>
                <w:shd w:val="clear" w:color="auto" w:fill="FFFFFF"/>
                <w:lang w:eastAsia="zh-CN"/>
              </w:rPr>
              <w:t>）、</w:t>
            </w:r>
            <w:r w:rsidRPr="0080330D">
              <w:rPr>
                <w:rFonts w:ascii="Segoe UI" w:hAnsi="Segoe UI" w:cs="Segoe UI" w:hint="eastAsia"/>
                <w:shd w:val="clear" w:color="auto" w:fill="FFFFFF"/>
                <w:lang w:eastAsia="zh-CN"/>
              </w:rPr>
              <w:t>东盟与中日韩（</w:t>
            </w:r>
            <w:r w:rsidRPr="0080330D">
              <w:rPr>
                <w:rFonts w:ascii="Segoe UI" w:hAnsi="Segoe UI" w:cs="Segoe UI" w:hint="eastAsia"/>
                <w:shd w:val="clear" w:color="auto" w:fill="FFFFFF"/>
                <w:lang w:eastAsia="zh-CN"/>
              </w:rPr>
              <w:t>10+3</w:t>
            </w:r>
            <w:r w:rsidRPr="0080330D">
              <w:rPr>
                <w:rFonts w:ascii="Segoe UI" w:hAnsi="Segoe UI" w:cs="Segoe UI" w:hint="eastAsia"/>
                <w:shd w:val="clear" w:color="auto" w:fill="FFFFFF"/>
                <w:lang w:eastAsia="zh-CN"/>
              </w:rPr>
              <w:t>）</w:t>
            </w:r>
            <w:r w:rsidRPr="009B4022">
              <w:rPr>
                <w:rFonts w:ascii="Segoe UI" w:hAnsi="Segoe UI" w:cs="Segoe UI" w:hint="eastAsia"/>
                <w:shd w:val="clear" w:color="auto" w:fill="FFFFFF"/>
                <w:lang w:eastAsia="zh-CN"/>
              </w:rPr>
              <w:t>和东亚峰会等平台构建缓冲机制，应对美国政策的不确定性和地缘政治紧张局势。</w:t>
            </w:r>
            <w:r>
              <w:rPr>
                <w:rFonts w:ascii="Segoe UI" w:hAnsi="Segoe UI" w:cs="Segoe UI" w:hint="eastAsia"/>
                <w:shd w:val="clear" w:color="auto" w:fill="FFFFFF"/>
                <w:lang w:eastAsia="zh-CN"/>
              </w:rPr>
              <w:t>二是</w:t>
            </w:r>
            <w:r w:rsidRPr="009B4022">
              <w:rPr>
                <w:rFonts w:ascii="Segoe UI" w:hAnsi="Segoe UI" w:cs="Segoe UI" w:hint="eastAsia"/>
                <w:shd w:val="clear" w:color="auto" w:fill="FFFFFF"/>
                <w:lang w:eastAsia="zh-CN"/>
              </w:rPr>
              <w:t>深化</w:t>
            </w:r>
            <w:r>
              <w:rPr>
                <w:rFonts w:ascii="Segoe UI" w:hAnsi="Segoe UI" w:cs="Segoe UI" w:hint="eastAsia"/>
                <w:shd w:val="clear" w:color="auto" w:fill="FFFFFF"/>
                <w:lang w:eastAsia="zh-CN"/>
              </w:rPr>
              <w:t>金融和贸易</w:t>
            </w:r>
            <w:r w:rsidRPr="009B4022">
              <w:rPr>
                <w:rFonts w:ascii="Segoe UI" w:hAnsi="Segoe UI" w:cs="Segoe UI" w:hint="eastAsia"/>
                <w:shd w:val="clear" w:color="auto" w:fill="FFFFFF"/>
                <w:lang w:eastAsia="zh-CN"/>
              </w:rPr>
              <w:t>一体化</w:t>
            </w:r>
            <w:r>
              <w:rPr>
                <w:rFonts w:ascii="Segoe UI" w:hAnsi="Segoe UI" w:cs="Segoe UI" w:hint="eastAsia"/>
                <w:shd w:val="clear" w:color="auto" w:fill="FFFFFF"/>
                <w:lang w:eastAsia="zh-CN"/>
              </w:rPr>
              <w:t>，</w:t>
            </w:r>
            <w:r w:rsidRPr="009B4022">
              <w:rPr>
                <w:rFonts w:ascii="Segoe UI" w:hAnsi="Segoe UI" w:cs="Segoe UI" w:hint="eastAsia"/>
                <w:shd w:val="clear" w:color="auto" w:fill="FFFFFF"/>
                <w:lang w:eastAsia="zh-CN"/>
              </w:rPr>
              <w:t>通过加强区域内的贸易和金融合作，减少对美国市场的依赖，增强</w:t>
            </w:r>
            <w:r>
              <w:rPr>
                <w:rFonts w:ascii="Segoe UI" w:hAnsi="Segoe UI" w:cs="Segoe UI" w:hint="eastAsia"/>
                <w:shd w:val="clear" w:color="auto" w:fill="FFFFFF"/>
                <w:lang w:eastAsia="zh-CN"/>
              </w:rPr>
              <w:t>区内</w:t>
            </w:r>
            <w:r w:rsidRPr="009B4022">
              <w:rPr>
                <w:rFonts w:ascii="Segoe UI" w:hAnsi="Segoe UI" w:cs="Segoe UI" w:hint="eastAsia"/>
                <w:shd w:val="clear" w:color="auto" w:fill="FFFFFF"/>
                <w:lang w:eastAsia="zh-CN"/>
              </w:rPr>
              <w:t>经济韧性。</w:t>
            </w:r>
            <w:r>
              <w:rPr>
                <w:rFonts w:ascii="Segoe UI" w:hAnsi="Segoe UI" w:cs="Segoe UI" w:hint="eastAsia"/>
                <w:shd w:val="clear" w:color="auto" w:fill="FFFFFF"/>
                <w:lang w:eastAsia="zh-CN"/>
              </w:rPr>
              <w:t>金融方面，</w:t>
            </w:r>
            <w:r>
              <w:rPr>
                <w:rFonts w:ascii="Segoe UI" w:hAnsi="Segoe UI" w:cs="Segoe UI"/>
                <w:shd w:val="clear" w:color="auto" w:fill="FFFFFF"/>
                <w:lang w:eastAsia="zh-CN"/>
              </w:rPr>
              <w:t>加强《清迈倡议多边化》（</w:t>
            </w:r>
            <w:r>
              <w:rPr>
                <w:rFonts w:ascii="Segoe UI" w:hAnsi="Segoe UI" w:cs="Segoe UI"/>
                <w:shd w:val="clear" w:color="auto" w:fill="FFFFFF"/>
                <w:lang w:eastAsia="zh-CN"/>
              </w:rPr>
              <w:t>CMIM</w:t>
            </w:r>
            <w:r>
              <w:rPr>
                <w:rFonts w:ascii="Segoe UI" w:hAnsi="Segoe UI" w:cs="Segoe UI"/>
                <w:shd w:val="clear" w:color="auto" w:fill="FFFFFF"/>
                <w:lang w:eastAsia="zh-CN"/>
              </w:rPr>
              <w:t>），为成员国在危机期间提供流动性支持</w:t>
            </w:r>
            <w:r>
              <w:rPr>
                <w:rFonts w:ascii="Segoe UI" w:hAnsi="Segoe UI" w:cs="Segoe UI" w:hint="eastAsia"/>
                <w:shd w:val="clear" w:color="auto" w:fill="FFFFFF"/>
                <w:lang w:eastAsia="zh-CN"/>
              </w:rPr>
              <w:t>；构建</w:t>
            </w:r>
            <w:r>
              <w:rPr>
                <w:rFonts w:ascii="Segoe UI" w:hAnsi="Segoe UI" w:cs="Segoe UI"/>
                <w:shd w:val="clear" w:color="auto" w:fill="FFFFFF"/>
                <w:lang w:eastAsia="zh-CN"/>
              </w:rPr>
              <w:t>更有效的金融稳定框架，以稳定货币市场和金融体系。</w:t>
            </w:r>
            <w:r>
              <w:rPr>
                <w:rFonts w:ascii="Segoe UI" w:hAnsi="Segoe UI" w:cs="Segoe UI" w:hint="eastAsia"/>
                <w:shd w:val="clear" w:color="auto" w:fill="FFFFFF"/>
                <w:lang w:eastAsia="zh-CN"/>
              </w:rPr>
              <w:t>贸易方面，依托</w:t>
            </w:r>
            <w:r>
              <w:rPr>
                <w:rFonts w:ascii="Segoe UI" w:hAnsi="Segoe UI" w:cs="Segoe UI"/>
                <w:shd w:val="clear" w:color="auto" w:fill="FFFFFF"/>
                <w:lang w:eastAsia="zh-CN"/>
              </w:rPr>
              <w:t>CPTPP</w:t>
            </w:r>
            <w:r>
              <w:rPr>
                <w:rFonts w:ascii="Segoe UI" w:hAnsi="Segoe UI" w:cs="Segoe UI" w:hint="eastAsia"/>
                <w:shd w:val="clear" w:color="auto" w:fill="FFFFFF"/>
                <w:lang w:eastAsia="zh-CN"/>
              </w:rPr>
              <w:t>和</w:t>
            </w:r>
            <w:r>
              <w:rPr>
                <w:rFonts w:ascii="Segoe UI" w:hAnsi="Segoe UI" w:cs="Segoe UI"/>
                <w:shd w:val="clear" w:color="auto" w:fill="FFFFFF"/>
                <w:lang w:eastAsia="zh-CN"/>
              </w:rPr>
              <w:t>RCEP</w:t>
            </w:r>
            <w:r>
              <w:rPr>
                <w:rFonts w:ascii="Segoe UI" w:hAnsi="Segoe UI" w:cs="Segoe UI" w:hint="eastAsia"/>
                <w:shd w:val="clear" w:color="auto" w:fill="FFFFFF"/>
                <w:lang w:eastAsia="zh-CN"/>
              </w:rPr>
              <w:t>等协议和平台，通过扩员和深化贸易投资规则等方式，加大区域合作。</w:t>
            </w:r>
          </w:p>
        </w:tc>
      </w:tr>
      <w:tr w:rsidR="009F0C37" w:rsidRPr="009F0C37" w14:paraId="61075D12" w14:textId="77777777" w:rsidTr="009F0C37">
        <w:trPr>
          <w:gridAfter w:val="1"/>
          <w:wAfter w:w="392" w:type="dxa"/>
          <w:trHeight w:val="1001"/>
          <w:jc w:val="center"/>
        </w:trPr>
        <w:tc>
          <w:tcPr>
            <w:tcW w:w="2155" w:type="dxa"/>
            <w:gridSpan w:val="2"/>
            <w:vAlign w:val="center"/>
          </w:tcPr>
          <w:p w14:paraId="13BAB156" w14:textId="77777777" w:rsidR="009F0C37" w:rsidRPr="009F0C37" w:rsidRDefault="009F0C37" w:rsidP="009F0C37">
            <w:pPr>
              <w:ind w:firstLineChars="0" w:firstLine="0"/>
              <w:rPr>
                <w:rFonts w:ascii="Times" w:eastAsia="宋体" w:hAnsi="Times"/>
                <w:b/>
                <w:sz w:val="28"/>
                <w:szCs w:val="28"/>
                <w:lang w:eastAsia="zh-CN" w:bidi="ar-SA"/>
              </w:rPr>
            </w:pPr>
            <w:r w:rsidRPr="009F0C37">
              <w:rPr>
                <w:rFonts w:ascii="Times" w:eastAsia="宋体" w:hAnsi="Times" w:hint="eastAsia"/>
                <w:b/>
                <w:lang w:eastAsia="zh-CN" w:bidi="ar-SA"/>
              </w:rPr>
              <w:lastRenderedPageBreak/>
              <w:t>2024</w:t>
            </w:r>
            <w:r w:rsidRPr="009F0C37">
              <w:rPr>
                <w:rFonts w:ascii="Times" w:eastAsia="宋体" w:hAnsi="Times" w:hint="eastAsia"/>
                <w:b/>
                <w:lang w:eastAsia="zh-CN" w:bidi="ar-SA"/>
              </w:rPr>
              <w:t>年，预计东盟六国的增长较上年有所回升。</w:t>
            </w:r>
          </w:p>
        </w:tc>
        <w:tc>
          <w:tcPr>
            <w:tcW w:w="301" w:type="dxa"/>
            <w:gridSpan w:val="3"/>
          </w:tcPr>
          <w:p w14:paraId="7C31F15A" w14:textId="77777777" w:rsidR="009F0C37" w:rsidRPr="009F0C37" w:rsidRDefault="009F0C37" w:rsidP="009F0C37">
            <w:pPr>
              <w:keepNext/>
              <w:keepLines/>
              <w:spacing w:before="260" w:after="260"/>
              <w:ind w:firstLine="480"/>
              <w:rPr>
                <w:rFonts w:ascii="Times" w:eastAsia="宋体" w:hAnsi="Times"/>
                <w:lang w:eastAsia="zh-CN"/>
              </w:rPr>
            </w:pPr>
          </w:p>
        </w:tc>
        <w:tc>
          <w:tcPr>
            <w:tcW w:w="7183" w:type="dxa"/>
            <w:gridSpan w:val="3"/>
          </w:tcPr>
          <w:p w14:paraId="230503FB" w14:textId="77777777" w:rsidR="009F0C37" w:rsidRPr="009F0C37" w:rsidRDefault="009F0C37" w:rsidP="009F0C37">
            <w:pPr>
              <w:ind w:firstLineChars="0" w:firstLine="0"/>
              <w:rPr>
                <w:rFonts w:ascii="Times" w:eastAsia="宋体" w:hAnsi="Times"/>
                <w:b/>
                <w:bCs/>
                <w:sz w:val="28"/>
                <w:szCs w:val="28"/>
                <w:lang w:eastAsia="zh-CN"/>
              </w:rPr>
            </w:pPr>
          </w:p>
          <w:p w14:paraId="12767872" w14:textId="77777777" w:rsidR="009F0C37" w:rsidRPr="009F0C37" w:rsidRDefault="009F0C37" w:rsidP="009F0C37">
            <w:pPr>
              <w:ind w:firstLineChars="0" w:firstLine="0"/>
              <w:rPr>
                <w:rFonts w:ascii="Times" w:eastAsia="宋体" w:hAnsi="Times"/>
                <w:b/>
                <w:bCs/>
                <w:sz w:val="28"/>
                <w:szCs w:val="28"/>
                <w:lang w:eastAsia="zh-CN"/>
              </w:rPr>
            </w:pPr>
            <w:r w:rsidRPr="009F0C37">
              <w:rPr>
                <w:rFonts w:ascii="Times" w:eastAsia="宋体" w:hAnsi="Times" w:hint="eastAsia"/>
                <w:b/>
                <w:bCs/>
                <w:sz w:val="28"/>
                <w:szCs w:val="28"/>
                <w:lang w:eastAsia="zh-CN"/>
              </w:rPr>
              <w:t>一、区内主要经济体的经济增长回升</w:t>
            </w:r>
          </w:p>
          <w:p w14:paraId="65F77318" w14:textId="77777777" w:rsidR="009F0C37" w:rsidRPr="009F0C37" w:rsidRDefault="009F0C37" w:rsidP="009F0C37">
            <w:pPr>
              <w:ind w:firstLine="482"/>
              <w:rPr>
                <w:rFonts w:ascii="Times" w:eastAsia="宋体" w:hAnsi="Times"/>
                <w:lang w:eastAsia="zh-CN"/>
              </w:rPr>
            </w:pPr>
            <w:r w:rsidRPr="009F0C37">
              <w:rPr>
                <w:rFonts w:ascii="Times" w:eastAsia="宋体" w:hAnsi="Times" w:hint="eastAsia"/>
                <w:b/>
                <w:bCs/>
                <w:lang w:eastAsia="zh-CN"/>
              </w:rPr>
              <w:t>2</w:t>
            </w:r>
            <w:r w:rsidRPr="009F0C37">
              <w:rPr>
                <w:rFonts w:ascii="Times" w:eastAsia="宋体" w:hAnsi="Times"/>
                <w:b/>
                <w:bCs/>
                <w:lang w:eastAsia="zh-CN"/>
              </w:rPr>
              <w:t>02</w:t>
            </w:r>
            <w:r w:rsidRPr="009F0C37">
              <w:rPr>
                <w:rFonts w:ascii="Times" w:eastAsia="宋体" w:hAnsi="Times" w:hint="eastAsia"/>
                <w:b/>
                <w:bCs/>
                <w:lang w:eastAsia="zh-CN"/>
              </w:rPr>
              <w:t>4</w:t>
            </w:r>
            <w:r w:rsidRPr="009F0C37">
              <w:rPr>
                <w:rFonts w:ascii="Times" w:eastAsia="宋体" w:hAnsi="Times" w:hint="eastAsia"/>
                <w:b/>
                <w:bCs/>
                <w:lang w:eastAsia="zh-CN"/>
              </w:rPr>
              <w:t>年，预计东盟六国的增长较上年均有所上升。</w:t>
            </w:r>
            <w:r w:rsidRPr="009F0C37">
              <w:rPr>
                <w:rFonts w:ascii="Times" w:eastAsia="宋体" w:hAnsi="Times" w:hint="eastAsia"/>
                <w:lang w:eastAsia="zh-CN"/>
              </w:rPr>
              <w:t>根据国际货币基金组织</w:t>
            </w:r>
            <w:r w:rsidRPr="009F0C37">
              <w:rPr>
                <w:rFonts w:ascii="Times" w:eastAsia="宋体" w:hAnsi="Times" w:hint="eastAsia"/>
                <w:lang w:eastAsia="zh-CN"/>
              </w:rPr>
              <w:t>2</w:t>
            </w:r>
            <w:r w:rsidRPr="009F0C37">
              <w:rPr>
                <w:rFonts w:ascii="Times" w:eastAsia="宋体" w:hAnsi="Times"/>
                <w:lang w:eastAsia="zh-CN"/>
              </w:rPr>
              <w:t>02</w:t>
            </w:r>
            <w:r w:rsidRPr="009F0C37">
              <w:rPr>
                <w:rFonts w:ascii="Times" w:eastAsia="宋体" w:hAnsi="Times" w:hint="eastAsia"/>
                <w:lang w:eastAsia="zh-CN"/>
              </w:rPr>
              <w:t>4</w:t>
            </w:r>
            <w:r w:rsidRPr="009F0C37">
              <w:rPr>
                <w:rFonts w:ascii="Times" w:eastAsia="宋体" w:hAnsi="Times" w:hint="eastAsia"/>
                <w:lang w:eastAsia="zh-CN"/>
              </w:rPr>
              <w:t>年</w:t>
            </w:r>
            <w:r w:rsidRPr="009F0C37">
              <w:rPr>
                <w:rFonts w:ascii="Times" w:eastAsia="宋体" w:hAnsi="Times" w:hint="eastAsia"/>
                <w:lang w:eastAsia="zh-CN"/>
              </w:rPr>
              <w:t>1</w:t>
            </w:r>
            <w:r w:rsidRPr="009F0C37">
              <w:rPr>
                <w:rFonts w:ascii="Times" w:eastAsia="宋体" w:hAnsi="Times"/>
                <w:lang w:eastAsia="zh-CN"/>
              </w:rPr>
              <w:t>0</w:t>
            </w:r>
            <w:r w:rsidRPr="009F0C37">
              <w:rPr>
                <w:rFonts w:ascii="Times" w:eastAsia="宋体" w:hAnsi="Times" w:hint="eastAsia"/>
                <w:lang w:eastAsia="zh-CN"/>
              </w:rPr>
              <w:t>月的预测数据，区内经济体</w:t>
            </w:r>
            <w:r w:rsidRPr="009F0C37">
              <w:rPr>
                <w:rFonts w:ascii="Times" w:eastAsia="宋体" w:hAnsi="Times" w:hint="eastAsia"/>
                <w:lang w:eastAsia="zh-CN"/>
              </w:rPr>
              <w:t>2</w:t>
            </w:r>
            <w:r w:rsidRPr="009F0C37">
              <w:rPr>
                <w:rFonts w:ascii="Times" w:eastAsia="宋体" w:hAnsi="Times"/>
                <w:lang w:eastAsia="zh-CN"/>
              </w:rPr>
              <w:t>02</w:t>
            </w:r>
            <w:r w:rsidRPr="009F0C37">
              <w:rPr>
                <w:rFonts w:ascii="Times" w:eastAsia="宋体" w:hAnsi="Times" w:hint="eastAsia"/>
                <w:lang w:eastAsia="zh-CN"/>
              </w:rPr>
              <w:t>4</w:t>
            </w:r>
            <w:r w:rsidRPr="009F0C37">
              <w:rPr>
                <w:rFonts w:ascii="Times" w:eastAsia="宋体" w:hAnsi="Times" w:hint="eastAsia"/>
                <w:lang w:eastAsia="zh-CN"/>
              </w:rPr>
              <w:t>年的经济增速预计较</w:t>
            </w:r>
            <w:r w:rsidRPr="009F0C37">
              <w:rPr>
                <w:rFonts w:ascii="Times" w:eastAsia="宋体" w:hAnsi="Times" w:hint="eastAsia"/>
                <w:lang w:eastAsia="zh-CN"/>
              </w:rPr>
              <w:t>2</w:t>
            </w:r>
            <w:r w:rsidRPr="009F0C37">
              <w:rPr>
                <w:rFonts w:ascii="Times" w:eastAsia="宋体" w:hAnsi="Times"/>
                <w:lang w:eastAsia="zh-CN"/>
              </w:rPr>
              <w:t>02</w:t>
            </w:r>
            <w:r w:rsidRPr="009F0C37">
              <w:rPr>
                <w:rFonts w:ascii="Times" w:eastAsia="宋体" w:hAnsi="Times" w:hint="eastAsia"/>
                <w:lang w:eastAsia="zh-CN"/>
              </w:rPr>
              <w:t>3</w:t>
            </w:r>
            <w:r w:rsidRPr="009F0C37">
              <w:rPr>
                <w:rFonts w:ascii="Times" w:eastAsia="宋体" w:hAnsi="Times" w:hint="eastAsia"/>
                <w:lang w:eastAsia="zh-CN"/>
              </w:rPr>
              <w:t>年有所回升。这些经济体的经济增长得以改善的原因包括：一是区域多数国家通货膨胀持续下行，对私人消费和企业投资形成较好支撑，如菲律宾、新加坡等私人支出上涨较快，有助于维持经济增长；二是国际旅游业的蓬勃发展，特别是中国出境旅游加快步伐，前往马来西亚、新加坡和泰国的中国游客数量增速迅猛，均超过</w:t>
            </w:r>
            <w:r w:rsidRPr="009F0C37">
              <w:rPr>
                <w:rFonts w:ascii="Times" w:eastAsia="宋体" w:hAnsi="Times" w:hint="eastAsia"/>
                <w:lang w:eastAsia="zh-CN"/>
              </w:rPr>
              <w:t>2</w:t>
            </w:r>
            <w:r w:rsidRPr="009F0C37">
              <w:rPr>
                <w:rFonts w:ascii="Times" w:eastAsia="宋体" w:hAnsi="Times"/>
                <w:lang w:eastAsia="zh-CN"/>
              </w:rPr>
              <w:t>019</w:t>
            </w:r>
            <w:r w:rsidRPr="009F0C37">
              <w:rPr>
                <w:rFonts w:ascii="Times" w:eastAsia="宋体" w:hAnsi="Times" w:hint="eastAsia"/>
                <w:lang w:eastAsia="zh-CN"/>
              </w:rPr>
              <w:t>年水平；</w:t>
            </w:r>
            <w:r w:rsidRPr="009F0C37">
              <w:rPr>
                <w:rFonts w:ascii="Times" w:eastAsia="宋体" w:hAnsi="Times" w:hint="eastAsia"/>
                <w:lang w:eastAsia="zh-CN"/>
              </w:rPr>
              <w:t>2024</w:t>
            </w:r>
            <w:r w:rsidRPr="009F0C37">
              <w:rPr>
                <w:rFonts w:ascii="Times" w:eastAsia="宋体" w:hAnsi="Times" w:hint="eastAsia"/>
                <w:lang w:eastAsia="zh-CN"/>
              </w:rPr>
              <w:t>年东盟国家整体旅游收入基本恢复至疫情前水平，仍有持续扩张的空间；旅游业的持续复苏带动区内国家国内零售贸易大幅上涨，也使得服务出口持续向好，同比增长了约</w:t>
            </w:r>
            <w:r w:rsidRPr="009F0C37">
              <w:rPr>
                <w:rFonts w:ascii="Times" w:eastAsia="宋体" w:hAnsi="Times" w:hint="eastAsia"/>
                <w:lang w:eastAsia="zh-CN"/>
              </w:rPr>
              <w:t>8.4%</w:t>
            </w:r>
            <w:r w:rsidRPr="009F0C37">
              <w:rPr>
                <w:rFonts w:ascii="Times" w:eastAsia="宋体" w:hAnsi="Times" w:hint="eastAsia"/>
                <w:lang w:eastAsia="zh-CN"/>
              </w:rPr>
              <w:t>；三是人工智能（</w:t>
            </w:r>
            <w:r w:rsidRPr="009F0C37">
              <w:rPr>
                <w:rFonts w:ascii="Times" w:eastAsia="宋体" w:hAnsi="Times" w:hint="eastAsia"/>
                <w:lang w:eastAsia="zh-CN"/>
              </w:rPr>
              <w:t>AI</w:t>
            </w:r>
            <w:r w:rsidRPr="009F0C37">
              <w:rPr>
                <w:rFonts w:ascii="Times" w:eastAsia="宋体" w:hAnsi="Times" w:hint="eastAsia"/>
                <w:lang w:eastAsia="zh-CN"/>
              </w:rPr>
              <w:t>）推动的全球半导体行业上升周期继续支持该区域的出口，全球供应链中断风险的缓解以及全球需求的回暖都使得区内国家出口大幅上涨，如韩国、越南和马来西亚。四是各国政府采取了一系列政策措施来支持经济增长，整体对区域内国家经济增长和房地产市场稳定起到支撑作用。</w:t>
            </w:r>
          </w:p>
        </w:tc>
      </w:tr>
      <w:tr w:rsidR="009F0C37" w:rsidRPr="009F0C37" w14:paraId="66947A37" w14:textId="77777777" w:rsidTr="009F0C37">
        <w:trPr>
          <w:gridAfter w:val="1"/>
          <w:wAfter w:w="392" w:type="dxa"/>
          <w:trHeight w:val="1001"/>
          <w:jc w:val="center"/>
        </w:trPr>
        <w:tc>
          <w:tcPr>
            <w:tcW w:w="2155" w:type="dxa"/>
            <w:gridSpan w:val="2"/>
            <w:vAlign w:val="center"/>
          </w:tcPr>
          <w:p w14:paraId="728A7751" w14:textId="77777777" w:rsidR="009F0C37" w:rsidRPr="009F0C37" w:rsidRDefault="009F0C37" w:rsidP="009F0C37">
            <w:pPr>
              <w:ind w:firstLineChars="0" w:firstLine="0"/>
              <w:rPr>
                <w:rFonts w:ascii="Times" w:eastAsia="宋体" w:hAnsi="Times"/>
                <w:b/>
                <w:lang w:eastAsia="zh-CN" w:bidi="ar-SA"/>
              </w:rPr>
            </w:pPr>
            <w:r w:rsidRPr="009F0C37">
              <w:rPr>
                <w:rFonts w:ascii="Times" w:eastAsia="宋体" w:hAnsi="Times" w:hint="eastAsia"/>
                <w:b/>
                <w:lang w:eastAsia="zh-CN" w:bidi="ar-SA"/>
              </w:rPr>
              <w:t>越南和新加坡经济超预期增长。</w:t>
            </w:r>
          </w:p>
        </w:tc>
        <w:tc>
          <w:tcPr>
            <w:tcW w:w="301" w:type="dxa"/>
            <w:gridSpan w:val="3"/>
          </w:tcPr>
          <w:p w14:paraId="45106153" w14:textId="77777777" w:rsidR="009F0C37" w:rsidRPr="009F0C37" w:rsidRDefault="009F0C37" w:rsidP="009F0C37">
            <w:pPr>
              <w:keepNext/>
              <w:keepLines/>
              <w:spacing w:before="260" w:after="260"/>
              <w:ind w:firstLine="480"/>
              <w:rPr>
                <w:rFonts w:ascii="Times" w:eastAsia="宋体" w:hAnsi="Times"/>
                <w:lang w:eastAsia="zh-CN"/>
              </w:rPr>
            </w:pPr>
          </w:p>
        </w:tc>
        <w:tc>
          <w:tcPr>
            <w:tcW w:w="7183" w:type="dxa"/>
            <w:gridSpan w:val="3"/>
          </w:tcPr>
          <w:p w14:paraId="20729395" w14:textId="12B47A6F" w:rsidR="009F0C37" w:rsidRPr="009F0C37" w:rsidRDefault="009F0C37" w:rsidP="009F0C37">
            <w:pPr>
              <w:ind w:firstLine="482"/>
              <w:rPr>
                <w:rFonts w:ascii="Times" w:eastAsia="宋体" w:hAnsi="Times"/>
                <w:b/>
                <w:bCs/>
                <w:lang w:eastAsia="zh-CN"/>
              </w:rPr>
            </w:pPr>
            <w:r w:rsidRPr="009F0C37">
              <w:rPr>
                <w:rFonts w:ascii="Times" w:eastAsia="宋体" w:hAnsi="Times" w:hint="eastAsia"/>
                <w:b/>
                <w:bCs/>
                <w:lang w:eastAsia="zh-CN"/>
              </w:rPr>
              <w:t>越南和新加坡经济超预期增长</w:t>
            </w:r>
            <w:r w:rsidRPr="009F0C37">
              <w:rPr>
                <w:rFonts w:ascii="Times" w:eastAsia="宋体" w:hAnsi="Times" w:hint="eastAsia"/>
                <w:lang w:eastAsia="zh-CN"/>
              </w:rPr>
              <w:t>。根据</w:t>
            </w:r>
            <w:r w:rsidRPr="009F0C37">
              <w:rPr>
                <w:rFonts w:ascii="Times" w:eastAsia="宋体" w:hAnsi="Times" w:hint="eastAsia"/>
                <w:lang w:eastAsia="zh-CN"/>
              </w:rPr>
              <w:t xml:space="preserve">wind </w:t>
            </w:r>
            <w:r w:rsidRPr="009F0C37">
              <w:rPr>
                <w:rFonts w:ascii="Times" w:eastAsia="宋体" w:hAnsi="Times" w:hint="eastAsia"/>
                <w:lang w:eastAsia="zh-CN"/>
              </w:rPr>
              <w:t>数据库，</w:t>
            </w:r>
            <w:r w:rsidRPr="009F0C37">
              <w:rPr>
                <w:rFonts w:ascii="Times" w:eastAsia="宋体" w:hAnsi="Times" w:hint="eastAsia"/>
                <w:lang w:eastAsia="zh-CN"/>
              </w:rPr>
              <w:t>2</w:t>
            </w:r>
            <w:r w:rsidRPr="009F0C37">
              <w:rPr>
                <w:rFonts w:ascii="Times" w:eastAsia="宋体" w:hAnsi="Times"/>
                <w:lang w:eastAsia="zh-CN"/>
              </w:rPr>
              <w:t>024</w:t>
            </w:r>
            <w:r w:rsidRPr="009F0C37">
              <w:rPr>
                <w:rFonts w:ascii="Times" w:eastAsia="宋体" w:hAnsi="Times" w:hint="eastAsia"/>
                <w:lang w:eastAsia="zh-CN"/>
              </w:rPr>
              <w:t>年</w:t>
            </w:r>
            <w:r w:rsidRPr="009F0C37">
              <w:rPr>
                <w:rFonts w:ascii="Times" w:eastAsia="宋体" w:hAnsi="Times" w:hint="eastAsia"/>
                <w:lang w:eastAsia="zh-CN"/>
              </w:rPr>
              <w:t>4</w:t>
            </w:r>
            <w:r w:rsidRPr="009F0C37">
              <w:rPr>
                <w:rFonts w:ascii="Times" w:eastAsia="宋体" w:hAnsi="Times" w:hint="eastAsia"/>
                <w:lang w:eastAsia="zh-CN"/>
              </w:rPr>
              <w:t>季度越南</w:t>
            </w:r>
            <w:r w:rsidRPr="009F0C37">
              <w:rPr>
                <w:rFonts w:ascii="Times" w:eastAsia="宋体" w:hAnsi="Times" w:hint="eastAsia"/>
                <w:lang w:eastAsia="zh-CN"/>
              </w:rPr>
              <w:t>G</w:t>
            </w:r>
            <w:r w:rsidRPr="009F0C37">
              <w:rPr>
                <w:rFonts w:ascii="Times" w:eastAsia="宋体" w:hAnsi="Times"/>
                <w:lang w:eastAsia="zh-CN"/>
              </w:rPr>
              <w:t>DP</w:t>
            </w:r>
            <w:r w:rsidRPr="009F0C37">
              <w:rPr>
                <w:rFonts w:ascii="Times" w:eastAsia="宋体" w:hAnsi="Times" w:hint="eastAsia"/>
                <w:lang w:eastAsia="zh-CN"/>
              </w:rPr>
              <w:t>增速为</w:t>
            </w:r>
            <w:r w:rsidRPr="009F0C37">
              <w:rPr>
                <w:rFonts w:ascii="Times" w:eastAsia="宋体" w:hAnsi="Times" w:hint="eastAsia"/>
                <w:lang w:eastAsia="zh-CN"/>
              </w:rPr>
              <w:t>7</w:t>
            </w:r>
            <w:r w:rsidRPr="009F0C37">
              <w:rPr>
                <w:rFonts w:ascii="Times" w:eastAsia="宋体" w:hAnsi="Times"/>
                <w:lang w:eastAsia="zh-CN"/>
              </w:rPr>
              <w:t>.09%</w:t>
            </w:r>
            <w:r w:rsidRPr="009F0C37">
              <w:rPr>
                <w:rFonts w:ascii="Times" w:eastAsia="宋体" w:hAnsi="Times" w:hint="eastAsia"/>
                <w:lang w:eastAsia="zh-CN"/>
              </w:rPr>
              <w:t>，全年</w:t>
            </w:r>
            <w:r w:rsidRPr="009F0C37">
              <w:rPr>
                <w:rFonts w:ascii="Times" w:eastAsia="宋体" w:hAnsi="Times" w:hint="eastAsia"/>
                <w:lang w:eastAsia="zh-CN"/>
              </w:rPr>
              <w:t>G</w:t>
            </w:r>
            <w:r w:rsidRPr="009F0C37">
              <w:rPr>
                <w:rFonts w:ascii="Times" w:eastAsia="宋体" w:hAnsi="Times"/>
                <w:lang w:eastAsia="zh-CN"/>
              </w:rPr>
              <w:t>DP</w:t>
            </w:r>
            <w:r w:rsidRPr="009F0C37">
              <w:rPr>
                <w:rFonts w:ascii="Times" w:eastAsia="宋体" w:hAnsi="Times" w:hint="eastAsia"/>
                <w:lang w:eastAsia="zh-CN"/>
              </w:rPr>
              <w:t>平均增速为</w:t>
            </w:r>
            <w:r w:rsidRPr="009F0C37">
              <w:rPr>
                <w:rFonts w:ascii="Times" w:eastAsia="宋体" w:hAnsi="Times" w:hint="eastAsia"/>
                <w:lang w:eastAsia="zh-CN"/>
              </w:rPr>
              <w:t>6</w:t>
            </w:r>
            <w:r w:rsidRPr="009F0C37">
              <w:rPr>
                <w:rFonts w:ascii="Times" w:eastAsia="宋体" w:hAnsi="Times"/>
                <w:lang w:eastAsia="zh-CN"/>
              </w:rPr>
              <w:t>.5%</w:t>
            </w:r>
            <w:r w:rsidRPr="009F0C37">
              <w:rPr>
                <w:rFonts w:ascii="Times" w:eastAsia="宋体" w:hAnsi="Times" w:hint="eastAsia"/>
                <w:lang w:eastAsia="zh-CN"/>
              </w:rPr>
              <w:t>，超过</w:t>
            </w:r>
            <w:r w:rsidRPr="009F0C37">
              <w:rPr>
                <w:rFonts w:ascii="Times" w:eastAsia="宋体" w:hAnsi="Times" w:hint="eastAsia"/>
                <w:lang w:eastAsia="zh-CN"/>
              </w:rPr>
              <w:t>I</w:t>
            </w:r>
            <w:r w:rsidRPr="009F0C37">
              <w:rPr>
                <w:rFonts w:ascii="Times" w:eastAsia="宋体" w:hAnsi="Times"/>
                <w:lang w:eastAsia="zh-CN"/>
              </w:rPr>
              <w:t>MF10</w:t>
            </w:r>
            <w:r w:rsidRPr="009F0C37">
              <w:rPr>
                <w:rFonts w:ascii="Times" w:eastAsia="宋体" w:hAnsi="Times" w:hint="eastAsia"/>
                <w:lang w:eastAsia="zh-CN"/>
              </w:rPr>
              <w:t>月份</w:t>
            </w:r>
            <w:r w:rsidRPr="009F0C37">
              <w:rPr>
                <w:rFonts w:ascii="Times" w:eastAsia="宋体" w:hAnsi="Times" w:hint="eastAsia"/>
                <w:lang w:eastAsia="zh-CN"/>
              </w:rPr>
              <w:t>6</w:t>
            </w:r>
            <w:r w:rsidRPr="009F0C37">
              <w:rPr>
                <w:rFonts w:ascii="Times" w:eastAsia="宋体" w:hAnsi="Times"/>
                <w:lang w:eastAsia="zh-CN"/>
              </w:rPr>
              <w:t>.1%</w:t>
            </w:r>
            <w:r w:rsidRPr="009F0C37">
              <w:rPr>
                <w:rFonts w:ascii="Times" w:eastAsia="宋体" w:hAnsi="Times" w:hint="eastAsia"/>
                <w:lang w:eastAsia="zh-CN"/>
              </w:rPr>
              <w:t>的预测。美国经济韧性带动越南连续</w:t>
            </w:r>
            <w:r w:rsidRPr="009F0C37">
              <w:rPr>
                <w:rFonts w:ascii="Times" w:eastAsia="宋体" w:hAnsi="Times" w:hint="eastAsia"/>
                <w:lang w:eastAsia="zh-CN"/>
              </w:rPr>
              <w:t>1</w:t>
            </w:r>
            <w:r w:rsidRPr="009F0C37">
              <w:rPr>
                <w:rFonts w:ascii="Times" w:eastAsia="宋体" w:hAnsi="Times"/>
                <w:lang w:eastAsia="zh-CN"/>
              </w:rPr>
              <w:t>0</w:t>
            </w:r>
            <w:r w:rsidRPr="009F0C37">
              <w:rPr>
                <w:rFonts w:ascii="Times" w:eastAsia="宋体" w:hAnsi="Times" w:hint="eastAsia"/>
                <w:lang w:eastAsia="zh-CN"/>
              </w:rPr>
              <w:t>个月保持出口同比增速为正；出口带动工业增长强劲，第四季</w:t>
            </w:r>
            <w:r w:rsidR="00642F6A">
              <w:rPr>
                <w:rFonts w:ascii="Times" w:eastAsia="宋体" w:hAnsi="Times" w:hint="eastAsia"/>
                <w:lang w:eastAsia="zh-CN"/>
              </w:rPr>
              <w:t>度</w:t>
            </w:r>
            <w:r w:rsidRPr="009F0C37">
              <w:rPr>
                <w:rFonts w:ascii="Times" w:eastAsia="宋体" w:hAnsi="Times" w:hint="eastAsia"/>
                <w:lang w:eastAsia="zh-CN"/>
              </w:rPr>
              <w:t>制造业产出较去年同期增长</w:t>
            </w:r>
            <w:r w:rsidRPr="009F0C37">
              <w:rPr>
                <w:rFonts w:ascii="Times" w:eastAsia="宋体" w:hAnsi="Times" w:hint="eastAsia"/>
                <w:lang w:eastAsia="zh-CN"/>
              </w:rPr>
              <w:t>9.83%</w:t>
            </w:r>
            <w:r w:rsidRPr="009F0C37">
              <w:rPr>
                <w:rFonts w:ascii="Times" w:eastAsia="宋体" w:hAnsi="Times" w:hint="eastAsia"/>
                <w:lang w:eastAsia="zh-CN"/>
              </w:rPr>
              <w:t>。</w:t>
            </w:r>
            <w:r w:rsidRPr="009F0C37">
              <w:rPr>
                <w:rFonts w:ascii="Times" w:eastAsia="宋体" w:hAnsi="Times" w:hint="eastAsia"/>
                <w:lang w:eastAsia="zh-CN"/>
              </w:rPr>
              <w:t>2024</w:t>
            </w:r>
            <w:r w:rsidRPr="009F0C37">
              <w:rPr>
                <w:rFonts w:ascii="Times" w:eastAsia="宋体" w:hAnsi="Times" w:hint="eastAsia"/>
                <w:lang w:eastAsia="zh-CN"/>
              </w:rPr>
              <w:t>年第四季度新加坡经济增速</w:t>
            </w:r>
            <w:r w:rsidRPr="009F0C37">
              <w:rPr>
                <w:rFonts w:ascii="Times" w:eastAsia="宋体" w:hAnsi="Times" w:hint="eastAsia"/>
                <w:lang w:eastAsia="zh-CN"/>
              </w:rPr>
              <w:t>4</w:t>
            </w:r>
            <w:r w:rsidRPr="009F0C37">
              <w:rPr>
                <w:rFonts w:ascii="Times" w:eastAsia="宋体" w:hAnsi="Times"/>
                <w:lang w:eastAsia="zh-CN"/>
              </w:rPr>
              <w:t>.3%,</w:t>
            </w:r>
            <w:r w:rsidRPr="009F0C37">
              <w:rPr>
                <w:rFonts w:ascii="Times" w:eastAsia="宋体" w:hAnsi="Times" w:hint="eastAsia"/>
                <w:lang w:eastAsia="zh-CN"/>
              </w:rPr>
              <w:t>全年平均增速为</w:t>
            </w:r>
            <w:r w:rsidRPr="009F0C37">
              <w:rPr>
                <w:rFonts w:ascii="Times" w:eastAsia="宋体" w:hAnsi="Times" w:hint="eastAsia"/>
                <w:lang w:eastAsia="zh-CN"/>
              </w:rPr>
              <w:t>4%</w:t>
            </w:r>
            <w:r w:rsidRPr="009F0C37">
              <w:rPr>
                <w:rFonts w:ascii="Times" w:eastAsia="宋体" w:hAnsi="Times" w:hint="eastAsia"/>
                <w:lang w:eastAsia="zh-CN"/>
              </w:rPr>
              <w:t>，超出新加坡贸工部</w:t>
            </w:r>
            <w:r w:rsidRPr="009F0C37">
              <w:rPr>
                <w:rFonts w:ascii="Times" w:eastAsia="宋体" w:hAnsi="Times" w:hint="eastAsia"/>
                <w:lang w:eastAsia="zh-CN"/>
              </w:rPr>
              <w:t>11</w:t>
            </w:r>
            <w:r w:rsidRPr="009F0C37">
              <w:rPr>
                <w:rFonts w:ascii="Times" w:eastAsia="宋体" w:hAnsi="Times" w:hint="eastAsia"/>
                <w:lang w:eastAsia="zh-CN"/>
              </w:rPr>
              <w:t>月预估的</w:t>
            </w:r>
            <w:r w:rsidRPr="009F0C37">
              <w:rPr>
                <w:rFonts w:ascii="Times" w:eastAsia="宋体" w:hAnsi="Times" w:hint="eastAsia"/>
                <w:lang w:eastAsia="zh-CN"/>
              </w:rPr>
              <w:t>3.5%</w:t>
            </w:r>
            <w:r w:rsidRPr="009F0C37">
              <w:rPr>
                <w:rFonts w:ascii="Times" w:eastAsia="宋体" w:hAnsi="Times" w:hint="eastAsia"/>
                <w:lang w:eastAsia="zh-CN"/>
              </w:rPr>
              <w:t>，远超出</w:t>
            </w:r>
            <w:r w:rsidRPr="009F0C37">
              <w:rPr>
                <w:rFonts w:ascii="Times" w:eastAsia="宋体" w:hAnsi="Times" w:hint="eastAsia"/>
                <w:lang w:eastAsia="zh-CN"/>
              </w:rPr>
              <w:t>IMF10</w:t>
            </w:r>
            <w:r w:rsidRPr="009F0C37">
              <w:rPr>
                <w:rFonts w:ascii="Times" w:eastAsia="宋体" w:hAnsi="Times" w:hint="eastAsia"/>
                <w:lang w:eastAsia="zh-CN"/>
              </w:rPr>
              <w:t>月份</w:t>
            </w:r>
            <w:r w:rsidRPr="009F0C37">
              <w:rPr>
                <w:rFonts w:ascii="Times" w:eastAsia="宋体" w:hAnsi="Times" w:hint="eastAsia"/>
                <w:lang w:eastAsia="zh-CN"/>
              </w:rPr>
              <w:t>2.6%</w:t>
            </w:r>
            <w:r w:rsidRPr="009F0C37">
              <w:rPr>
                <w:rFonts w:ascii="Times" w:eastAsia="宋体" w:hAnsi="Times" w:hint="eastAsia"/>
                <w:lang w:eastAsia="zh-CN"/>
              </w:rPr>
              <w:t>的预测。新加</w:t>
            </w:r>
            <w:r w:rsidR="00642F6A">
              <w:rPr>
                <w:rFonts w:ascii="Times" w:eastAsia="宋体" w:hAnsi="Times" w:hint="eastAsia"/>
                <w:lang w:eastAsia="zh-CN"/>
              </w:rPr>
              <w:t>坡</w:t>
            </w:r>
            <w:r w:rsidRPr="009F0C37">
              <w:rPr>
                <w:rFonts w:ascii="Times" w:eastAsia="宋体" w:hAnsi="Times" w:hint="eastAsia"/>
                <w:lang w:eastAsia="zh-CN"/>
              </w:rPr>
              <w:t>制造业</w:t>
            </w:r>
            <w:r w:rsidRPr="009F0C37">
              <w:rPr>
                <w:rFonts w:ascii="Times" w:eastAsia="宋体" w:hAnsi="Times" w:hint="eastAsia"/>
                <w:lang w:eastAsia="zh-CN"/>
              </w:rPr>
              <w:t>PMI</w:t>
            </w:r>
            <w:r w:rsidRPr="009F0C37">
              <w:rPr>
                <w:rFonts w:ascii="Times" w:eastAsia="宋体" w:hAnsi="Times" w:hint="eastAsia"/>
                <w:lang w:eastAsia="zh-CN"/>
              </w:rPr>
              <w:t>全年处于景气区间，</w:t>
            </w:r>
            <w:r w:rsidRPr="009F0C37">
              <w:rPr>
                <w:rFonts w:ascii="Times" w:eastAsia="宋体" w:hAnsi="Times"/>
                <w:lang w:eastAsia="zh-CN"/>
              </w:rPr>
              <w:t>占制造业产值近半的电子业采购经理指数连续</w:t>
            </w:r>
            <w:r w:rsidRPr="009F0C37">
              <w:rPr>
                <w:rFonts w:ascii="Times" w:eastAsia="宋体" w:hAnsi="Times" w:hint="eastAsia"/>
                <w:lang w:eastAsia="zh-CN"/>
              </w:rPr>
              <w:t>9</w:t>
            </w:r>
            <w:r w:rsidRPr="009F0C37">
              <w:rPr>
                <w:rFonts w:ascii="Times" w:eastAsia="宋体" w:hAnsi="Times"/>
                <w:lang w:eastAsia="zh-CN"/>
              </w:rPr>
              <w:t>个月高于整体指数</w:t>
            </w:r>
            <w:r w:rsidRPr="009F0C37">
              <w:rPr>
                <w:rFonts w:ascii="Times" w:eastAsia="宋体" w:hAnsi="Times" w:hint="eastAsia"/>
                <w:lang w:eastAsia="zh-CN"/>
              </w:rPr>
              <w:t>。</w:t>
            </w:r>
            <w:r w:rsidRPr="009F0C37">
              <w:rPr>
                <w:rFonts w:ascii="Times" w:eastAsia="宋体" w:hAnsi="Times"/>
                <w:lang w:eastAsia="zh-CN"/>
              </w:rPr>
              <w:t>外部需求</w:t>
            </w:r>
            <w:r w:rsidRPr="009F0C37">
              <w:rPr>
                <w:rFonts w:ascii="Times" w:eastAsia="宋体" w:hAnsi="Times" w:hint="eastAsia"/>
                <w:lang w:eastAsia="zh-CN"/>
              </w:rPr>
              <w:t>叠加</w:t>
            </w:r>
            <w:r w:rsidRPr="009F0C37">
              <w:rPr>
                <w:rFonts w:ascii="Times" w:eastAsia="宋体" w:hAnsi="Times"/>
                <w:lang w:eastAsia="zh-CN"/>
              </w:rPr>
              <w:t>全球电子产品需求持续复苏，</w:t>
            </w:r>
            <w:r w:rsidRPr="009F0C37">
              <w:rPr>
                <w:rFonts w:ascii="Times" w:eastAsia="宋体" w:hAnsi="Times" w:hint="eastAsia"/>
                <w:lang w:eastAsia="zh-CN"/>
              </w:rPr>
              <w:t>推动</w:t>
            </w:r>
            <w:r w:rsidRPr="009F0C37">
              <w:rPr>
                <w:rFonts w:ascii="Times" w:eastAsia="宋体" w:hAnsi="Times"/>
                <w:lang w:eastAsia="zh-CN"/>
              </w:rPr>
              <w:t>新加坡制造业和面向外需的批发贸易等服务业增长</w:t>
            </w:r>
            <w:r w:rsidRPr="009F0C37">
              <w:rPr>
                <w:rFonts w:ascii="Times" w:eastAsia="宋体" w:hAnsi="Times" w:hint="eastAsia"/>
                <w:lang w:eastAsia="zh-CN"/>
              </w:rPr>
              <w:t>。</w:t>
            </w:r>
          </w:p>
        </w:tc>
      </w:tr>
      <w:tr w:rsidR="009F0C37" w:rsidRPr="009F0C37" w14:paraId="29876E0D" w14:textId="77777777" w:rsidTr="009F0C37">
        <w:trPr>
          <w:gridAfter w:val="1"/>
          <w:wAfter w:w="392" w:type="dxa"/>
          <w:trHeight w:val="1001"/>
          <w:jc w:val="center"/>
        </w:trPr>
        <w:tc>
          <w:tcPr>
            <w:tcW w:w="9639" w:type="dxa"/>
            <w:gridSpan w:val="8"/>
          </w:tcPr>
          <w:p w14:paraId="69218DEF" w14:textId="77777777" w:rsidR="009F0C37" w:rsidRPr="009F0C37" w:rsidRDefault="009F0C37" w:rsidP="009F0C37">
            <w:pPr>
              <w:keepNext/>
              <w:widowControl w:val="0"/>
              <w:spacing w:line="240" w:lineRule="auto"/>
              <w:ind w:firstLineChars="0" w:firstLine="0"/>
              <w:jc w:val="center"/>
              <w:rPr>
                <w:rFonts w:ascii="Times" w:eastAsia="宋体" w:hAnsi="Times"/>
                <w:b/>
                <w:sz w:val="21"/>
                <w:szCs w:val="21"/>
                <w:lang w:eastAsia="zh-CN"/>
              </w:rPr>
            </w:pPr>
          </w:p>
          <w:p w14:paraId="474EF0A0" w14:textId="2FF4E6ED" w:rsidR="009F0C37" w:rsidRPr="009F0C37" w:rsidRDefault="00DB2622" w:rsidP="00D37774">
            <w:pPr>
              <w:pStyle w:val="a4"/>
            </w:pPr>
            <w:bookmarkStart w:id="50" w:name="_Toc196399435"/>
            <w:r>
              <w:rPr>
                <w:rFonts w:hint="eastAsia"/>
              </w:rPr>
              <w:t xml:space="preserve">图表 </w:t>
            </w:r>
            <w:r>
              <w:rPr>
                <w:rFonts w:hint="eastAsia"/>
              </w:rPr>
              <w:fldChar w:fldCharType="begin"/>
            </w:r>
            <w:r>
              <w:rPr>
                <w:rFonts w:hint="eastAsia"/>
              </w:rPr>
              <w:instrText xml:space="preserve"> SEQ 图表 \* ARABIC </w:instrText>
            </w:r>
            <w:r>
              <w:rPr>
                <w:rFonts w:hint="eastAsia"/>
              </w:rPr>
              <w:fldChar w:fldCharType="separate"/>
            </w:r>
            <w:r w:rsidR="00530ED7">
              <w:rPr>
                <w:rFonts w:hint="eastAsia"/>
                <w:noProof/>
              </w:rPr>
              <w:t>24</w:t>
            </w:r>
            <w:r>
              <w:rPr>
                <w:rFonts w:hint="eastAsia"/>
              </w:rPr>
              <w:fldChar w:fldCharType="end"/>
            </w:r>
            <w:r w:rsidR="00D37774" w:rsidRPr="00D37774">
              <w:t xml:space="preserve">  </w:t>
            </w:r>
            <w:r w:rsidR="009F0C37" w:rsidRPr="009F0C37">
              <w:rPr>
                <w:rFonts w:hint="eastAsia"/>
              </w:rPr>
              <w:t>东盟和韩国</w:t>
            </w:r>
            <w:r w:rsidR="009F0C37" w:rsidRPr="009F0C37">
              <w:t>经济增长率</w:t>
            </w:r>
            <w:bookmarkEnd w:id="50"/>
          </w:p>
          <w:tbl>
            <w:tblPr>
              <w:tblW w:w="6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1"/>
              <w:gridCol w:w="850"/>
              <w:gridCol w:w="741"/>
              <w:gridCol w:w="709"/>
              <w:gridCol w:w="709"/>
              <w:gridCol w:w="709"/>
              <w:gridCol w:w="708"/>
            </w:tblGrid>
            <w:tr w:rsidR="009F0C37" w:rsidRPr="009F0C37" w14:paraId="09A0AD5E" w14:textId="77777777" w:rsidTr="00FE4928">
              <w:trPr>
                <w:trHeight w:val="270"/>
                <w:jc w:val="center"/>
              </w:trPr>
              <w:tc>
                <w:tcPr>
                  <w:tcW w:w="1761" w:type="dxa"/>
                  <w:shd w:val="clear" w:color="auto" w:fill="auto"/>
                  <w:noWrap/>
                  <w:vAlign w:val="center"/>
                </w:tcPr>
                <w:p w14:paraId="3A720C0F" w14:textId="77777777" w:rsidR="009F0C37" w:rsidRPr="009F0C37" w:rsidRDefault="009F0C37" w:rsidP="009F0C37">
                  <w:pPr>
                    <w:spacing w:line="240" w:lineRule="auto"/>
                    <w:ind w:firstLineChars="0" w:firstLine="0"/>
                    <w:jc w:val="center"/>
                    <w:rPr>
                      <w:rFonts w:ascii="Times" w:eastAsia="宋体" w:hAnsi="Times"/>
                      <w:b/>
                      <w:bCs/>
                      <w:color w:val="000000"/>
                      <w:kern w:val="0"/>
                      <w:sz w:val="18"/>
                      <w:szCs w:val="18"/>
                      <w:lang w:eastAsia="zh-CN" w:bidi="ar-SA"/>
                    </w:rPr>
                  </w:pPr>
                </w:p>
              </w:tc>
              <w:tc>
                <w:tcPr>
                  <w:tcW w:w="850" w:type="dxa"/>
                  <w:shd w:val="clear" w:color="auto" w:fill="auto"/>
                  <w:noWrap/>
                  <w:vAlign w:val="center"/>
                </w:tcPr>
                <w:p w14:paraId="44455E6F" w14:textId="77777777" w:rsidR="009F0C37" w:rsidRPr="009F0C37" w:rsidRDefault="009F0C37" w:rsidP="009F0C37">
                  <w:pPr>
                    <w:spacing w:line="240" w:lineRule="auto"/>
                    <w:ind w:firstLineChars="0" w:firstLine="0"/>
                    <w:jc w:val="center"/>
                    <w:rPr>
                      <w:rFonts w:ascii="Times" w:eastAsia="宋体" w:hAnsi="Times"/>
                      <w:b/>
                      <w:bCs/>
                      <w:color w:val="000000"/>
                      <w:kern w:val="0"/>
                      <w:sz w:val="18"/>
                      <w:szCs w:val="18"/>
                      <w:lang w:eastAsia="zh-CN" w:bidi="ar-SA"/>
                    </w:rPr>
                  </w:pPr>
                  <w:r w:rsidRPr="009F0C37">
                    <w:rPr>
                      <w:rFonts w:ascii="Times" w:eastAsia="宋体" w:hAnsi="Times" w:hint="eastAsia"/>
                      <w:b/>
                      <w:bCs/>
                      <w:color w:val="000000"/>
                      <w:sz w:val="18"/>
                      <w:szCs w:val="18"/>
                      <w:lang w:eastAsia="zh-CN"/>
                    </w:rPr>
                    <w:t>2020</w:t>
                  </w:r>
                </w:p>
              </w:tc>
              <w:tc>
                <w:tcPr>
                  <w:tcW w:w="741" w:type="dxa"/>
                  <w:shd w:val="clear" w:color="auto" w:fill="auto"/>
                  <w:noWrap/>
                  <w:vAlign w:val="center"/>
                </w:tcPr>
                <w:p w14:paraId="3444B100" w14:textId="77777777" w:rsidR="009F0C37" w:rsidRPr="009F0C37" w:rsidRDefault="009F0C37" w:rsidP="009F0C37">
                  <w:pPr>
                    <w:spacing w:line="240" w:lineRule="auto"/>
                    <w:ind w:firstLineChars="0" w:firstLine="0"/>
                    <w:jc w:val="center"/>
                    <w:rPr>
                      <w:rFonts w:ascii="Times" w:eastAsia="宋体" w:hAnsi="Times"/>
                      <w:b/>
                      <w:bCs/>
                      <w:color w:val="000000"/>
                      <w:kern w:val="0"/>
                      <w:sz w:val="18"/>
                      <w:szCs w:val="18"/>
                      <w:lang w:eastAsia="zh-CN" w:bidi="ar-SA"/>
                    </w:rPr>
                  </w:pPr>
                  <w:r w:rsidRPr="009F0C37">
                    <w:rPr>
                      <w:rFonts w:ascii="Times" w:eastAsia="宋体" w:hAnsi="Times" w:hint="eastAsia"/>
                      <w:b/>
                      <w:bCs/>
                      <w:color w:val="000000"/>
                      <w:sz w:val="18"/>
                      <w:szCs w:val="18"/>
                      <w:lang w:eastAsia="zh-CN"/>
                    </w:rPr>
                    <w:t>2021</w:t>
                  </w:r>
                </w:p>
              </w:tc>
              <w:tc>
                <w:tcPr>
                  <w:tcW w:w="709" w:type="dxa"/>
                  <w:shd w:val="clear" w:color="auto" w:fill="auto"/>
                  <w:noWrap/>
                  <w:vAlign w:val="center"/>
                </w:tcPr>
                <w:p w14:paraId="4A471D53" w14:textId="77777777" w:rsidR="009F0C37" w:rsidRPr="009F0C37" w:rsidRDefault="009F0C37" w:rsidP="009F0C37">
                  <w:pPr>
                    <w:spacing w:line="240" w:lineRule="auto"/>
                    <w:ind w:firstLineChars="0" w:firstLine="0"/>
                    <w:jc w:val="center"/>
                    <w:rPr>
                      <w:rFonts w:ascii="Times" w:eastAsia="宋体" w:hAnsi="Times"/>
                      <w:b/>
                      <w:bCs/>
                      <w:color w:val="000000"/>
                      <w:kern w:val="0"/>
                      <w:sz w:val="18"/>
                      <w:szCs w:val="18"/>
                      <w:lang w:eastAsia="zh-CN" w:bidi="ar-SA"/>
                    </w:rPr>
                  </w:pPr>
                  <w:r w:rsidRPr="009F0C37">
                    <w:rPr>
                      <w:rFonts w:ascii="Times" w:eastAsia="宋体" w:hAnsi="Times" w:hint="eastAsia"/>
                      <w:b/>
                      <w:bCs/>
                      <w:color w:val="000000"/>
                      <w:sz w:val="18"/>
                      <w:szCs w:val="18"/>
                      <w:lang w:eastAsia="zh-CN"/>
                    </w:rPr>
                    <w:t>2022</w:t>
                  </w:r>
                </w:p>
              </w:tc>
              <w:tc>
                <w:tcPr>
                  <w:tcW w:w="709" w:type="dxa"/>
                  <w:shd w:val="clear" w:color="auto" w:fill="auto"/>
                  <w:noWrap/>
                  <w:vAlign w:val="center"/>
                </w:tcPr>
                <w:p w14:paraId="253CC834" w14:textId="77777777" w:rsidR="009F0C37" w:rsidRPr="009F0C37" w:rsidRDefault="009F0C37" w:rsidP="009F0C37">
                  <w:pPr>
                    <w:spacing w:line="240" w:lineRule="auto"/>
                    <w:ind w:firstLineChars="0" w:firstLine="0"/>
                    <w:jc w:val="center"/>
                    <w:rPr>
                      <w:rFonts w:ascii="Times" w:eastAsia="宋体" w:hAnsi="Times"/>
                      <w:b/>
                      <w:bCs/>
                      <w:color w:val="000000"/>
                      <w:kern w:val="0"/>
                      <w:sz w:val="18"/>
                      <w:szCs w:val="18"/>
                      <w:lang w:eastAsia="zh-CN" w:bidi="ar-SA"/>
                    </w:rPr>
                  </w:pPr>
                  <w:r w:rsidRPr="009F0C37">
                    <w:rPr>
                      <w:rFonts w:ascii="Times" w:eastAsia="宋体" w:hAnsi="Times" w:hint="eastAsia"/>
                      <w:b/>
                      <w:bCs/>
                      <w:color w:val="000000"/>
                      <w:sz w:val="18"/>
                      <w:szCs w:val="18"/>
                      <w:lang w:eastAsia="zh-CN"/>
                    </w:rPr>
                    <w:t>2023</w:t>
                  </w:r>
                </w:p>
              </w:tc>
              <w:tc>
                <w:tcPr>
                  <w:tcW w:w="709" w:type="dxa"/>
                  <w:shd w:val="clear" w:color="auto" w:fill="auto"/>
                  <w:noWrap/>
                  <w:vAlign w:val="center"/>
                </w:tcPr>
                <w:p w14:paraId="27D93E92" w14:textId="77777777" w:rsidR="009F0C37" w:rsidRPr="009F0C37" w:rsidRDefault="009F0C37" w:rsidP="009F0C37">
                  <w:pPr>
                    <w:spacing w:line="240" w:lineRule="auto"/>
                    <w:ind w:firstLineChars="0" w:firstLine="0"/>
                    <w:jc w:val="center"/>
                    <w:rPr>
                      <w:rFonts w:ascii="Times" w:eastAsia="宋体" w:hAnsi="Times"/>
                      <w:b/>
                      <w:bCs/>
                      <w:color w:val="000000"/>
                      <w:kern w:val="0"/>
                      <w:sz w:val="18"/>
                      <w:szCs w:val="18"/>
                      <w:lang w:eastAsia="zh-CN" w:bidi="ar-SA"/>
                    </w:rPr>
                  </w:pPr>
                  <w:r w:rsidRPr="009F0C37">
                    <w:rPr>
                      <w:rFonts w:ascii="Times" w:eastAsia="宋体" w:hAnsi="Times" w:hint="eastAsia"/>
                      <w:b/>
                      <w:bCs/>
                      <w:color w:val="000000"/>
                      <w:sz w:val="18"/>
                      <w:szCs w:val="18"/>
                      <w:lang w:eastAsia="zh-CN"/>
                    </w:rPr>
                    <w:t>2024</w:t>
                  </w:r>
                </w:p>
              </w:tc>
              <w:tc>
                <w:tcPr>
                  <w:tcW w:w="708" w:type="dxa"/>
                  <w:shd w:val="clear" w:color="auto" w:fill="auto"/>
                  <w:noWrap/>
                  <w:vAlign w:val="center"/>
                </w:tcPr>
                <w:p w14:paraId="54422C0C" w14:textId="77777777" w:rsidR="009F0C37" w:rsidRPr="009F0C37" w:rsidRDefault="009F0C37" w:rsidP="009F0C37">
                  <w:pPr>
                    <w:spacing w:line="240" w:lineRule="auto"/>
                    <w:ind w:firstLineChars="0" w:firstLine="0"/>
                    <w:jc w:val="center"/>
                    <w:rPr>
                      <w:rFonts w:ascii="Times" w:eastAsia="宋体" w:hAnsi="Times"/>
                      <w:b/>
                      <w:bCs/>
                      <w:color w:val="000000"/>
                      <w:kern w:val="0"/>
                      <w:sz w:val="18"/>
                      <w:szCs w:val="18"/>
                      <w:lang w:eastAsia="zh-CN" w:bidi="ar-SA"/>
                    </w:rPr>
                  </w:pPr>
                  <w:r w:rsidRPr="009F0C37">
                    <w:rPr>
                      <w:rFonts w:ascii="Times" w:eastAsia="宋体" w:hAnsi="Times" w:hint="eastAsia"/>
                      <w:b/>
                      <w:bCs/>
                      <w:color w:val="000000"/>
                      <w:sz w:val="18"/>
                      <w:szCs w:val="18"/>
                      <w:lang w:eastAsia="zh-CN"/>
                    </w:rPr>
                    <w:t>2025</w:t>
                  </w:r>
                </w:p>
              </w:tc>
            </w:tr>
            <w:tr w:rsidR="009F0C37" w:rsidRPr="009F0C37" w14:paraId="54851430" w14:textId="77777777" w:rsidTr="00FE4928">
              <w:trPr>
                <w:trHeight w:val="270"/>
                <w:jc w:val="center"/>
              </w:trPr>
              <w:tc>
                <w:tcPr>
                  <w:tcW w:w="1761" w:type="dxa"/>
                  <w:shd w:val="clear" w:color="auto" w:fill="auto"/>
                  <w:noWrap/>
                  <w:vAlign w:val="center"/>
                </w:tcPr>
                <w:p w14:paraId="74279CED" w14:textId="77777777" w:rsidR="009F0C37" w:rsidRPr="009F0C37" w:rsidRDefault="009F0C37" w:rsidP="009F0C37">
                  <w:pPr>
                    <w:spacing w:line="240" w:lineRule="auto"/>
                    <w:ind w:firstLineChars="0" w:firstLine="0"/>
                    <w:jc w:val="center"/>
                    <w:rPr>
                      <w:rFonts w:ascii="Times" w:eastAsia="宋体" w:hAnsi="Times"/>
                      <w:b/>
                      <w:bCs/>
                      <w:color w:val="000000"/>
                      <w:kern w:val="0"/>
                      <w:sz w:val="18"/>
                      <w:szCs w:val="18"/>
                      <w:lang w:eastAsia="zh-CN" w:bidi="ar-SA"/>
                    </w:rPr>
                  </w:pPr>
                  <w:r w:rsidRPr="009F0C37">
                    <w:rPr>
                      <w:rFonts w:ascii="Times" w:eastAsia="宋体" w:hAnsi="Times" w:hint="eastAsia"/>
                      <w:b/>
                      <w:bCs/>
                      <w:color w:val="000000"/>
                      <w:sz w:val="18"/>
                      <w:szCs w:val="18"/>
                      <w:lang w:eastAsia="zh-CN"/>
                    </w:rPr>
                    <w:t>印度尼西亚</w:t>
                  </w:r>
                </w:p>
              </w:tc>
              <w:tc>
                <w:tcPr>
                  <w:tcW w:w="850" w:type="dxa"/>
                  <w:shd w:val="clear" w:color="auto" w:fill="auto"/>
                  <w:noWrap/>
                  <w:vAlign w:val="center"/>
                </w:tcPr>
                <w:p w14:paraId="2EBC2FA1" w14:textId="77777777" w:rsidR="009F0C37" w:rsidRPr="009F0C37" w:rsidRDefault="009F0C37" w:rsidP="009F0C37">
                  <w:pPr>
                    <w:spacing w:line="240" w:lineRule="auto"/>
                    <w:ind w:firstLineChars="0" w:firstLine="0"/>
                    <w:jc w:val="center"/>
                    <w:rPr>
                      <w:rFonts w:ascii="Times" w:eastAsia="宋体" w:hAnsi="Times"/>
                      <w:color w:val="000000"/>
                      <w:kern w:val="0"/>
                      <w:sz w:val="18"/>
                      <w:szCs w:val="18"/>
                      <w:lang w:eastAsia="zh-CN" w:bidi="ar-SA"/>
                    </w:rPr>
                  </w:pPr>
                  <w:r w:rsidRPr="009F0C37">
                    <w:rPr>
                      <w:rFonts w:ascii="Times" w:eastAsia="宋体" w:hAnsi="Times" w:hint="eastAsia"/>
                      <w:color w:val="000000"/>
                      <w:sz w:val="18"/>
                      <w:szCs w:val="18"/>
                      <w:lang w:eastAsia="zh-CN"/>
                    </w:rPr>
                    <w:t>-2.1</w:t>
                  </w:r>
                </w:p>
              </w:tc>
              <w:tc>
                <w:tcPr>
                  <w:tcW w:w="741" w:type="dxa"/>
                  <w:shd w:val="clear" w:color="auto" w:fill="auto"/>
                  <w:noWrap/>
                  <w:vAlign w:val="center"/>
                </w:tcPr>
                <w:p w14:paraId="047BECF6" w14:textId="77777777" w:rsidR="009F0C37" w:rsidRPr="009F0C37" w:rsidRDefault="009F0C37" w:rsidP="009F0C37">
                  <w:pPr>
                    <w:spacing w:line="240" w:lineRule="auto"/>
                    <w:ind w:firstLineChars="0" w:firstLine="0"/>
                    <w:jc w:val="center"/>
                    <w:rPr>
                      <w:rFonts w:ascii="Times" w:eastAsia="宋体" w:hAnsi="Times"/>
                      <w:color w:val="000000"/>
                      <w:kern w:val="0"/>
                      <w:sz w:val="18"/>
                      <w:szCs w:val="18"/>
                      <w:lang w:eastAsia="zh-CN" w:bidi="ar-SA"/>
                    </w:rPr>
                  </w:pPr>
                  <w:r w:rsidRPr="009F0C37">
                    <w:rPr>
                      <w:rFonts w:ascii="Times" w:eastAsia="宋体" w:hAnsi="Times" w:hint="eastAsia"/>
                      <w:color w:val="000000"/>
                      <w:sz w:val="18"/>
                      <w:szCs w:val="18"/>
                      <w:lang w:eastAsia="zh-CN"/>
                    </w:rPr>
                    <w:t>3.7</w:t>
                  </w:r>
                </w:p>
              </w:tc>
              <w:tc>
                <w:tcPr>
                  <w:tcW w:w="709" w:type="dxa"/>
                  <w:shd w:val="clear" w:color="auto" w:fill="auto"/>
                  <w:noWrap/>
                  <w:vAlign w:val="center"/>
                </w:tcPr>
                <w:p w14:paraId="213E590F" w14:textId="77777777" w:rsidR="009F0C37" w:rsidRPr="009F0C37" w:rsidRDefault="009F0C37" w:rsidP="009F0C37">
                  <w:pPr>
                    <w:spacing w:line="240" w:lineRule="auto"/>
                    <w:ind w:firstLineChars="0" w:firstLine="0"/>
                    <w:jc w:val="center"/>
                    <w:rPr>
                      <w:rFonts w:ascii="Times" w:eastAsia="宋体" w:hAnsi="Times"/>
                      <w:color w:val="000000"/>
                      <w:kern w:val="0"/>
                      <w:sz w:val="18"/>
                      <w:szCs w:val="18"/>
                      <w:lang w:eastAsia="zh-CN" w:bidi="ar-SA"/>
                    </w:rPr>
                  </w:pPr>
                  <w:r w:rsidRPr="009F0C37">
                    <w:rPr>
                      <w:rFonts w:ascii="Times" w:eastAsia="宋体" w:hAnsi="Times" w:hint="eastAsia"/>
                      <w:color w:val="000000"/>
                      <w:sz w:val="18"/>
                      <w:szCs w:val="18"/>
                      <w:lang w:eastAsia="zh-CN"/>
                    </w:rPr>
                    <w:t>5.3</w:t>
                  </w:r>
                </w:p>
              </w:tc>
              <w:tc>
                <w:tcPr>
                  <w:tcW w:w="709" w:type="dxa"/>
                  <w:shd w:val="clear" w:color="auto" w:fill="auto"/>
                  <w:noWrap/>
                  <w:vAlign w:val="center"/>
                </w:tcPr>
                <w:p w14:paraId="6FEB570F" w14:textId="77777777" w:rsidR="009F0C37" w:rsidRPr="009F0C37" w:rsidRDefault="009F0C37" w:rsidP="009F0C37">
                  <w:pPr>
                    <w:spacing w:line="240" w:lineRule="auto"/>
                    <w:ind w:firstLineChars="0" w:firstLine="0"/>
                    <w:jc w:val="center"/>
                    <w:rPr>
                      <w:rFonts w:ascii="Times" w:eastAsia="宋体" w:hAnsi="Times"/>
                      <w:color w:val="000000"/>
                      <w:kern w:val="0"/>
                      <w:sz w:val="18"/>
                      <w:szCs w:val="18"/>
                      <w:lang w:eastAsia="zh-CN" w:bidi="ar-SA"/>
                    </w:rPr>
                  </w:pPr>
                  <w:r w:rsidRPr="009F0C37">
                    <w:rPr>
                      <w:rFonts w:ascii="Times" w:eastAsia="宋体" w:hAnsi="Times" w:hint="eastAsia"/>
                      <w:color w:val="000000"/>
                      <w:sz w:val="18"/>
                      <w:szCs w:val="18"/>
                      <w:lang w:eastAsia="zh-CN"/>
                    </w:rPr>
                    <w:t>5.0</w:t>
                  </w:r>
                </w:p>
              </w:tc>
              <w:tc>
                <w:tcPr>
                  <w:tcW w:w="709" w:type="dxa"/>
                  <w:shd w:val="clear" w:color="auto" w:fill="auto"/>
                  <w:noWrap/>
                  <w:vAlign w:val="center"/>
                </w:tcPr>
                <w:p w14:paraId="3277C6A6" w14:textId="77777777" w:rsidR="009F0C37" w:rsidRPr="009F0C37" w:rsidRDefault="009F0C37" w:rsidP="009F0C37">
                  <w:pPr>
                    <w:spacing w:line="240" w:lineRule="auto"/>
                    <w:ind w:firstLineChars="0" w:firstLine="0"/>
                    <w:jc w:val="center"/>
                    <w:rPr>
                      <w:rFonts w:ascii="Times" w:eastAsia="宋体" w:hAnsi="Times"/>
                      <w:color w:val="000000"/>
                      <w:kern w:val="0"/>
                      <w:sz w:val="18"/>
                      <w:szCs w:val="18"/>
                      <w:lang w:eastAsia="zh-CN" w:bidi="ar-SA"/>
                    </w:rPr>
                  </w:pPr>
                  <w:r w:rsidRPr="009F0C37">
                    <w:rPr>
                      <w:rFonts w:ascii="Times" w:eastAsia="宋体" w:hAnsi="Times" w:hint="eastAsia"/>
                      <w:color w:val="000000"/>
                      <w:sz w:val="18"/>
                      <w:szCs w:val="18"/>
                      <w:lang w:eastAsia="zh-CN"/>
                    </w:rPr>
                    <w:t>5.0</w:t>
                  </w:r>
                </w:p>
              </w:tc>
              <w:tc>
                <w:tcPr>
                  <w:tcW w:w="708" w:type="dxa"/>
                  <w:shd w:val="clear" w:color="auto" w:fill="auto"/>
                  <w:noWrap/>
                  <w:vAlign w:val="center"/>
                </w:tcPr>
                <w:p w14:paraId="380C8CDF" w14:textId="77777777" w:rsidR="009F0C37" w:rsidRPr="009F0C37" w:rsidRDefault="009F0C37" w:rsidP="009F0C37">
                  <w:pPr>
                    <w:spacing w:line="240" w:lineRule="auto"/>
                    <w:ind w:firstLineChars="0" w:firstLine="0"/>
                    <w:jc w:val="center"/>
                    <w:rPr>
                      <w:rFonts w:ascii="Times" w:eastAsia="宋体" w:hAnsi="Times"/>
                      <w:color w:val="000000"/>
                      <w:kern w:val="0"/>
                      <w:sz w:val="18"/>
                      <w:szCs w:val="18"/>
                      <w:lang w:eastAsia="zh-CN" w:bidi="ar-SA"/>
                    </w:rPr>
                  </w:pPr>
                  <w:r w:rsidRPr="009F0C37">
                    <w:rPr>
                      <w:rFonts w:ascii="Times" w:eastAsia="宋体" w:hAnsi="Times" w:hint="eastAsia"/>
                      <w:color w:val="000000"/>
                      <w:sz w:val="18"/>
                      <w:szCs w:val="18"/>
                      <w:lang w:eastAsia="zh-CN"/>
                    </w:rPr>
                    <w:t>5.1</w:t>
                  </w:r>
                </w:p>
              </w:tc>
            </w:tr>
            <w:tr w:rsidR="009F0C37" w:rsidRPr="009F0C37" w14:paraId="2C938110" w14:textId="77777777" w:rsidTr="00FE4928">
              <w:trPr>
                <w:trHeight w:val="270"/>
                <w:jc w:val="center"/>
              </w:trPr>
              <w:tc>
                <w:tcPr>
                  <w:tcW w:w="1761" w:type="dxa"/>
                  <w:shd w:val="clear" w:color="auto" w:fill="auto"/>
                  <w:noWrap/>
                  <w:vAlign w:val="center"/>
                </w:tcPr>
                <w:p w14:paraId="106452BA" w14:textId="77777777" w:rsidR="009F0C37" w:rsidRPr="009F0C37" w:rsidRDefault="009F0C37" w:rsidP="009F0C37">
                  <w:pPr>
                    <w:spacing w:line="240" w:lineRule="auto"/>
                    <w:ind w:firstLineChars="0" w:firstLine="0"/>
                    <w:jc w:val="center"/>
                    <w:rPr>
                      <w:rFonts w:ascii="Times" w:eastAsia="宋体" w:hAnsi="Times"/>
                      <w:b/>
                      <w:bCs/>
                      <w:color w:val="000000"/>
                      <w:kern w:val="0"/>
                      <w:sz w:val="18"/>
                      <w:szCs w:val="18"/>
                      <w:lang w:eastAsia="zh-CN" w:bidi="ar-SA"/>
                    </w:rPr>
                  </w:pPr>
                  <w:r w:rsidRPr="009F0C37">
                    <w:rPr>
                      <w:rFonts w:ascii="Times" w:eastAsia="宋体" w:hAnsi="Times" w:hint="eastAsia"/>
                      <w:b/>
                      <w:bCs/>
                      <w:color w:val="000000"/>
                      <w:sz w:val="18"/>
                      <w:szCs w:val="18"/>
                      <w:lang w:eastAsia="zh-CN"/>
                    </w:rPr>
                    <w:t>马来西亚</w:t>
                  </w:r>
                </w:p>
              </w:tc>
              <w:tc>
                <w:tcPr>
                  <w:tcW w:w="850" w:type="dxa"/>
                  <w:shd w:val="clear" w:color="auto" w:fill="auto"/>
                  <w:noWrap/>
                  <w:vAlign w:val="center"/>
                </w:tcPr>
                <w:p w14:paraId="73C66283" w14:textId="77777777" w:rsidR="009F0C37" w:rsidRPr="009F0C37" w:rsidRDefault="009F0C37" w:rsidP="009F0C37">
                  <w:pPr>
                    <w:spacing w:line="240" w:lineRule="auto"/>
                    <w:ind w:firstLineChars="0" w:firstLine="0"/>
                    <w:jc w:val="center"/>
                    <w:rPr>
                      <w:rFonts w:ascii="Times" w:eastAsia="宋体" w:hAnsi="Times"/>
                      <w:color w:val="000000"/>
                      <w:kern w:val="0"/>
                      <w:sz w:val="18"/>
                      <w:szCs w:val="18"/>
                      <w:lang w:eastAsia="zh-CN" w:bidi="ar-SA"/>
                    </w:rPr>
                  </w:pPr>
                  <w:r w:rsidRPr="009F0C37">
                    <w:rPr>
                      <w:rFonts w:ascii="Times" w:eastAsia="宋体" w:hAnsi="Times" w:hint="eastAsia"/>
                      <w:color w:val="000000"/>
                      <w:sz w:val="18"/>
                      <w:szCs w:val="18"/>
                      <w:lang w:eastAsia="zh-CN"/>
                    </w:rPr>
                    <w:t>-5.5</w:t>
                  </w:r>
                </w:p>
              </w:tc>
              <w:tc>
                <w:tcPr>
                  <w:tcW w:w="741" w:type="dxa"/>
                  <w:shd w:val="clear" w:color="auto" w:fill="auto"/>
                  <w:noWrap/>
                  <w:vAlign w:val="center"/>
                </w:tcPr>
                <w:p w14:paraId="1CBE3D98" w14:textId="77777777" w:rsidR="009F0C37" w:rsidRPr="009F0C37" w:rsidRDefault="009F0C37" w:rsidP="009F0C37">
                  <w:pPr>
                    <w:spacing w:line="240" w:lineRule="auto"/>
                    <w:ind w:firstLineChars="0" w:firstLine="0"/>
                    <w:jc w:val="center"/>
                    <w:rPr>
                      <w:rFonts w:ascii="Times" w:eastAsia="宋体" w:hAnsi="Times"/>
                      <w:color w:val="000000"/>
                      <w:kern w:val="0"/>
                      <w:sz w:val="18"/>
                      <w:szCs w:val="18"/>
                      <w:lang w:eastAsia="zh-CN" w:bidi="ar-SA"/>
                    </w:rPr>
                  </w:pPr>
                  <w:r w:rsidRPr="009F0C37">
                    <w:rPr>
                      <w:rFonts w:ascii="Times" w:eastAsia="宋体" w:hAnsi="Times" w:hint="eastAsia"/>
                      <w:color w:val="000000"/>
                      <w:sz w:val="18"/>
                      <w:szCs w:val="18"/>
                      <w:lang w:eastAsia="zh-CN"/>
                    </w:rPr>
                    <w:t>3.3</w:t>
                  </w:r>
                </w:p>
              </w:tc>
              <w:tc>
                <w:tcPr>
                  <w:tcW w:w="709" w:type="dxa"/>
                  <w:shd w:val="clear" w:color="auto" w:fill="auto"/>
                  <w:noWrap/>
                  <w:vAlign w:val="center"/>
                </w:tcPr>
                <w:p w14:paraId="494DA964" w14:textId="77777777" w:rsidR="009F0C37" w:rsidRPr="009F0C37" w:rsidRDefault="009F0C37" w:rsidP="009F0C37">
                  <w:pPr>
                    <w:spacing w:line="240" w:lineRule="auto"/>
                    <w:ind w:firstLineChars="0" w:firstLine="0"/>
                    <w:jc w:val="center"/>
                    <w:rPr>
                      <w:rFonts w:ascii="Times" w:eastAsia="宋体" w:hAnsi="Times"/>
                      <w:color w:val="000000"/>
                      <w:kern w:val="0"/>
                      <w:sz w:val="18"/>
                      <w:szCs w:val="18"/>
                      <w:lang w:eastAsia="zh-CN" w:bidi="ar-SA"/>
                    </w:rPr>
                  </w:pPr>
                  <w:r w:rsidRPr="009F0C37">
                    <w:rPr>
                      <w:rFonts w:ascii="Times" w:eastAsia="宋体" w:hAnsi="Times" w:hint="eastAsia"/>
                      <w:color w:val="000000"/>
                      <w:sz w:val="18"/>
                      <w:szCs w:val="18"/>
                      <w:lang w:eastAsia="zh-CN"/>
                    </w:rPr>
                    <w:t>8.9</w:t>
                  </w:r>
                </w:p>
              </w:tc>
              <w:tc>
                <w:tcPr>
                  <w:tcW w:w="709" w:type="dxa"/>
                  <w:shd w:val="clear" w:color="auto" w:fill="auto"/>
                  <w:noWrap/>
                  <w:vAlign w:val="center"/>
                </w:tcPr>
                <w:p w14:paraId="43682B82" w14:textId="77777777" w:rsidR="009F0C37" w:rsidRPr="009F0C37" w:rsidRDefault="009F0C37" w:rsidP="009F0C37">
                  <w:pPr>
                    <w:spacing w:line="240" w:lineRule="auto"/>
                    <w:ind w:firstLineChars="0" w:firstLine="0"/>
                    <w:jc w:val="center"/>
                    <w:rPr>
                      <w:rFonts w:ascii="Times" w:eastAsia="宋体" w:hAnsi="Times"/>
                      <w:color w:val="000000"/>
                      <w:kern w:val="0"/>
                      <w:sz w:val="18"/>
                      <w:szCs w:val="18"/>
                      <w:lang w:eastAsia="zh-CN" w:bidi="ar-SA"/>
                    </w:rPr>
                  </w:pPr>
                  <w:r w:rsidRPr="009F0C37">
                    <w:rPr>
                      <w:rFonts w:ascii="Times" w:eastAsia="宋体" w:hAnsi="Times" w:hint="eastAsia"/>
                      <w:color w:val="000000"/>
                      <w:sz w:val="18"/>
                      <w:szCs w:val="18"/>
                      <w:lang w:eastAsia="zh-CN"/>
                    </w:rPr>
                    <w:t>3.6</w:t>
                  </w:r>
                </w:p>
              </w:tc>
              <w:tc>
                <w:tcPr>
                  <w:tcW w:w="709" w:type="dxa"/>
                  <w:shd w:val="clear" w:color="auto" w:fill="auto"/>
                  <w:noWrap/>
                  <w:vAlign w:val="center"/>
                </w:tcPr>
                <w:p w14:paraId="0E59ED53" w14:textId="77777777" w:rsidR="009F0C37" w:rsidRPr="009F0C37" w:rsidRDefault="009F0C37" w:rsidP="009F0C37">
                  <w:pPr>
                    <w:spacing w:line="240" w:lineRule="auto"/>
                    <w:ind w:firstLineChars="0" w:firstLine="0"/>
                    <w:jc w:val="center"/>
                    <w:rPr>
                      <w:rFonts w:ascii="Times" w:eastAsia="宋体" w:hAnsi="Times"/>
                      <w:color w:val="000000"/>
                      <w:kern w:val="0"/>
                      <w:sz w:val="18"/>
                      <w:szCs w:val="18"/>
                      <w:lang w:eastAsia="zh-CN" w:bidi="ar-SA"/>
                    </w:rPr>
                  </w:pPr>
                  <w:r w:rsidRPr="009F0C37">
                    <w:rPr>
                      <w:rFonts w:ascii="Times" w:eastAsia="宋体" w:hAnsi="Times" w:hint="eastAsia"/>
                      <w:color w:val="000000"/>
                      <w:sz w:val="18"/>
                      <w:szCs w:val="18"/>
                      <w:lang w:eastAsia="zh-CN"/>
                    </w:rPr>
                    <w:t>4.8</w:t>
                  </w:r>
                </w:p>
              </w:tc>
              <w:tc>
                <w:tcPr>
                  <w:tcW w:w="708" w:type="dxa"/>
                  <w:shd w:val="clear" w:color="auto" w:fill="auto"/>
                  <w:noWrap/>
                  <w:vAlign w:val="center"/>
                </w:tcPr>
                <w:p w14:paraId="2AF24D7D" w14:textId="77777777" w:rsidR="009F0C37" w:rsidRPr="009F0C37" w:rsidRDefault="009F0C37" w:rsidP="009F0C37">
                  <w:pPr>
                    <w:spacing w:line="240" w:lineRule="auto"/>
                    <w:ind w:firstLineChars="0" w:firstLine="0"/>
                    <w:jc w:val="center"/>
                    <w:rPr>
                      <w:rFonts w:ascii="Times" w:eastAsia="宋体" w:hAnsi="Times"/>
                      <w:color w:val="000000"/>
                      <w:kern w:val="0"/>
                      <w:sz w:val="18"/>
                      <w:szCs w:val="18"/>
                      <w:lang w:eastAsia="zh-CN" w:bidi="ar-SA"/>
                    </w:rPr>
                  </w:pPr>
                  <w:r w:rsidRPr="009F0C37">
                    <w:rPr>
                      <w:rFonts w:ascii="Times" w:eastAsia="宋体" w:hAnsi="Times" w:hint="eastAsia"/>
                      <w:color w:val="000000"/>
                      <w:sz w:val="18"/>
                      <w:szCs w:val="18"/>
                      <w:lang w:eastAsia="zh-CN"/>
                    </w:rPr>
                    <w:t>4.4</w:t>
                  </w:r>
                </w:p>
              </w:tc>
            </w:tr>
            <w:tr w:rsidR="009F0C37" w:rsidRPr="009F0C37" w14:paraId="6E8B8E75" w14:textId="77777777" w:rsidTr="00FE4928">
              <w:trPr>
                <w:trHeight w:val="270"/>
                <w:jc w:val="center"/>
              </w:trPr>
              <w:tc>
                <w:tcPr>
                  <w:tcW w:w="1761" w:type="dxa"/>
                  <w:shd w:val="clear" w:color="auto" w:fill="auto"/>
                  <w:noWrap/>
                  <w:vAlign w:val="center"/>
                </w:tcPr>
                <w:p w14:paraId="31CB15AF" w14:textId="77777777" w:rsidR="009F0C37" w:rsidRPr="009F0C37" w:rsidRDefault="009F0C37" w:rsidP="009F0C37">
                  <w:pPr>
                    <w:spacing w:line="240" w:lineRule="auto"/>
                    <w:ind w:firstLineChars="0" w:firstLine="0"/>
                    <w:jc w:val="center"/>
                    <w:rPr>
                      <w:rFonts w:ascii="Times" w:eastAsia="宋体" w:hAnsi="Times"/>
                      <w:b/>
                      <w:bCs/>
                      <w:color w:val="000000"/>
                      <w:kern w:val="0"/>
                      <w:sz w:val="18"/>
                      <w:szCs w:val="18"/>
                      <w:lang w:eastAsia="zh-CN" w:bidi="ar-SA"/>
                    </w:rPr>
                  </w:pPr>
                  <w:r w:rsidRPr="009F0C37">
                    <w:rPr>
                      <w:rFonts w:ascii="Times" w:eastAsia="宋体" w:hAnsi="Times" w:hint="eastAsia"/>
                      <w:b/>
                      <w:bCs/>
                      <w:color w:val="000000"/>
                      <w:sz w:val="18"/>
                      <w:szCs w:val="18"/>
                      <w:lang w:eastAsia="zh-CN"/>
                    </w:rPr>
                    <w:t>菲律宾</w:t>
                  </w:r>
                </w:p>
              </w:tc>
              <w:tc>
                <w:tcPr>
                  <w:tcW w:w="850" w:type="dxa"/>
                  <w:shd w:val="clear" w:color="auto" w:fill="auto"/>
                  <w:noWrap/>
                  <w:vAlign w:val="center"/>
                </w:tcPr>
                <w:p w14:paraId="570BB05E" w14:textId="77777777" w:rsidR="009F0C37" w:rsidRPr="009F0C37" w:rsidRDefault="009F0C37" w:rsidP="009F0C37">
                  <w:pPr>
                    <w:spacing w:line="240" w:lineRule="auto"/>
                    <w:ind w:firstLineChars="0" w:firstLine="0"/>
                    <w:jc w:val="center"/>
                    <w:rPr>
                      <w:rFonts w:ascii="Times" w:eastAsia="宋体" w:hAnsi="Times"/>
                      <w:color w:val="000000"/>
                      <w:kern w:val="0"/>
                      <w:sz w:val="18"/>
                      <w:szCs w:val="18"/>
                      <w:lang w:eastAsia="zh-CN" w:bidi="ar-SA"/>
                    </w:rPr>
                  </w:pPr>
                  <w:r w:rsidRPr="009F0C37">
                    <w:rPr>
                      <w:rFonts w:ascii="Times" w:eastAsia="宋体" w:hAnsi="Times" w:hint="eastAsia"/>
                      <w:color w:val="000000"/>
                      <w:sz w:val="18"/>
                      <w:szCs w:val="18"/>
                      <w:lang w:eastAsia="zh-CN"/>
                    </w:rPr>
                    <w:t>-9.5</w:t>
                  </w:r>
                </w:p>
              </w:tc>
              <w:tc>
                <w:tcPr>
                  <w:tcW w:w="741" w:type="dxa"/>
                  <w:shd w:val="clear" w:color="auto" w:fill="auto"/>
                  <w:noWrap/>
                  <w:vAlign w:val="center"/>
                </w:tcPr>
                <w:p w14:paraId="7679DF29" w14:textId="77777777" w:rsidR="009F0C37" w:rsidRPr="009F0C37" w:rsidRDefault="009F0C37" w:rsidP="009F0C37">
                  <w:pPr>
                    <w:spacing w:line="240" w:lineRule="auto"/>
                    <w:ind w:firstLineChars="0" w:firstLine="0"/>
                    <w:jc w:val="center"/>
                    <w:rPr>
                      <w:rFonts w:ascii="Times" w:eastAsia="宋体" w:hAnsi="Times"/>
                      <w:color w:val="000000"/>
                      <w:kern w:val="0"/>
                      <w:sz w:val="18"/>
                      <w:szCs w:val="18"/>
                      <w:lang w:eastAsia="zh-CN" w:bidi="ar-SA"/>
                    </w:rPr>
                  </w:pPr>
                  <w:r w:rsidRPr="009F0C37">
                    <w:rPr>
                      <w:rFonts w:ascii="Times" w:eastAsia="宋体" w:hAnsi="Times" w:hint="eastAsia"/>
                      <w:color w:val="000000"/>
                      <w:sz w:val="18"/>
                      <w:szCs w:val="18"/>
                      <w:lang w:eastAsia="zh-CN"/>
                    </w:rPr>
                    <w:t>5.7</w:t>
                  </w:r>
                </w:p>
              </w:tc>
              <w:tc>
                <w:tcPr>
                  <w:tcW w:w="709" w:type="dxa"/>
                  <w:shd w:val="clear" w:color="auto" w:fill="auto"/>
                  <w:noWrap/>
                  <w:vAlign w:val="center"/>
                </w:tcPr>
                <w:p w14:paraId="3C732001" w14:textId="77777777" w:rsidR="009F0C37" w:rsidRPr="009F0C37" w:rsidRDefault="009F0C37" w:rsidP="009F0C37">
                  <w:pPr>
                    <w:spacing w:line="240" w:lineRule="auto"/>
                    <w:ind w:firstLineChars="0" w:firstLine="0"/>
                    <w:jc w:val="center"/>
                    <w:rPr>
                      <w:rFonts w:ascii="Times" w:eastAsia="宋体" w:hAnsi="Times"/>
                      <w:color w:val="000000"/>
                      <w:kern w:val="0"/>
                      <w:sz w:val="18"/>
                      <w:szCs w:val="18"/>
                      <w:lang w:eastAsia="zh-CN" w:bidi="ar-SA"/>
                    </w:rPr>
                  </w:pPr>
                  <w:r w:rsidRPr="009F0C37">
                    <w:rPr>
                      <w:rFonts w:ascii="Times" w:eastAsia="宋体" w:hAnsi="Times" w:hint="eastAsia"/>
                      <w:color w:val="000000"/>
                      <w:sz w:val="18"/>
                      <w:szCs w:val="18"/>
                      <w:lang w:eastAsia="zh-CN"/>
                    </w:rPr>
                    <w:t>7.6</w:t>
                  </w:r>
                </w:p>
              </w:tc>
              <w:tc>
                <w:tcPr>
                  <w:tcW w:w="709" w:type="dxa"/>
                  <w:shd w:val="clear" w:color="auto" w:fill="auto"/>
                  <w:noWrap/>
                  <w:vAlign w:val="center"/>
                </w:tcPr>
                <w:p w14:paraId="279FA6CC" w14:textId="77777777" w:rsidR="009F0C37" w:rsidRPr="009F0C37" w:rsidRDefault="009F0C37" w:rsidP="009F0C37">
                  <w:pPr>
                    <w:spacing w:line="240" w:lineRule="auto"/>
                    <w:ind w:firstLineChars="0" w:firstLine="0"/>
                    <w:jc w:val="center"/>
                    <w:rPr>
                      <w:rFonts w:ascii="Times" w:eastAsia="宋体" w:hAnsi="Times"/>
                      <w:color w:val="000000"/>
                      <w:kern w:val="0"/>
                      <w:sz w:val="18"/>
                      <w:szCs w:val="18"/>
                      <w:lang w:eastAsia="zh-CN" w:bidi="ar-SA"/>
                    </w:rPr>
                  </w:pPr>
                  <w:r w:rsidRPr="009F0C37">
                    <w:rPr>
                      <w:rFonts w:ascii="Times" w:eastAsia="宋体" w:hAnsi="Times" w:hint="eastAsia"/>
                      <w:color w:val="000000"/>
                      <w:sz w:val="18"/>
                      <w:szCs w:val="18"/>
                      <w:lang w:eastAsia="zh-CN"/>
                    </w:rPr>
                    <w:t>5.5</w:t>
                  </w:r>
                </w:p>
              </w:tc>
              <w:tc>
                <w:tcPr>
                  <w:tcW w:w="709" w:type="dxa"/>
                  <w:shd w:val="clear" w:color="auto" w:fill="auto"/>
                  <w:noWrap/>
                  <w:vAlign w:val="center"/>
                </w:tcPr>
                <w:p w14:paraId="32CEB12F" w14:textId="77777777" w:rsidR="009F0C37" w:rsidRPr="009F0C37" w:rsidRDefault="009F0C37" w:rsidP="009F0C37">
                  <w:pPr>
                    <w:spacing w:line="240" w:lineRule="auto"/>
                    <w:ind w:firstLineChars="0" w:firstLine="0"/>
                    <w:jc w:val="center"/>
                    <w:rPr>
                      <w:rFonts w:ascii="Times" w:eastAsia="宋体" w:hAnsi="Times"/>
                      <w:color w:val="000000"/>
                      <w:kern w:val="0"/>
                      <w:sz w:val="18"/>
                      <w:szCs w:val="18"/>
                      <w:lang w:eastAsia="zh-CN" w:bidi="ar-SA"/>
                    </w:rPr>
                  </w:pPr>
                  <w:r w:rsidRPr="009F0C37">
                    <w:rPr>
                      <w:rFonts w:ascii="Times" w:eastAsia="宋体" w:hAnsi="Times" w:hint="eastAsia"/>
                      <w:color w:val="000000"/>
                      <w:sz w:val="18"/>
                      <w:szCs w:val="18"/>
                      <w:lang w:eastAsia="zh-CN"/>
                    </w:rPr>
                    <w:t>5.8</w:t>
                  </w:r>
                </w:p>
              </w:tc>
              <w:tc>
                <w:tcPr>
                  <w:tcW w:w="708" w:type="dxa"/>
                  <w:shd w:val="clear" w:color="auto" w:fill="auto"/>
                  <w:noWrap/>
                  <w:vAlign w:val="center"/>
                </w:tcPr>
                <w:p w14:paraId="3E702015" w14:textId="77777777" w:rsidR="009F0C37" w:rsidRPr="009F0C37" w:rsidRDefault="009F0C37" w:rsidP="009F0C37">
                  <w:pPr>
                    <w:spacing w:line="240" w:lineRule="auto"/>
                    <w:ind w:firstLineChars="0" w:firstLine="0"/>
                    <w:jc w:val="center"/>
                    <w:rPr>
                      <w:rFonts w:ascii="Times" w:eastAsia="宋体" w:hAnsi="Times"/>
                      <w:color w:val="000000"/>
                      <w:kern w:val="0"/>
                      <w:sz w:val="18"/>
                      <w:szCs w:val="18"/>
                      <w:lang w:eastAsia="zh-CN" w:bidi="ar-SA"/>
                    </w:rPr>
                  </w:pPr>
                  <w:r w:rsidRPr="009F0C37">
                    <w:rPr>
                      <w:rFonts w:ascii="Times" w:eastAsia="宋体" w:hAnsi="Times" w:hint="eastAsia"/>
                      <w:color w:val="000000"/>
                      <w:sz w:val="18"/>
                      <w:szCs w:val="18"/>
                      <w:lang w:eastAsia="zh-CN"/>
                    </w:rPr>
                    <w:t>6.1</w:t>
                  </w:r>
                </w:p>
              </w:tc>
            </w:tr>
            <w:tr w:rsidR="009F0C37" w:rsidRPr="009F0C37" w14:paraId="643A8DD8" w14:textId="77777777" w:rsidTr="00FE4928">
              <w:trPr>
                <w:trHeight w:val="270"/>
                <w:jc w:val="center"/>
              </w:trPr>
              <w:tc>
                <w:tcPr>
                  <w:tcW w:w="1761" w:type="dxa"/>
                  <w:shd w:val="clear" w:color="auto" w:fill="auto"/>
                  <w:noWrap/>
                  <w:vAlign w:val="center"/>
                </w:tcPr>
                <w:p w14:paraId="7AE50D9F" w14:textId="77777777" w:rsidR="009F0C37" w:rsidRPr="009F0C37" w:rsidRDefault="009F0C37" w:rsidP="009F0C37">
                  <w:pPr>
                    <w:spacing w:line="240" w:lineRule="auto"/>
                    <w:ind w:firstLineChars="0" w:firstLine="0"/>
                    <w:jc w:val="center"/>
                    <w:rPr>
                      <w:rFonts w:ascii="Times" w:eastAsia="宋体" w:hAnsi="Times"/>
                      <w:b/>
                      <w:bCs/>
                      <w:color w:val="000000"/>
                      <w:kern w:val="0"/>
                      <w:sz w:val="18"/>
                      <w:szCs w:val="18"/>
                      <w:lang w:eastAsia="zh-CN" w:bidi="ar-SA"/>
                    </w:rPr>
                  </w:pPr>
                  <w:r w:rsidRPr="009F0C37">
                    <w:rPr>
                      <w:rFonts w:ascii="Times" w:eastAsia="宋体" w:hAnsi="Times" w:hint="eastAsia"/>
                      <w:b/>
                      <w:bCs/>
                      <w:color w:val="000000"/>
                      <w:sz w:val="18"/>
                      <w:szCs w:val="18"/>
                      <w:lang w:eastAsia="zh-CN"/>
                    </w:rPr>
                    <w:t>新加坡</w:t>
                  </w:r>
                </w:p>
              </w:tc>
              <w:tc>
                <w:tcPr>
                  <w:tcW w:w="850" w:type="dxa"/>
                  <w:shd w:val="clear" w:color="auto" w:fill="auto"/>
                  <w:noWrap/>
                  <w:vAlign w:val="center"/>
                </w:tcPr>
                <w:p w14:paraId="404874FD" w14:textId="77777777" w:rsidR="009F0C37" w:rsidRPr="009F0C37" w:rsidRDefault="009F0C37" w:rsidP="009F0C37">
                  <w:pPr>
                    <w:spacing w:line="240" w:lineRule="auto"/>
                    <w:ind w:firstLineChars="0" w:firstLine="0"/>
                    <w:jc w:val="center"/>
                    <w:rPr>
                      <w:rFonts w:ascii="Times" w:eastAsia="宋体" w:hAnsi="Times"/>
                      <w:color w:val="000000"/>
                      <w:kern w:val="0"/>
                      <w:sz w:val="18"/>
                      <w:szCs w:val="18"/>
                      <w:lang w:eastAsia="zh-CN" w:bidi="ar-SA"/>
                    </w:rPr>
                  </w:pPr>
                  <w:r w:rsidRPr="009F0C37">
                    <w:rPr>
                      <w:rFonts w:ascii="Times" w:eastAsia="宋体" w:hAnsi="Times" w:hint="eastAsia"/>
                      <w:color w:val="000000"/>
                      <w:sz w:val="18"/>
                      <w:szCs w:val="18"/>
                      <w:lang w:eastAsia="zh-CN"/>
                    </w:rPr>
                    <w:t>-3.9</w:t>
                  </w:r>
                </w:p>
              </w:tc>
              <w:tc>
                <w:tcPr>
                  <w:tcW w:w="741" w:type="dxa"/>
                  <w:shd w:val="clear" w:color="auto" w:fill="auto"/>
                  <w:noWrap/>
                  <w:vAlign w:val="center"/>
                </w:tcPr>
                <w:p w14:paraId="36BCDADD" w14:textId="77777777" w:rsidR="009F0C37" w:rsidRPr="009F0C37" w:rsidRDefault="009F0C37" w:rsidP="009F0C37">
                  <w:pPr>
                    <w:spacing w:line="240" w:lineRule="auto"/>
                    <w:ind w:firstLineChars="0" w:firstLine="0"/>
                    <w:jc w:val="center"/>
                    <w:rPr>
                      <w:rFonts w:ascii="Times" w:eastAsia="宋体" w:hAnsi="Times"/>
                      <w:color w:val="000000"/>
                      <w:kern w:val="0"/>
                      <w:sz w:val="18"/>
                      <w:szCs w:val="18"/>
                      <w:lang w:eastAsia="zh-CN" w:bidi="ar-SA"/>
                    </w:rPr>
                  </w:pPr>
                  <w:r w:rsidRPr="009F0C37">
                    <w:rPr>
                      <w:rFonts w:ascii="Times" w:eastAsia="宋体" w:hAnsi="Times" w:hint="eastAsia"/>
                      <w:color w:val="000000"/>
                      <w:sz w:val="18"/>
                      <w:szCs w:val="18"/>
                      <w:lang w:eastAsia="zh-CN"/>
                    </w:rPr>
                    <w:t>9.7</w:t>
                  </w:r>
                </w:p>
              </w:tc>
              <w:tc>
                <w:tcPr>
                  <w:tcW w:w="709" w:type="dxa"/>
                  <w:shd w:val="clear" w:color="auto" w:fill="auto"/>
                  <w:noWrap/>
                  <w:vAlign w:val="center"/>
                </w:tcPr>
                <w:p w14:paraId="062518AB" w14:textId="77777777" w:rsidR="009F0C37" w:rsidRPr="009F0C37" w:rsidRDefault="009F0C37" w:rsidP="009F0C37">
                  <w:pPr>
                    <w:spacing w:line="240" w:lineRule="auto"/>
                    <w:ind w:firstLineChars="0" w:firstLine="0"/>
                    <w:jc w:val="center"/>
                    <w:rPr>
                      <w:rFonts w:ascii="Times" w:eastAsia="宋体" w:hAnsi="Times"/>
                      <w:color w:val="000000"/>
                      <w:kern w:val="0"/>
                      <w:sz w:val="18"/>
                      <w:szCs w:val="18"/>
                      <w:lang w:eastAsia="zh-CN" w:bidi="ar-SA"/>
                    </w:rPr>
                  </w:pPr>
                  <w:r w:rsidRPr="009F0C37">
                    <w:rPr>
                      <w:rFonts w:ascii="Times" w:eastAsia="宋体" w:hAnsi="Times" w:hint="eastAsia"/>
                      <w:color w:val="000000"/>
                      <w:sz w:val="18"/>
                      <w:szCs w:val="18"/>
                      <w:lang w:eastAsia="zh-CN"/>
                    </w:rPr>
                    <w:t>3.8</w:t>
                  </w:r>
                </w:p>
              </w:tc>
              <w:tc>
                <w:tcPr>
                  <w:tcW w:w="709" w:type="dxa"/>
                  <w:shd w:val="clear" w:color="auto" w:fill="auto"/>
                  <w:noWrap/>
                  <w:vAlign w:val="center"/>
                </w:tcPr>
                <w:p w14:paraId="58301D6E" w14:textId="77777777" w:rsidR="009F0C37" w:rsidRPr="009F0C37" w:rsidRDefault="009F0C37" w:rsidP="009F0C37">
                  <w:pPr>
                    <w:spacing w:line="240" w:lineRule="auto"/>
                    <w:ind w:firstLineChars="0" w:firstLine="0"/>
                    <w:jc w:val="center"/>
                    <w:rPr>
                      <w:rFonts w:ascii="Times" w:eastAsia="宋体" w:hAnsi="Times"/>
                      <w:color w:val="000000"/>
                      <w:kern w:val="0"/>
                      <w:sz w:val="18"/>
                      <w:szCs w:val="18"/>
                      <w:lang w:eastAsia="zh-CN" w:bidi="ar-SA"/>
                    </w:rPr>
                  </w:pPr>
                  <w:r w:rsidRPr="009F0C37">
                    <w:rPr>
                      <w:rFonts w:ascii="Times" w:eastAsia="宋体" w:hAnsi="Times" w:hint="eastAsia"/>
                      <w:color w:val="000000"/>
                      <w:sz w:val="18"/>
                      <w:szCs w:val="18"/>
                      <w:lang w:eastAsia="zh-CN"/>
                    </w:rPr>
                    <w:t>1.1</w:t>
                  </w:r>
                </w:p>
              </w:tc>
              <w:tc>
                <w:tcPr>
                  <w:tcW w:w="709" w:type="dxa"/>
                  <w:shd w:val="clear" w:color="auto" w:fill="auto"/>
                  <w:noWrap/>
                  <w:vAlign w:val="center"/>
                </w:tcPr>
                <w:p w14:paraId="48E5DF79" w14:textId="77777777" w:rsidR="009F0C37" w:rsidRPr="009F0C37" w:rsidRDefault="009F0C37" w:rsidP="009F0C37">
                  <w:pPr>
                    <w:spacing w:line="240" w:lineRule="auto"/>
                    <w:ind w:firstLineChars="0" w:firstLine="0"/>
                    <w:jc w:val="center"/>
                    <w:rPr>
                      <w:rFonts w:ascii="Times" w:eastAsia="宋体" w:hAnsi="Times"/>
                      <w:color w:val="000000"/>
                      <w:kern w:val="0"/>
                      <w:sz w:val="18"/>
                      <w:szCs w:val="18"/>
                      <w:lang w:eastAsia="zh-CN" w:bidi="ar-SA"/>
                    </w:rPr>
                  </w:pPr>
                  <w:r w:rsidRPr="009F0C37">
                    <w:rPr>
                      <w:rFonts w:ascii="Times" w:eastAsia="宋体" w:hAnsi="Times" w:hint="eastAsia"/>
                      <w:color w:val="000000"/>
                      <w:sz w:val="18"/>
                      <w:szCs w:val="18"/>
                      <w:lang w:eastAsia="zh-CN"/>
                    </w:rPr>
                    <w:t>4.0</w:t>
                  </w:r>
                </w:p>
              </w:tc>
              <w:tc>
                <w:tcPr>
                  <w:tcW w:w="708" w:type="dxa"/>
                  <w:shd w:val="clear" w:color="auto" w:fill="auto"/>
                  <w:noWrap/>
                  <w:vAlign w:val="center"/>
                </w:tcPr>
                <w:p w14:paraId="35BB0EFB" w14:textId="77777777" w:rsidR="009F0C37" w:rsidRPr="009F0C37" w:rsidRDefault="009F0C37" w:rsidP="009F0C37">
                  <w:pPr>
                    <w:spacing w:line="240" w:lineRule="auto"/>
                    <w:ind w:firstLineChars="0" w:firstLine="0"/>
                    <w:jc w:val="center"/>
                    <w:rPr>
                      <w:rFonts w:ascii="Times" w:eastAsia="宋体" w:hAnsi="Times"/>
                      <w:color w:val="000000"/>
                      <w:kern w:val="0"/>
                      <w:sz w:val="18"/>
                      <w:szCs w:val="18"/>
                      <w:lang w:eastAsia="zh-CN" w:bidi="ar-SA"/>
                    </w:rPr>
                  </w:pPr>
                  <w:r w:rsidRPr="009F0C37">
                    <w:rPr>
                      <w:rFonts w:ascii="Times" w:eastAsia="宋体" w:hAnsi="Times" w:hint="eastAsia"/>
                      <w:color w:val="000000"/>
                      <w:sz w:val="18"/>
                      <w:szCs w:val="18"/>
                      <w:lang w:eastAsia="zh-CN"/>
                    </w:rPr>
                    <w:t>3.5</w:t>
                  </w:r>
                </w:p>
              </w:tc>
            </w:tr>
            <w:tr w:rsidR="009F0C37" w:rsidRPr="009F0C37" w14:paraId="1934CEDE" w14:textId="77777777" w:rsidTr="00FE4928">
              <w:trPr>
                <w:trHeight w:val="270"/>
                <w:jc w:val="center"/>
              </w:trPr>
              <w:tc>
                <w:tcPr>
                  <w:tcW w:w="1761" w:type="dxa"/>
                  <w:shd w:val="clear" w:color="auto" w:fill="auto"/>
                  <w:noWrap/>
                  <w:vAlign w:val="center"/>
                </w:tcPr>
                <w:p w14:paraId="35608F6E" w14:textId="77777777" w:rsidR="009F0C37" w:rsidRPr="009F0C37" w:rsidRDefault="009F0C37" w:rsidP="009F0C37">
                  <w:pPr>
                    <w:spacing w:line="240" w:lineRule="auto"/>
                    <w:ind w:firstLineChars="0" w:firstLine="0"/>
                    <w:jc w:val="center"/>
                    <w:rPr>
                      <w:rFonts w:ascii="Times" w:eastAsia="宋体" w:hAnsi="Times"/>
                      <w:b/>
                      <w:bCs/>
                      <w:color w:val="000000"/>
                      <w:kern w:val="0"/>
                      <w:sz w:val="18"/>
                      <w:szCs w:val="18"/>
                      <w:lang w:eastAsia="zh-CN" w:bidi="ar-SA"/>
                    </w:rPr>
                  </w:pPr>
                  <w:r w:rsidRPr="009F0C37">
                    <w:rPr>
                      <w:rFonts w:ascii="Times" w:eastAsia="宋体" w:hAnsi="Times" w:hint="eastAsia"/>
                      <w:b/>
                      <w:bCs/>
                      <w:color w:val="000000"/>
                      <w:sz w:val="18"/>
                      <w:szCs w:val="18"/>
                      <w:lang w:eastAsia="zh-CN"/>
                    </w:rPr>
                    <w:t>泰国</w:t>
                  </w:r>
                </w:p>
              </w:tc>
              <w:tc>
                <w:tcPr>
                  <w:tcW w:w="850" w:type="dxa"/>
                  <w:shd w:val="clear" w:color="auto" w:fill="auto"/>
                  <w:noWrap/>
                  <w:vAlign w:val="center"/>
                </w:tcPr>
                <w:p w14:paraId="546B4162" w14:textId="77777777" w:rsidR="009F0C37" w:rsidRPr="009F0C37" w:rsidRDefault="009F0C37" w:rsidP="009F0C37">
                  <w:pPr>
                    <w:spacing w:line="240" w:lineRule="auto"/>
                    <w:ind w:firstLineChars="0" w:firstLine="0"/>
                    <w:jc w:val="center"/>
                    <w:rPr>
                      <w:rFonts w:ascii="Times" w:eastAsia="宋体" w:hAnsi="Times"/>
                      <w:color w:val="000000"/>
                      <w:kern w:val="0"/>
                      <w:sz w:val="18"/>
                      <w:szCs w:val="18"/>
                      <w:lang w:eastAsia="zh-CN" w:bidi="ar-SA"/>
                    </w:rPr>
                  </w:pPr>
                  <w:r w:rsidRPr="009F0C37">
                    <w:rPr>
                      <w:rFonts w:ascii="Times" w:eastAsia="宋体" w:hAnsi="Times" w:hint="eastAsia"/>
                      <w:color w:val="000000"/>
                      <w:sz w:val="18"/>
                      <w:szCs w:val="18"/>
                      <w:lang w:eastAsia="zh-CN"/>
                    </w:rPr>
                    <w:t>-6.1</w:t>
                  </w:r>
                </w:p>
              </w:tc>
              <w:tc>
                <w:tcPr>
                  <w:tcW w:w="741" w:type="dxa"/>
                  <w:shd w:val="clear" w:color="auto" w:fill="auto"/>
                  <w:noWrap/>
                  <w:vAlign w:val="center"/>
                </w:tcPr>
                <w:p w14:paraId="31B81EF3" w14:textId="77777777" w:rsidR="009F0C37" w:rsidRPr="009F0C37" w:rsidRDefault="009F0C37" w:rsidP="009F0C37">
                  <w:pPr>
                    <w:spacing w:line="240" w:lineRule="auto"/>
                    <w:ind w:firstLineChars="0" w:firstLine="0"/>
                    <w:jc w:val="center"/>
                    <w:rPr>
                      <w:rFonts w:ascii="Times" w:eastAsia="宋体" w:hAnsi="Times"/>
                      <w:color w:val="000000"/>
                      <w:kern w:val="0"/>
                      <w:sz w:val="18"/>
                      <w:szCs w:val="18"/>
                      <w:lang w:eastAsia="zh-CN" w:bidi="ar-SA"/>
                    </w:rPr>
                  </w:pPr>
                  <w:r w:rsidRPr="009F0C37">
                    <w:rPr>
                      <w:rFonts w:ascii="Times" w:eastAsia="宋体" w:hAnsi="Times" w:hint="eastAsia"/>
                      <w:color w:val="000000"/>
                      <w:sz w:val="18"/>
                      <w:szCs w:val="18"/>
                      <w:lang w:eastAsia="zh-CN"/>
                    </w:rPr>
                    <w:t>1.6</w:t>
                  </w:r>
                </w:p>
              </w:tc>
              <w:tc>
                <w:tcPr>
                  <w:tcW w:w="709" w:type="dxa"/>
                  <w:shd w:val="clear" w:color="auto" w:fill="auto"/>
                  <w:noWrap/>
                  <w:vAlign w:val="center"/>
                </w:tcPr>
                <w:p w14:paraId="7F881BA7" w14:textId="77777777" w:rsidR="009F0C37" w:rsidRPr="009F0C37" w:rsidRDefault="009F0C37" w:rsidP="009F0C37">
                  <w:pPr>
                    <w:spacing w:line="240" w:lineRule="auto"/>
                    <w:ind w:firstLineChars="0" w:firstLine="0"/>
                    <w:jc w:val="center"/>
                    <w:rPr>
                      <w:rFonts w:ascii="Times" w:eastAsia="宋体" w:hAnsi="Times"/>
                      <w:color w:val="000000"/>
                      <w:kern w:val="0"/>
                      <w:sz w:val="18"/>
                      <w:szCs w:val="18"/>
                      <w:lang w:eastAsia="zh-CN" w:bidi="ar-SA"/>
                    </w:rPr>
                  </w:pPr>
                  <w:r w:rsidRPr="009F0C37">
                    <w:rPr>
                      <w:rFonts w:ascii="Times" w:eastAsia="宋体" w:hAnsi="Times" w:hint="eastAsia"/>
                      <w:color w:val="000000"/>
                      <w:sz w:val="18"/>
                      <w:szCs w:val="18"/>
                      <w:lang w:eastAsia="zh-CN"/>
                    </w:rPr>
                    <w:t>2.5</w:t>
                  </w:r>
                </w:p>
              </w:tc>
              <w:tc>
                <w:tcPr>
                  <w:tcW w:w="709" w:type="dxa"/>
                  <w:shd w:val="clear" w:color="auto" w:fill="auto"/>
                  <w:noWrap/>
                  <w:vAlign w:val="center"/>
                </w:tcPr>
                <w:p w14:paraId="2399CB88" w14:textId="77777777" w:rsidR="009F0C37" w:rsidRPr="009F0C37" w:rsidRDefault="009F0C37" w:rsidP="009F0C37">
                  <w:pPr>
                    <w:spacing w:line="240" w:lineRule="auto"/>
                    <w:ind w:firstLineChars="0" w:firstLine="0"/>
                    <w:jc w:val="center"/>
                    <w:rPr>
                      <w:rFonts w:ascii="Times" w:eastAsia="宋体" w:hAnsi="Times"/>
                      <w:color w:val="000000"/>
                      <w:kern w:val="0"/>
                      <w:sz w:val="18"/>
                      <w:szCs w:val="18"/>
                      <w:lang w:eastAsia="zh-CN" w:bidi="ar-SA"/>
                    </w:rPr>
                  </w:pPr>
                  <w:r w:rsidRPr="009F0C37">
                    <w:rPr>
                      <w:rFonts w:ascii="Times" w:eastAsia="宋体" w:hAnsi="Times" w:hint="eastAsia"/>
                      <w:color w:val="000000"/>
                      <w:sz w:val="18"/>
                      <w:szCs w:val="18"/>
                      <w:lang w:eastAsia="zh-CN"/>
                    </w:rPr>
                    <w:t>1.9</w:t>
                  </w:r>
                </w:p>
              </w:tc>
              <w:tc>
                <w:tcPr>
                  <w:tcW w:w="709" w:type="dxa"/>
                  <w:shd w:val="clear" w:color="auto" w:fill="auto"/>
                  <w:noWrap/>
                  <w:vAlign w:val="center"/>
                </w:tcPr>
                <w:p w14:paraId="5E21EF9B" w14:textId="77777777" w:rsidR="009F0C37" w:rsidRPr="009F0C37" w:rsidRDefault="009F0C37" w:rsidP="009F0C37">
                  <w:pPr>
                    <w:spacing w:line="240" w:lineRule="auto"/>
                    <w:ind w:firstLineChars="0" w:firstLine="0"/>
                    <w:jc w:val="center"/>
                    <w:rPr>
                      <w:rFonts w:ascii="Times" w:eastAsia="宋体" w:hAnsi="Times"/>
                      <w:color w:val="000000"/>
                      <w:kern w:val="0"/>
                      <w:sz w:val="18"/>
                      <w:szCs w:val="18"/>
                      <w:lang w:eastAsia="zh-CN" w:bidi="ar-SA"/>
                    </w:rPr>
                  </w:pPr>
                  <w:r w:rsidRPr="009F0C37">
                    <w:rPr>
                      <w:rFonts w:ascii="Times" w:eastAsia="宋体" w:hAnsi="Times" w:hint="eastAsia"/>
                      <w:color w:val="000000"/>
                      <w:sz w:val="18"/>
                      <w:szCs w:val="18"/>
                      <w:lang w:eastAsia="zh-CN"/>
                    </w:rPr>
                    <w:t>2.8</w:t>
                  </w:r>
                </w:p>
              </w:tc>
              <w:tc>
                <w:tcPr>
                  <w:tcW w:w="708" w:type="dxa"/>
                  <w:shd w:val="clear" w:color="auto" w:fill="auto"/>
                  <w:noWrap/>
                  <w:vAlign w:val="center"/>
                </w:tcPr>
                <w:p w14:paraId="56F1E6EC" w14:textId="77777777" w:rsidR="009F0C37" w:rsidRPr="009F0C37" w:rsidRDefault="009F0C37" w:rsidP="009F0C37">
                  <w:pPr>
                    <w:spacing w:line="240" w:lineRule="auto"/>
                    <w:ind w:firstLineChars="0" w:firstLine="0"/>
                    <w:jc w:val="center"/>
                    <w:rPr>
                      <w:rFonts w:ascii="Times" w:eastAsia="宋体" w:hAnsi="Times"/>
                      <w:color w:val="000000"/>
                      <w:kern w:val="0"/>
                      <w:sz w:val="18"/>
                      <w:szCs w:val="18"/>
                      <w:lang w:eastAsia="zh-CN" w:bidi="ar-SA"/>
                    </w:rPr>
                  </w:pPr>
                  <w:r w:rsidRPr="009F0C37">
                    <w:rPr>
                      <w:rFonts w:ascii="Times" w:eastAsia="宋体" w:hAnsi="Times" w:hint="eastAsia"/>
                      <w:color w:val="000000"/>
                      <w:sz w:val="18"/>
                      <w:szCs w:val="18"/>
                      <w:lang w:eastAsia="zh-CN"/>
                    </w:rPr>
                    <w:t>3.0</w:t>
                  </w:r>
                </w:p>
              </w:tc>
            </w:tr>
            <w:tr w:rsidR="009F0C37" w:rsidRPr="009F0C37" w14:paraId="19095CCF" w14:textId="77777777" w:rsidTr="00FE4928">
              <w:trPr>
                <w:trHeight w:val="270"/>
                <w:jc w:val="center"/>
              </w:trPr>
              <w:tc>
                <w:tcPr>
                  <w:tcW w:w="1761" w:type="dxa"/>
                  <w:shd w:val="clear" w:color="auto" w:fill="auto"/>
                  <w:noWrap/>
                  <w:vAlign w:val="center"/>
                </w:tcPr>
                <w:p w14:paraId="19F0DA0A" w14:textId="77777777" w:rsidR="009F0C37" w:rsidRPr="009F0C37" w:rsidRDefault="009F0C37" w:rsidP="009F0C37">
                  <w:pPr>
                    <w:spacing w:line="240" w:lineRule="auto"/>
                    <w:ind w:firstLineChars="0" w:firstLine="0"/>
                    <w:jc w:val="center"/>
                    <w:rPr>
                      <w:rFonts w:ascii="Times" w:eastAsia="宋体" w:hAnsi="Times"/>
                      <w:b/>
                      <w:bCs/>
                      <w:color w:val="000000"/>
                      <w:kern w:val="0"/>
                      <w:sz w:val="18"/>
                      <w:szCs w:val="18"/>
                      <w:lang w:eastAsia="zh-CN" w:bidi="ar-SA"/>
                    </w:rPr>
                  </w:pPr>
                  <w:r w:rsidRPr="009F0C37">
                    <w:rPr>
                      <w:rFonts w:ascii="Times" w:eastAsia="宋体" w:hAnsi="Times" w:hint="eastAsia"/>
                      <w:b/>
                      <w:bCs/>
                      <w:color w:val="000000"/>
                      <w:sz w:val="18"/>
                      <w:szCs w:val="18"/>
                      <w:lang w:eastAsia="zh-CN"/>
                    </w:rPr>
                    <w:t>越南</w:t>
                  </w:r>
                </w:p>
              </w:tc>
              <w:tc>
                <w:tcPr>
                  <w:tcW w:w="850" w:type="dxa"/>
                  <w:shd w:val="clear" w:color="auto" w:fill="auto"/>
                  <w:noWrap/>
                  <w:vAlign w:val="center"/>
                </w:tcPr>
                <w:p w14:paraId="47E97EBC" w14:textId="77777777" w:rsidR="009F0C37" w:rsidRPr="009F0C37" w:rsidRDefault="009F0C37" w:rsidP="009F0C37">
                  <w:pPr>
                    <w:spacing w:line="240" w:lineRule="auto"/>
                    <w:ind w:firstLineChars="0" w:firstLine="0"/>
                    <w:jc w:val="center"/>
                    <w:rPr>
                      <w:rFonts w:ascii="Times" w:eastAsia="宋体" w:hAnsi="Times"/>
                      <w:sz w:val="18"/>
                      <w:szCs w:val="18"/>
                      <w:lang w:eastAsia="zh-CN" w:bidi="ar-SA"/>
                    </w:rPr>
                  </w:pPr>
                  <w:r w:rsidRPr="009F0C37">
                    <w:rPr>
                      <w:rFonts w:ascii="Times" w:eastAsia="宋体" w:hAnsi="Times" w:hint="eastAsia"/>
                      <w:color w:val="000000"/>
                      <w:sz w:val="18"/>
                      <w:szCs w:val="18"/>
                      <w:lang w:eastAsia="zh-CN"/>
                    </w:rPr>
                    <w:t>2.9</w:t>
                  </w:r>
                </w:p>
              </w:tc>
              <w:tc>
                <w:tcPr>
                  <w:tcW w:w="741" w:type="dxa"/>
                  <w:shd w:val="clear" w:color="auto" w:fill="auto"/>
                  <w:noWrap/>
                  <w:vAlign w:val="center"/>
                </w:tcPr>
                <w:p w14:paraId="63AFC89D" w14:textId="77777777" w:rsidR="009F0C37" w:rsidRPr="009F0C37" w:rsidRDefault="009F0C37" w:rsidP="009F0C37">
                  <w:pPr>
                    <w:spacing w:line="240" w:lineRule="auto"/>
                    <w:ind w:firstLineChars="0" w:firstLine="0"/>
                    <w:jc w:val="center"/>
                    <w:rPr>
                      <w:rFonts w:ascii="Times" w:eastAsia="宋体" w:hAnsi="Times"/>
                      <w:sz w:val="18"/>
                      <w:szCs w:val="18"/>
                      <w:lang w:eastAsia="zh-CN" w:bidi="ar-SA"/>
                    </w:rPr>
                  </w:pPr>
                  <w:r w:rsidRPr="009F0C37">
                    <w:rPr>
                      <w:rFonts w:ascii="Times" w:eastAsia="宋体" w:hAnsi="Times" w:hint="eastAsia"/>
                      <w:color w:val="000000"/>
                      <w:sz w:val="18"/>
                      <w:szCs w:val="18"/>
                      <w:lang w:eastAsia="zh-CN"/>
                    </w:rPr>
                    <w:t>2.6</w:t>
                  </w:r>
                </w:p>
              </w:tc>
              <w:tc>
                <w:tcPr>
                  <w:tcW w:w="709" w:type="dxa"/>
                  <w:shd w:val="clear" w:color="auto" w:fill="auto"/>
                  <w:noWrap/>
                  <w:vAlign w:val="center"/>
                </w:tcPr>
                <w:p w14:paraId="69B01276" w14:textId="77777777" w:rsidR="009F0C37" w:rsidRPr="009F0C37" w:rsidRDefault="009F0C37" w:rsidP="009F0C37">
                  <w:pPr>
                    <w:spacing w:line="240" w:lineRule="auto"/>
                    <w:ind w:firstLineChars="0" w:firstLine="0"/>
                    <w:jc w:val="center"/>
                    <w:rPr>
                      <w:rFonts w:ascii="Times" w:eastAsia="宋体" w:hAnsi="Times"/>
                      <w:sz w:val="18"/>
                      <w:szCs w:val="18"/>
                      <w:lang w:eastAsia="zh-CN" w:bidi="ar-SA"/>
                    </w:rPr>
                  </w:pPr>
                  <w:r w:rsidRPr="009F0C37">
                    <w:rPr>
                      <w:rFonts w:ascii="Times" w:eastAsia="宋体" w:hAnsi="Times" w:hint="eastAsia"/>
                      <w:color w:val="000000"/>
                      <w:sz w:val="18"/>
                      <w:szCs w:val="18"/>
                      <w:lang w:eastAsia="zh-CN"/>
                    </w:rPr>
                    <w:t>8.1</w:t>
                  </w:r>
                </w:p>
              </w:tc>
              <w:tc>
                <w:tcPr>
                  <w:tcW w:w="709" w:type="dxa"/>
                  <w:shd w:val="clear" w:color="auto" w:fill="auto"/>
                  <w:noWrap/>
                  <w:vAlign w:val="center"/>
                </w:tcPr>
                <w:p w14:paraId="22C13A7F" w14:textId="77777777" w:rsidR="009F0C37" w:rsidRPr="009F0C37" w:rsidRDefault="009F0C37" w:rsidP="009F0C37">
                  <w:pPr>
                    <w:spacing w:line="240" w:lineRule="auto"/>
                    <w:ind w:firstLineChars="0" w:firstLine="0"/>
                    <w:jc w:val="center"/>
                    <w:rPr>
                      <w:rFonts w:ascii="Times" w:eastAsia="宋体" w:hAnsi="Times"/>
                      <w:sz w:val="18"/>
                      <w:szCs w:val="18"/>
                      <w:lang w:eastAsia="zh-CN" w:bidi="ar-SA"/>
                    </w:rPr>
                  </w:pPr>
                  <w:r w:rsidRPr="009F0C37">
                    <w:rPr>
                      <w:rFonts w:ascii="Times" w:eastAsia="宋体" w:hAnsi="Times" w:hint="eastAsia"/>
                      <w:color w:val="000000"/>
                      <w:sz w:val="18"/>
                      <w:szCs w:val="18"/>
                      <w:lang w:eastAsia="zh-CN"/>
                    </w:rPr>
                    <w:t>5.0</w:t>
                  </w:r>
                </w:p>
              </w:tc>
              <w:tc>
                <w:tcPr>
                  <w:tcW w:w="709" w:type="dxa"/>
                  <w:shd w:val="clear" w:color="auto" w:fill="auto"/>
                  <w:noWrap/>
                  <w:vAlign w:val="center"/>
                </w:tcPr>
                <w:p w14:paraId="69EDD6C0" w14:textId="77777777" w:rsidR="009F0C37" w:rsidRPr="009F0C37" w:rsidRDefault="009F0C37" w:rsidP="009F0C37">
                  <w:pPr>
                    <w:spacing w:line="240" w:lineRule="auto"/>
                    <w:ind w:firstLineChars="0" w:firstLine="0"/>
                    <w:jc w:val="center"/>
                    <w:rPr>
                      <w:rFonts w:ascii="Times" w:eastAsia="宋体" w:hAnsi="Times"/>
                      <w:sz w:val="18"/>
                      <w:szCs w:val="18"/>
                      <w:lang w:eastAsia="zh-CN" w:bidi="ar-SA"/>
                    </w:rPr>
                  </w:pPr>
                  <w:r w:rsidRPr="009F0C37">
                    <w:rPr>
                      <w:rFonts w:ascii="Times" w:eastAsia="宋体" w:hAnsi="Times" w:hint="eastAsia"/>
                      <w:color w:val="000000"/>
                      <w:sz w:val="18"/>
                      <w:szCs w:val="18"/>
                      <w:lang w:eastAsia="zh-CN"/>
                    </w:rPr>
                    <w:t>6.5</w:t>
                  </w:r>
                </w:p>
              </w:tc>
              <w:tc>
                <w:tcPr>
                  <w:tcW w:w="708" w:type="dxa"/>
                  <w:shd w:val="clear" w:color="auto" w:fill="auto"/>
                  <w:noWrap/>
                  <w:vAlign w:val="center"/>
                </w:tcPr>
                <w:p w14:paraId="645481ED" w14:textId="77777777" w:rsidR="009F0C37" w:rsidRPr="009F0C37" w:rsidRDefault="009F0C37" w:rsidP="009F0C37">
                  <w:pPr>
                    <w:spacing w:line="240" w:lineRule="auto"/>
                    <w:ind w:firstLineChars="0" w:firstLine="0"/>
                    <w:jc w:val="center"/>
                    <w:rPr>
                      <w:rFonts w:ascii="Times" w:eastAsia="宋体" w:hAnsi="Times"/>
                      <w:sz w:val="18"/>
                      <w:szCs w:val="18"/>
                      <w:lang w:eastAsia="zh-CN" w:bidi="ar-SA"/>
                    </w:rPr>
                  </w:pPr>
                  <w:r w:rsidRPr="009F0C37">
                    <w:rPr>
                      <w:rFonts w:ascii="Times" w:eastAsia="宋体" w:hAnsi="Times" w:hint="eastAsia"/>
                      <w:color w:val="000000"/>
                      <w:sz w:val="18"/>
                      <w:szCs w:val="18"/>
                      <w:lang w:eastAsia="zh-CN"/>
                    </w:rPr>
                    <w:t>6.1</w:t>
                  </w:r>
                </w:p>
              </w:tc>
            </w:tr>
            <w:tr w:rsidR="009F0C37" w:rsidRPr="009F0C37" w14:paraId="080911FC" w14:textId="77777777" w:rsidTr="00FE4928">
              <w:trPr>
                <w:trHeight w:val="270"/>
                <w:jc w:val="center"/>
              </w:trPr>
              <w:tc>
                <w:tcPr>
                  <w:tcW w:w="1761" w:type="dxa"/>
                  <w:shd w:val="clear" w:color="auto" w:fill="auto"/>
                  <w:noWrap/>
                  <w:vAlign w:val="center"/>
                </w:tcPr>
                <w:p w14:paraId="173A2068" w14:textId="77777777" w:rsidR="009F0C37" w:rsidRPr="009F0C37" w:rsidRDefault="009F0C37" w:rsidP="009F0C37">
                  <w:pPr>
                    <w:spacing w:line="240" w:lineRule="auto"/>
                    <w:ind w:firstLineChars="0" w:firstLine="0"/>
                    <w:jc w:val="center"/>
                    <w:rPr>
                      <w:rFonts w:ascii="Times" w:eastAsia="宋体" w:hAnsi="Times"/>
                      <w:b/>
                      <w:bCs/>
                      <w:color w:val="000000"/>
                      <w:kern w:val="0"/>
                      <w:sz w:val="18"/>
                      <w:szCs w:val="18"/>
                      <w:lang w:eastAsia="zh-CN" w:bidi="ar-SA"/>
                    </w:rPr>
                  </w:pPr>
                  <w:r w:rsidRPr="009F0C37">
                    <w:rPr>
                      <w:rFonts w:ascii="Times" w:eastAsia="宋体" w:hAnsi="Times" w:hint="eastAsia"/>
                      <w:b/>
                      <w:bCs/>
                      <w:color w:val="000000"/>
                      <w:sz w:val="18"/>
                      <w:szCs w:val="18"/>
                      <w:lang w:eastAsia="zh-CN"/>
                    </w:rPr>
                    <w:t>韩国</w:t>
                  </w:r>
                </w:p>
              </w:tc>
              <w:tc>
                <w:tcPr>
                  <w:tcW w:w="850" w:type="dxa"/>
                  <w:shd w:val="clear" w:color="auto" w:fill="auto"/>
                  <w:noWrap/>
                  <w:vAlign w:val="center"/>
                </w:tcPr>
                <w:p w14:paraId="2BF9F9E5" w14:textId="77777777" w:rsidR="009F0C37" w:rsidRPr="009F0C37" w:rsidRDefault="009F0C37" w:rsidP="009F0C37">
                  <w:pPr>
                    <w:spacing w:line="240" w:lineRule="auto"/>
                    <w:ind w:firstLineChars="0" w:firstLine="0"/>
                    <w:jc w:val="center"/>
                    <w:rPr>
                      <w:rFonts w:ascii="Times" w:eastAsia="宋体" w:hAnsi="Times"/>
                      <w:color w:val="000000"/>
                      <w:kern w:val="0"/>
                      <w:sz w:val="18"/>
                      <w:szCs w:val="18"/>
                      <w:lang w:eastAsia="zh-CN" w:bidi="ar-SA"/>
                    </w:rPr>
                  </w:pPr>
                  <w:r w:rsidRPr="009F0C37">
                    <w:rPr>
                      <w:rFonts w:ascii="Times" w:eastAsia="宋体" w:hAnsi="Times" w:hint="eastAsia"/>
                      <w:color w:val="000000"/>
                      <w:sz w:val="18"/>
                      <w:szCs w:val="18"/>
                      <w:lang w:eastAsia="zh-CN"/>
                    </w:rPr>
                    <w:t>-0.7</w:t>
                  </w:r>
                </w:p>
              </w:tc>
              <w:tc>
                <w:tcPr>
                  <w:tcW w:w="741" w:type="dxa"/>
                  <w:shd w:val="clear" w:color="auto" w:fill="auto"/>
                  <w:noWrap/>
                  <w:vAlign w:val="center"/>
                </w:tcPr>
                <w:p w14:paraId="2FF47DF0" w14:textId="77777777" w:rsidR="009F0C37" w:rsidRPr="009F0C37" w:rsidRDefault="009F0C37" w:rsidP="009F0C37">
                  <w:pPr>
                    <w:spacing w:line="240" w:lineRule="auto"/>
                    <w:ind w:firstLineChars="0" w:firstLine="0"/>
                    <w:jc w:val="center"/>
                    <w:rPr>
                      <w:rFonts w:ascii="Times" w:eastAsia="宋体" w:hAnsi="Times"/>
                      <w:color w:val="000000"/>
                      <w:kern w:val="0"/>
                      <w:sz w:val="18"/>
                      <w:szCs w:val="18"/>
                      <w:lang w:eastAsia="zh-CN" w:bidi="ar-SA"/>
                    </w:rPr>
                  </w:pPr>
                  <w:r w:rsidRPr="009F0C37">
                    <w:rPr>
                      <w:rFonts w:ascii="Times" w:eastAsia="宋体" w:hAnsi="Times" w:hint="eastAsia"/>
                      <w:color w:val="000000"/>
                      <w:sz w:val="18"/>
                      <w:szCs w:val="18"/>
                      <w:lang w:eastAsia="zh-CN"/>
                    </w:rPr>
                    <w:t>4.6</w:t>
                  </w:r>
                </w:p>
              </w:tc>
              <w:tc>
                <w:tcPr>
                  <w:tcW w:w="709" w:type="dxa"/>
                  <w:shd w:val="clear" w:color="auto" w:fill="auto"/>
                  <w:noWrap/>
                  <w:vAlign w:val="center"/>
                </w:tcPr>
                <w:p w14:paraId="51903F6C" w14:textId="77777777" w:rsidR="009F0C37" w:rsidRPr="009F0C37" w:rsidRDefault="009F0C37" w:rsidP="009F0C37">
                  <w:pPr>
                    <w:spacing w:line="240" w:lineRule="auto"/>
                    <w:ind w:firstLineChars="0" w:firstLine="0"/>
                    <w:jc w:val="center"/>
                    <w:rPr>
                      <w:rFonts w:ascii="Times" w:eastAsia="宋体" w:hAnsi="Times"/>
                      <w:color w:val="000000"/>
                      <w:kern w:val="0"/>
                      <w:sz w:val="18"/>
                      <w:szCs w:val="18"/>
                      <w:lang w:eastAsia="zh-CN" w:bidi="ar-SA"/>
                    </w:rPr>
                  </w:pPr>
                  <w:r w:rsidRPr="009F0C37">
                    <w:rPr>
                      <w:rFonts w:ascii="Times" w:eastAsia="宋体" w:hAnsi="Times" w:hint="eastAsia"/>
                      <w:color w:val="000000"/>
                      <w:sz w:val="18"/>
                      <w:szCs w:val="18"/>
                      <w:lang w:eastAsia="zh-CN"/>
                    </w:rPr>
                    <w:t>2.7</w:t>
                  </w:r>
                </w:p>
              </w:tc>
              <w:tc>
                <w:tcPr>
                  <w:tcW w:w="709" w:type="dxa"/>
                  <w:shd w:val="clear" w:color="auto" w:fill="auto"/>
                  <w:noWrap/>
                  <w:vAlign w:val="center"/>
                </w:tcPr>
                <w:p w14:paraId="25DDE6E8" w14:textId="77777777" w:rsidR="009F0C37" w:rsidRPr="009F0C37" w:rsidRDefault="009F0C37" w:rsidP="009F0C37">
                  <w:pPr>
                    <w:spacing w:line="240" w:lineRule="auto"/>
                    <w:ind w:firstLineChars="0" w:firstLine="0"/>
                    <w:jc w:val="center"/>
                    <w:rPr>
                      <w:rFonts w:ascii="Times" w:eastAsia="宋体" w:hAnsi="Times"/>
                      <w:color w:val="000000"/>
                      <w:kern w:val="0"/>
                      <w:sz w:val="18"/>
                      <w:szCs w:val="18"/>
                      <w:lang w:eastAsia="zh-CN" w:bidi="ar-SA"/>
                    </w:rPr>
                  </w:pPr>
                  <w:r w:rsidRPr="009F0C37">
                    <w:rPr>
                      <w:rFonts w:ascii="Times" w:eastAsia="宋体" w:hAnsi="Times" w:hint="eastAsia"/>
                      <w:color w:val="000000"/>
                      <w:sz w:val="18"/>
                      <w:szCs w:val="18"/>
                      <w:lang w:eastAsia="zh-CN"/>
                    </w:rPr>
                    <w:t>1.4</w:t>
                  </w:r>
                </w:p>
              </w:tc>
              <w:tc>
                <w:tcPr>
                  <w:tcW w:w="709" w:type="dxa"/>
                  <w:shd w:val="clear" w:color="auto" w:fill="auto"/>
                  <w:noWrap/>
                  <w:vAlign w:val="center"/>
                </w:tcPr>
                <w:p w14:paraId="4CF00F7F" w14:textId="77777777" w:rsidR="009F0C37" w:rsidRPr="009F0C37" w:rsidRDefault="009F0C37" w:rsidP="009F0C37">
                  <w:pPr>
                    <w:spacing w:line="240" w:lineRule="auto"/>
                    <w:ind w:firstLineChars="0" w:firstLine="0"/>
                    <w:jc w:val="center"/>
                    <w:rPr>
                      <w:rFonts w:ascii="Times" w:eastAsia="宋体" w:hAnsi="Times"/>
                      <w:color w:val="000000"/>
                      <w:kern w:val="0"/>
                      <w:sz w:val="18"/>
                      <w:szCs w:val="18"/>
                      <w:lang w:eastAsia="zh-CN" w:bidi="ar-SA"/>
                    </w:rPr>
                  </w:pPr>
                  <w:r w:rsidRPr="009F0C37">
                    <w:rPr>
                      <w:rFonts w:ascii="Times" w:eastAsia="宋体" w:hAnsi="Times" w:hint="eastAsia"/>
                      <w:color w:val="000000"/>
                      <w:sz w:val="18"/>
                      <w:szCs w:val="18"/>
                      <w:lang w:eastAsia="zh-CN"/>
                    </w:rPr>
                    <w:t>2.1</w:t>
                  </w:r>
                </w:p>
              </w:tc>
              <w:tc>
                <w:tcPr>
                  <w:tcW w:w="708" w:type="dxa"/>
                  <w:shd w:val="clear" w:color="auto" w:fill="auto"/>
                  <w:noWrap/>
                  <w:vAlign w:val="center"/>
                </w:tcPr>
                <w:p w14:paraId="308F6456" w14:textId="77777777" w:rsidR="009F0C37" w:rsidRPr="009F0C37" w:rsidRDefault="009F0C37" w:rsidP="009F0C37">
                  <w:pPr>
                    <w:spacing w:line="240" w:lineRule="auto"/>
                    <w:ind w:firstLineChars="0" w:firstLine="0"/>
                    <w:jc w:val="center"/>
                    <w:rPr>
                      <w:rFonts w:ascii="Times" w:eastAsia="宋体" w:hAnsi="Times"/>
                      <w:color w:val="000000"/>
                      <w:kern w:val="0"/>
                      <w:sz w:val="18"/>
                      <w:szCs w:val="18"/>
                      <w:lang w:eastAsia="zh-CN" w:bidi="ar-SA"/>
                    </w:rPr>
                  </w:pPr>
                  <w:r w:rsidRPr="009F0C37">
                    <w:rPr>
                      <w:rFonts w:ascii="Times" w:eastAsia="宋体" w:hAnsi="Times"/>
                      <w:color w:val="000000"/>
                      <w:sz w:val="18"/>
                      <w:szCs w:val="18"/>
                      <w:lang w:eastAsia="zh-CN"/>
                    </w:rPr>
                    <w:t>1.8</w:t>
                  </w:r>
                </w:p>
              </w:tc>
            </w:tr>
          </w:tbl>
          <w:p w14:paraId="5F03A2BF" w14:textId="77777777" w:rsidR="009F0C37" w:rsidRPr="009F0C37" w:rsidRDefault="009F0C37" w:rsidP="009F0C37">
            <w:pPr>
              <w:ind w:firstLine="361"/>
              <w:rPr>
                <w:rFonts w:ascii="Times" w:eastAsia="宋体" w:hAnsi="Times"/>
                <w:b/>
                <w:bCs/>
                <w:sz w:val="18"/>
                <w:szCs w:val="18"/>
                <w:lang w:eastAsia="zh-CN"/>
              </w:rPr>
            </w:pPr>
            <w:r w:rsidRPr="009F0C37">
              <w:rPr>
                <w:rFonts w:ascii="Times" w:eastAsia="宋体" w:hAnsi="Times" w:hint="eastAsia"/>
                <w:b/>
                <w:bCs/>
                <w:sz w:val="18"/>
                <w:szCs w:val="18"/>
                <w:lang w:eastAsia="zh-CN"/>
              </w:rPr>
              <w:t>资料来源：国际货币基金组织（</w:t>
            </w:r>
            <w:r w:rsidRPr="009F0C37">
              <w:rPr>
                <w:rFonts w:ascii="Times" w:eastAsia="宋体" w:hAnsi="Times" w:hint="eastAsia"/>
                <w:b/>
                <w:bCs/>
                <w:sz w:val="18"/>
                <w:szCs w:val="18"/>
                <w:lang w:eastAsia="zh-CN"/>
              </w:rPr>
              <w:t>IMF</w:t>
            </w:r>
            <w:r w:rsidRPr="009F0C37">
              <w:rPr>
                <w:rFonts w:ascii="Times" w:eastAsia="宋体" w:hAnsi="Times" w:hint="eastAsia"/>
                <w:b/>
                <w:bCs/>
                <w:sz w:val="18"/>
                <w:szCs w:val="18"/>
                <w:lang w:eastAsia="zh-CN"/>
              </w:rPr>
              <w:t>）《世界经济展望》数据库（</w:t>
            </w:r>
            <w:r w:rsidRPr="009F0C37">
              <w:rPr>
                <w:rFonts w:ascii="Times" w:eastAsia="宋体" w:hAnsi="Times" w:hint="eastAsia"/>
                <w:b/>
                <w:bCs/>
                <w:sz w:val="18"/>
                <w:szCs w:val="18"/>
                <w:lang w:eastAsia="zh-CN"/>
              </w:rPr>
              <w:t>202</w:t>
            </w:r>
            <w:r w:rsidRPr="009F0C37">
              <w:rPr>
                <w:rFonts w:ascii="Times" w:eastAsia="宋体" w:hAnsi="Times"/>
                <w:b/>
                <w:bCs/>
                <w:sz w:val="18"/>
                <w:szCs w:val="18"/>
                <w:lang w:eastAsia="zh-CN"/>
              </w:rPr>
              <w:t>3</w:t>
            </w:r>
            <w:r w:rsidRPr="009F0C37">
              <w:rPr>
                <w:rFonts w:ascii="Times" w:eastAsia="宋体" w:hAnsi="Times" w:hint="eastAsia"/>
                <w:b/>
                <w:bCs/>
                <w:sz w:val="18"/>
                <w:szCs w:val="18"/>
                <w:lang w:eastAsia="zh-CN"/>
              </w:rPr>
              <w:t>年</w:t>
            </w:r>
            <w:r w:rsidRPr="009F0C37">
              <w:rPr>
                <w:rFonts w:ascii="Times" w:eastAsia="宋体" w:hAnsi="Times" w:hint="eastAsia"/>
                <w:b/>
                <w:bCs/>
                <w:sz w:val="18"/>
                <w:szCs w:val="18"/>
                <w:lang w:eastAsia="zh-CN"/>
              </w:rPr>
              <w:t>10</w:t>
            </w:r>
            <w:r w:rsidRPr="009F0C37">
              <w:rPr>
                <w:rFonts w:ascii="Times" w:eastAsia="宋体" w:hAnsi="Times" w:hint="eastAsia"/>
                <w:b/>
                <w:bCs/>
                <w:sz w:val="18"/>
                <w:szCs w:val="18"/>
                <w:lang w:eastAsia="zh-CN"/>
              </w:rPr>
              <w:t>月）和</w:t>
            </w:r>
            <w:r w:rsidRPr="009F0C37">
              <w:rPr>
                <w:rFonts w:ascii="Times" w:eastAsia="宋体" w:hAnsi="Times" w:hint="eastAsia"/>
                <w:b/>
                <w:bCs/>
                <w:sz w:val="18"/>
                <w:szCs w:val="18"/>
                <w:lang w:eastAsia="zh-CN"/>
              </w:rPr>
              <w:t>wind</w:t>
            </w:r>
            <w:r w:rsidRPr="009F0C37">
              <w:rPr>
                <w:rFonts w:ascii="Times" w:eastAsia="宋体" w:hAnsi="Times" w:hint="eastAsia"/>
                <w:b/>
                <w:bCs/>
                <w:sz w:val="18"/>
                <w:szCs w:val="18"/>
                <w:lang w:eastAsia="zh-CN"/>
              </w:rPr>
              <w:t>数据库</w:t>
            </w:r>
          </w:p>
        </w:tc>
      </w:tr>
      <w:tr w:rsidR="009F0C37" w:rsidRPr="009F0C37" w14:paraId="63A4B9A2" w14:textId="77777777" w:rsidTr="009F0C37">
        <w:trPr>
          <w:gridAfter w:val="1"/>
          <w:wAfter w:w="392" w:type="dxa"/>
          <w:trHeight w:val="1001"/>
          <w:jc w:val="center"/>
        </w:trPr>
        <w:tc>
          <w:tcPr>
            <w:tcW w:w="2155" w:type="dxa"/>
            <w:gridSpan w:val="2"/>
            <w:vAlign w:val="center"/>
          </w:tcPr>
          <w:p w14:paraId="4B95BB71" w14:textId="77777777" w:rsidR="009F0C37" w:rsidRPr="009F0C37" w:rsidRDefault="009F0C37" w:rsidP="009F0C37">
            <w:pPr>
              <w:ind w:firstLineChars="0" w:firstLine="0"/>
              <w:rPr>
                <w:rFonts w:ascii="Times" w:eastAsia="宋体" w:hAnsi="Times"/>
                <w:b/>
                <w:lang w:eastAsia="zh-CN" w:bidi="ar-SA"/>
              </w:rPr>
            </w:pPr>
            <w:r w:rsidRPr="009F0C37">
              <w:rPr>
                <w:rFonts w:ascii="Times" w:eastAsia="宋体" w:hAnsi="Times" w:hint="eastAsia"/>
                <w:b/>
                <w:lang w:eastAsia="zh-CN" w:bidi="ar-SA"/>
              </w:rPr>
              <w:t>2024</w:t>
            </w:r>
            <w:r w:rsidRPr="009F0C37">
              <w:rPr>
                <w:rFonts w:ascii="Times" w:eastAsia="宋体" w:hAnsi="Times" w:hint="eastAsia"/>
                <w:b/>
                <w:lang w:eastAsia="zh-CN" w:bidi="ar-SA"/>
              </w:rPr>
              <w:t>年，全球通货膨胀水平下行，区内通胀压力也有所缓解。</w:t>
            </w:r>
          </w:p>
        </w:tc>
        <w:tc>
          <w:tcPr>
            <w:tcW w:w="301" w:type="dxa"/>
            <w:gridSpan w:val="3"/>
          </w:tcPr>
          <w:p w14:paraId="4A44CC45" w14:textId="77777777" w:rsidR="009F0C37" w:rsidRPr="009F0C37" w:rsidRDefault="009F0C37" w:rsidP="009F0C37">
            <w:pPr>
              <w:keepNext/>
              <w:keepLines/>
              <w:spacing w:before="260" w:after="260"/>
              <w:ind w:firstLine="480"/>
              <w:rPr>
                <w:rFonts w:ascii="Times" w:eastAsia="宋体" w:hAnsi="Times"/>
                <w:lang w:eastAsia="zh-CN"/>
              </w:rPr>
            </w:pPr>
          </w:p>
        </w:tc>
        <w:tc>
          <w:tcPr>
            <w:tcW w:w="7183" w:type="dxa"/>
            <w:gridSpan w:val="3"/>
          </w:tcPr>
          <w:p w14:paraId="4C5D5453" w14:textId="77777777" w:rsidR="009F0C37" w:rsidRPr="009F0C37" w:rsidRDefault="009F0C37" w:rsidP="009F0C37">
            <w:pPr>
              <w:spacing w:beforeLines="50" w:before="163"/>
              <w:ind w:firstLineChars="0" w:firstLine="0"/>
              <w:rPr>
                <w:rFonts w:ascii="Times" w:eastAsia="宋体" w:hAnsi="Times"/>
                <w:b/>
                <w:sz w:val="28"/>
                <w:szCs w:val="28"/>
                <w:lang w:eastAsia="zh-CN"/>
              </w:rPr>
            </w:pPr>
            <w:r w:rsidRPr="009F0C37">
              <w:rPr>
                <w:rFonts w:ascii="Times" w:eastAsia="宋体" w:hAnsi="Times" w:hint="eastAsia"/>
                <w:b/>
                <w:sz w:val="28"/>
                <w:szCs w:val="28"/>
                <w:lang w:eastAsia="zh-CN"/>
              </w:rPr>
              <w:t>二</w:t>
            </w:r>
            <w:r w:rsidRPr="009F0C37">
              <w:rPr>
                <w:rFonts w:ascii="Times" w:eastAsia="宋体" w:hAnsi="Times"/>
                <w:b/>
                <w:sz w:val="28"/>
                <w:szCs w:val="28"/>
                <w:lang w:eastAsia="zh-CN"/>
              </w:rPr>
              <w:t>、</w:t>
            </w:r>
            <w:r w:rsidRPr="009F0C37">
              <w:rPr>
                <w:rFonts w:ascii="Times" w:eastAsia="宋体" w:hAnsi="Times" w:hint="eastAsia"/>
                <w:b/>
                <w:sz w:val="28"/>
                <w:szCs w:val="28"/>
                <w:lang w:eastAsia="zh-CN"/>
              </w:rPr>
              <w:t>通货膨胀压力有所缓解</w:t>
            </w:r>
          </w:p>
          <w:p w14:paraId="3378C527" w14:textId="77777777" w:rsidR="009F0C37" w:rsidRPr="009F0C37" w:rsidRDefault="009F0C37" w:rsidP="009F0C37">
            <w:pPr>
              <w:ind w:firstLine="480"/>
              <w:rPr>
                <w:rFonts w:ascii="Times" w:eastAsia="宋体" w:hAnsi="Times"/>
                <w:bCs/>
                <w:color w:val="000000"/>
                <w:kern w:val="0"/>
                <w:lang w:eastAsia="zh-CN"/>
              </w:rPr>
            </w:pPr>
            <w:r w:rsidRPr="009F0C37">
              <w:rPr>
                <w:rFonts w:ascii="Times" w:eastAsia="宋体" w:hAnsi="Times" w:hint="eastAsia"/>
                <w:lang w:eastAsia="zh-CN"/>
              </w:rPr>
              <w:t>2</w:t>
            </w:r>
            <w:r w:rsidRPr="009F0C37">
              <w:rPr>
                <w:rFonts w:ascii="Times" w:eastAsia="宋体" w:hAnsi="Times"/>
                <w:lang w:eastAsia="zh-CN"/>
              </w:rPr>
              <w:t>02</w:t>
            </w:r>
            <w:r w:rsidRPr="009F0C37">
              <w:rPr>
                <w:rFonts w:ascii="Times" w:eastAsia="宋体" w:hAnsi="Times" w:hint="eastAsia"/>
                <w:lang w:eastAsia="zh-CN"/>
              </w:rPr>
              <w:t>4</w:t>
            </w:r>
            <w:r w:rsidRPr="009F0C37">
              <w:rPr>
                <w:rFonts w:ascii="Times" w:eastAsia="宋体" w:hAnsi="Times" w:hint="eastAsia"/>
                <w:lang w:eastAsia="zh-CN"/>
              </w:rPr>
              <w:t>年，全球通货膨胀水平下行，东盟和韩国地区通胀压力也有所缓解。</w:t>
            </w:r>
            <w:r w:rsidRPr="009F0C37">
              <w:rPr>
                <w:rFonts w:ascii="Times" w:eastAsia="宋体" w:hAnsi="Times" w:hint="eastAsia"/>
                <w:bCs/>
                <w:color w:val="000000"/>
                <w:kern w:val="0"/>
                <w:lang w:eastAsia="zh-CN"/>
              </w:rPr>
              <w:t>预计</w:t>
            </w:r>
            <w:r w:rsidRPr="009F0C37">
              <w:rPr>
                <w:rFonts w:ascii="Times" w:eastAsia="宋体" w:hAnsi="Times" w:hint="eastAsia"/>
                <w:bCs/>
                <w:color w:val="000000"/>
                <w:kern w:val="0"/>
                <w:lang w:eastAsia="zh-CN"/>
              </w:rPr>
              <w:t>2</w:t>
            </w:r>
            <w:r w:rsidRPr="009F0C37">
              <w:rPr>
                <w:rFonts w:ascii="Times" w:eastAsia="宋体" w:hAnsi="Times"/>
                <w:bCs/>
                <w:color w:val="000000"/>
                <w:kern w:val="0"/>
                <w:lang w:eastAsia="zh-CN"/>
              </w:rPr>
              <w:t>02</w:t>
            </w:r>
            <w:r w:rsidRPr="009F0C37">
              <w:rPr>
                <w:rFonts w:ascii="Times" w:eastAsia="宋体" w:hAnsi="Times" w:hint="eastAsia"/>
                <w:bCs/>
                <w:color w:val="000000"/>
                <w:kern w:val="0"/>
                <w:lang w:eastAsia="zh-CN"/>
              </w:rPr>
              <w:t>4</w:t>
            </w:r>
            <w:r w:rsidRPr="009F0C37">
              <w:rPr>
                <w:rFonts w:ascii="Times" w:eastAsia="宋体" w:hAnsi="Times" w:hint="eastAsia"/>
                <w:bCs/>
                <w:color w:val="000000"/>
                <w:kern w:val="0"/>
                <w:lang w:eastAsia="zh-CN"/>
              </w:rPr>
              <w:t>年区内所有经济体的通胀水平低于世界平均水平（</w:t>
            </w:r>
            <w:r w:rsidRPr="009F0C37">
              <w:rPr>
                <w:rFonts w:ascii="Times" w:eastAsia="宋体" w:hAnsi="Times" w:hint="eastAsia"/>
                <w:bCs/>
                <w:color w:val="000000"/>
                <w:kern w:val="0"/>
                <w:lang w:eastAsia="zh-CN"/>
              </w:rPr>
              <w:t>4.6%</w:t>
            </w:r>
            <w:r w:rsidRPr="009F0C37">
              <w:rPr>
                <w:rFonts w:ascii="Times" w:eastAsia="宋体" w:hAnsi="Times" w:hint="eastAsia"/>
                <w:bCs/>
                <w:color w:val="000000"/>
                <w:kern w:val="0"/>
                <w:lang w:eastAsia="zh-CN"/>
              </w:rPr>
              <w:t>）；比较</w:t>
            </w:r>
            <w:r w:rsidRPr="009F0C37">
              <w:rPr>
                <w:rFonts w:ascii="Times" w:eastAsia="宋体" w:hAnsi="Times"/>
                <w:bCs/>
                <w:color w:val="000000"/>
                <w:kern w:val="0"/>
                <w:lang w:eastAsia="zh-CN"/>
              </w:rPr>
              <w:t>202</w:t>
            </w:r>
            <w:r w:rsidRPr="009F0C37">
              <w:rPr>
                <w:rFonts w:ascii="Times" w:eastAsia="宋体" w:hAnsi="Times" w:hint="eastAsia"/>
                <w:bCs/>
                <w:color w:val="000000"/>
                <w:kern w:val="0"/>
                <w:lang w:eastAsia="zh-CN"/>
              </w:rPr>
              <w:t>4</w:t>
            </w:r>
            <w:r w:rsidRPr="009F0C37">
              <w:rPr>
                <w:rFonts w:ascii="Times" w:eastAsia="宋体" w:hAnsi="Times" w:hint="eastAsia"/>
                <w:bCs/>
                <w:color w:val="000000"/>
                <w:kern w:val="0"/>
                <w:lang w:eastAsia="zh-CN"/>
              </w:rPr>
              <w:t>年和</w:t>
            </w:r>
            <w:r w:rsidRPr="009F0C37">
              <w:rPr>
                <w:rFonts w:ascii="Times" w:eastAsia="宋体" w:hAnsi="Times" w:hint="eastAsia"/>
                <w:bCs/>
                <w:color w:val="000000"/>
                <w:kern w:val="0"/>
                <w:lang w:eastAsia="zh-CN"/>
              </w:rPr>
              <w:t>2</w:t>
            </w:r>
            <w:r w:rsidRPr="009F0C37">
              <w:rPr>
                <w:rFonts w:ascii="Times" w:eastAsia="宋体" w:hAnsi="Times"/>
                <w:bCs/>
                <w:color w:val="000000"/>
                <w:kern w:val="0"/>
                <w:lang w:eastAsia="zh-CN"/>
              </w:rPr>
              <w:t>0</w:t>
            </w:r>
            <w:r w:rsidRPr="009F0C37">
              <w:rPr>
                <w:rFonts w:ascii="Times" w:eastAsia="宋体" w:hAnsi="Times" w:hint="eastAsia"/>
                <w:bCs/>
                <w:color w:val="000000"/>
                <w:kern w:val="0"/>
                <w:lang w:eastAsia="zh-CN"/>
              </w:rPr>
              <w:t>23</w:t>
            </w:r>
            <w:r w:rsidRPr="009F0C37">
              <w:rPr>
                <w:rFonts w:ascii="Times" w:eastAsia="宋体" w:hAnsi="Times" w:hint="eastAsia"/>
                <w:bCs/>
                <w:color w:val="000000"/>
                <w:kern w:val="0"/>
                <w:lang w:eastAsia="zh-CN"/>
              </w:rPr>
              <w:t>年的通胀水平，除越南外，区内其他国家通胀水平均有所下降；菲律宾和新加坡的下降幅度较大，多数国家下降幅度超过世界平均幅度。</w:t>
            </w:r>
          </w:p>
          <w:p w14:paraId="3B302A35" w14:textId="77777777" w:rsidR="009F0C37" w:rsidRPr="009F0C37" w:rsidRDefault="009F0C37" w:rsidP="009F0C37">
            <w:pPr>
              <w:ind w:firstLine="480"/>
              <w:rPr>
                <w:rFonts w:ascii="Times" w:eastAsia="宋体" w:hAnsi="Times"/>
                <w:bCs/>
                <w:color w:val="000000"/>
                <w:kern w:val="0"/>
                <w:lang w:eastAsia="zh-CN"/>
              </w:rPr>
            </w:pPr>
            <w:r w:rsidRPr="009F0C37">
              <w:rPr>
                <w:rFonts w:ascii="Times" w:eastAsia="宋体" w:hAnsi="Times" w:hint="eastAsia"/>
                <w:lang w:eastAsia="zh-CN"/>
              </w:rPr>
              <w:t>区内通货膨胀水平下行主要原因有食品等大宗商品价格下降、货币政策收紧造成国内需求放缓、全球供应链的改善。一是</w:t>
            </w:r>
            <w:r w:rsidRPr="009F0C37">
              <w:rPr>
                <w:rFonts w:ascii="Times" w:eastAsia="宋体" w:hAnsi="Times"/>
                <w:lang w:eastAsia="zh-CN"/>
              </w:rPr>
              <w:t>2023</w:t>
            </w:r>
            <w:r w:rsidRPr="009F0C37">
              <w:rPr>
                <w:rFonts w:ascii="Times" w:eastAsia="宋体" w:hAnsi="Times" w:hint="eastAsia"/>
                <w:lang w:eastAsia="zh-CN"/>
              </w:rPr>
              <w:t>年极端天气下以主粮大米为代表的食品价格的上涨，是亚洲地区出现通货膨胀粘性的主要原因；</w:t>
            </w:r>
            <w:r w:rsidRPr="009F0C37">
              <w:rPr>
                <w:rFonts w:ascii="Times" w:eastAsia="宋体" w:hAnsi="Times"/>
                <w:lang w:eastAsia="zh-CN"/>
              </w:rPr>
              <w:t>2024</w:t>
            </w:r>
            <w:r w:rsidRPr="009F0C37">
              <w:rPr>
                <w:rFonts w:ascii="Times" w:eastAsia="宋体" w:hAnsi="Times" w:hint="eastAsia"/>
                <w:lang w:eastAsia="zh-CN"/>
              </w:rPr>
              <w:t>年食品价格的下行带动区域整体通货膨胀下行，比如菲律宾等；二是高利率水平下国内需求下降是引致通货膨胀水平下行的另一重要因素，尽管菲律宾、印尼已经开始降息，但整体仍处于货币紧缩区间，这大大抑制了区内消费和投资；三是全球供应链中断问题的缓解和区域生产网络的深度融合也推动通货膨胀下行。</w:t>
            </w:r>
          </w:p>
          <w:p w14:paraId="41D00035" w14:textId="77777777" w:rsidR="009F0C37" w:rsidRPr="009F0C37" w:rsidRDefault="009F0C37" w:rsidP="009F0C37">
            <w:pPr>
              <w:ind w:firstLine="480"/>
              <w:rPr>
                <w:rFonts w:ascii="Times" w:eastAsia="宋体" w:hAnsi="Times"/>
                <w:bCs/>
                <w:color w:val="000000"/>
                <w:kern w:val="0"/>
                <w:lang w:eastAsia="zh-CN"/>
              </w:rPr>
            </w:pPr>
            <w:r w:rsidRPr="009F0C37">
              <w:rPr>
                <w:rFonts w:ascii="Times" w:eastAsia="宋体" w:hAnsi="Times" w:hint="eastAsia"/>
                <w:bCs/>
                <w:color w:val="000000"/>
                <w:kern w:val="0"/>
                <w:lang w:eastAsia="zh-CN"/>
              </w:rPr>
              <w:t>越南通货膨胀水平仍然上升，显示价格粘性。</w:t>
            </w:r>
            <w:r w:rsidRPr="009F0C37">
              <w:rPr>
                <w:rFonts w:ascii="Times" w:eastAsia="宋体" w:hAnsi="Times" w:hint="eastAsia"/>
                <w:lang w:eastAsia="zh-CN"/>
              </w:rPr>
              <w:t>2024</w:t>
            </w:r>
            <w:r w:rsidRPr="009F0C37">
              <w:rPr>
                <w:rFonts w:ascii="Times" w:eastAsia="宋体" w:hAnsi="Times" w:hint="eastAsia"/>
                <w:lang w:eastAsia="zh-CN"/>
              </w:rPr>
              <w:t>年第二季度随着国际游客的大幅流入，越南交通行业通货膨胀水平有所提升；此外，房地产企稳下住房和建筑材料行业的物价水平的上升，是越南通货膨胀粘性的主要推动力。</w:t>
            </w:r>
          </w:p>
        </w:tc>
      </w:tr>
      <w:tr w:rsidR="009F0C37" w:rsidRPr="009F0C37" w14:paraId="698379AC" w14:textId="77777777" w:rsidTr="009F0C37">
        <w:trPr>
          <w:gridAfter w:val="1"/>
          <w:wAfter w:w="392" w:type="dxa"/>
          <w:trHeight w:val="1001"/>
          <w:jc w:val="center"/>
        </w:trPr>
        <w:tc>
          <w:tcPr>
            <w:tcW w:w="9639" w:type="dxa"/>
            <w:gridSpan w:val="8"/>
          </w:tcPr>
          <w:p w14:paraId="5CFA5A31" w14:textId="1C6D495F" w:rsidR="009F0C37" w:rsidRPr="009F0C37" w:rsidRDefault="00DB2622" w:rsidP="00D37774">
            <w:pPr>
              <w:pStyle w:val="a4"/>
            </w:pPr>
            <w:bookmarkStart w:id="51" w:name="_Toc196399436"/>
            <w:r>
              <w:rPr>
                <w:rFonts w:hint="eastAsia"/>
              </w:rPr>
              <w:lastRenderedPageBreak/>
              <w:t xml:space="preserve">图表 </w:t>
            </w:r>
            <w:r>
              <w:rPr>
                <w:rFonts w:hint="eastAsia"/>
              </w:rPr>
              <w:fldChar w:fldCharType="begin"/>
            </w:r>
            <w:r>
              <w:rPr>
                <w:rFonts w:hint="eastAsia"/>
              </w:rPr>
              <w:instrText xml:space="preserve"> SEQ 图表 \* ARABIC </w:instrText>
            </w:r>
            <w:r>
              <w:rPr>
                <w:rFonts w:hint="eastAsia"/>
              </w:rPr>
              <w:fldChar w:fldCharType="separate"/>
            </w:r>
            <w:r w:rsidR="00530ED7">
              <w:rPr>
                <w:rFonts w:hint="eastAsia"/>
                <w:noProof/>
              </w:rPr>
              <w:t>25</w:t>
            </w:r>
            <w:r>
              <w:rPr>
                <w:rFonts w:hint="eastAsia"/>
              </w:rPr>
              <w:fldChar w:fldCharType="end"/>
            </w:r>
            <w:r w:rsidR="00D37774" w:rsidRPr="00D37774">
              <w:t xml:space="preserve">  </w:t>
            </w:r>
            <w:r w:rsidR="009F0C37" w:rsidRPr="009F0C37">
              <w:rPr>
                <w:rFonts w:hint="eastAsia"/>
              </w:rPr>
              <w:t>区内经济体通货膨胀水平下行</w:t>
            </w:r>
            <w:bookmarkEnd w:id="51"/>
          </w:p>
          <w:p w14:paraId="0B62F3D4" w14:textId="77777777" w:rsidR="009F0C37" w:rsidRPr="009F0C37" w:rsidRDefault="009F0C37" w:rsidP="009F0C37">
            <w:pPr>
              <w:spacing w:beforeLines="50" w:before="163"/>
              <w:ind w:firstLineChars="0" w:firstLine="0"/>
              <w:jc w:val="center"/>
              <w:rPr>
                <w:rFonts w:ascii="Times" w:eastAsia="宋体" w:hAnsi="Times"/>
                <w:b/>
                <w:sz w:val="21"/>
                <w:szCs w:val="21"/>
                <w:lang w:eastAsia="zh-CN"/>
              </w:rPr>
            </w:pPr>
            <w:r w:rsidRPr="009F0C37">
              <w:rPr>
                <w:rFonts w:ascii="Times" w:eastAsia="宋体" w:hAnsi="Times"/>
                <w:noProof/>
                <w:lang w:eastAsia="zh-CN" w:bidi="ar-SA"/>
              </w:rPr>
              <w:drawing>
                <wp:inline distT="0" distB="0" distL="0" distR="0" wp14:anchorId="0CCE7AA2" wp14:editId="1C80BDCF">
                  <wp:extent cx="4044315" cy="2609850"/>
                  <wp:effectExtent l="0" t="0" r="13335" b="0"/>
                  <wp:docPr id="1150679430" name="图表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6E30C050" w14:textId="77777777" w:rsidR="009F0C37" w:rsidRPr="009F0C37" w:rsidRDefault="009F0C37" w:rsidP="009F0C37">
            <w:pPr>
              <w:spacing w:beforeLines="50" w:before="163"/>
              <w:ind w:firstLineChars="0" w:firstLine="0"/>
              <w:rPr>
                <w:rFonts w:ascii="Times" w:eastAsia="宋体" w:hAnsi="Times"/>
                <w:b/>
                <w:bCs/>
                <w:sz w:val="18"/>
                <w:szCs w:val="18"/>
                <w:lang w:eastAsia="zh-CN"/>
              </w:rPr>
            </w:pPr>
            <w:r w:rsidRPr="009F0C37">
              <w:rPr>
                <w:rFonts w:ascii="Times" w:eastAsia="宋体" w:hAnsi="Times" w:hint="eastAsia"/>
                <w:b/>
                <w:bCs/>
                <w:sz w:val="18"/>
                <w:szCs w:val="18"/>
                <w:lang w:eastAsia="zh-CN"/>
              </w:rPr>
              <w:t>资料来源：国际货币基金组织（</w:t>
            </w:r>
            <w:r w:rsidRPr="009F0C37">
              <w:rPr>
                <w:rFonts w:ascii="Times" w:eastAsia="宋体" w:hAnsi="Times" w:hint="eastAsia"/>
                <w:b/>
                <w:bCs/>
                <w:sz w:val="18"/>
                <w:szCs w:val="18"/>
                <w:lang w:eastAsia="zh-CN"/>
              </w:rPr>
              <w:t>IMF</w:t>
            </w:r>
            <w:r w:rsidRPr="009F0C37">
              <w:rPr>
                <w:rFonts w:ascii="Times" w:eastAsia="宋体" w:hAnsi="Times" w:hint="eastAsia"/>
                <w:b/>
                <w:bCs/>
                <w:sz w:val="18"/>
                <w:szCs w:val="18"/>
                <w:lang w:eastAsia="zh-CN"/>
              </w:rPr>
              <w:t>）《世界经济展望》数据库（</w:t>
            </w:r>
            <w:r w:rsidRPr="009F0C37">
              <w:rPr>
                <w:rFonts w:ascii="Times" w:eastAsia="宋体" w:hAnsi="Times" w:hint="eastAsia"/>
                <w:b/>
                <w:bCs/>
                <w:sz w:val="18"/>
                <w:szCs w:val="18"/>
                <w:lang w:eastAsia="zh-CN"/>
              </w:rPr>
              <w:t>202</w:t>
            </w:r>
            <w:r w:rsidRPr="009F0C37">
              <w:rPr>
                <w:rFonts w:ascii="Times" w:eastAsia="宋体" w:hAnsi="Times"/>
                <w:b/>
                <w:bCs/>
                <w:sz w:val="18"/>
                <w:szCs w:val="18"/>
                <w:lang w:eastAsia="zh-CN"/>
              </w:rPr>
              <w:t>3</w:t>
            </w:r>
            <w:r w:rsidRPr="009F0C37">
              <w:rPr>
                <w:rFonts w:ascii="Times" w:eastAsia="宋体" w:hAnsi="Times" w:hint="eastAsia"/>
                <w:b/>
                <w:bCs/>
                <w:sz w:val="18"/>
                <w:szCs w:val="18"/>
                <w:lang w:eastAsia="zh-CN"/>
              </w:rPr>
              <w:t>年</w:t>
            </w:r>
            <w:r w:rsidRPr="009F0C37">
              <w:rPr>
                <w:rFonts w:ascii="Times" w:eastAsia="宋体" w:hAnsi="Times" w:hint="eastAsia"/>
                <w:b/>
                <w:bCs/>
                <w:sz w:val="18"/>
                <w:szCs w:val="18"/>
                <w:lang w:eastAsia="zh-CN"/>
              </w:rPr>
              <w:t>10</w:t>
            </w:r>
            <w:r w:rsidRPr="009F0C37">
              <w:rPr>
                <w:rFonts w:ascii="Times" w:eastAsia="宋体" w:hAnsi="Times" w:hint="eastAsia"/>
                <w:b/>
                <w:bCs/>
                <w:sz w:val="18"/>
                <w:szCs w:val="18"/>
                <w:lang w:eastAsia="zh-CN"/>
              </w:rPr>
              <w:t>月）和</w:t>
            </w:r>
            <w:r w:rsidRPr="009F0C37">
              <w:rPr>
                <w:rFonts w:ascii="Times" w:eastAsia="宋体" w:hAnsi="Times" w:hint="eastAsia"/>
                <w:b/>
                <w:bCs/>
                <w:sz w:val="18"/>
                <w:szCs w:val="18"/>
                <w:lang w:eastAsia="zh-CN"/>
              </w:rPr>
              <w:t xml:space="preserve">wind </w:t>
            </w:r>
            <w:r w:rsidRPr="009F0C37">
              <w:rPr>
                <w:rFonts w:ascii="Times" w:eastAsia="宋体" w:hAnsi="Times" w:hint="eastAsia"/>
                <w:b/>
                <w:bCs/>
                <w:sz w:val="18"/>
                <w:szCs w:val="18"/>
                <w:lang w:eastAsia="zh-CN"/>
              </w:rPr>
              <w:t>数据库；</w:t>
            </w:r>
          </w:p>
          <w:p w14:paraId="5F4EB505" w14:textId="77777777" w:rsidR="009F0C37" w:rsidRPr="009F0C37" w:rsidRDefault="009F0C37" w:rsidP="009F0C37">
            <w:pPr>
              <w:spacing w:beforeLines="50" w:before="163"/>
              <w:ind w:firstLineChars="0" w:firstLine="0"/>
              <w:rPr>
                <w:rFonts w:ascii="Times" w:eastAsia="宋体" w:hAnsi="Times"/>
                <w:b/>
                <w:sz w:val="21"/>
                <w:szCs w:val="21"/>
                <w:lang w:eastAsia="zh-CN"/>
              </w:rPr>
            </w:pPr>
            <w:r w:rsidRPr="009F0C37">
              <w:rPr>
                <w:rFonts w:ascii="Times" w:eastAsia="宋体" w:hAnsi="Times" w:hint="eastAsia"/>
                <w:b/>
                <w:bCs/>
                <w:sz w:val="18"/>
                <w:szCs w:val="18"/>
                <w:lang w:eastAsia="zh-CN"/>
              </w:rPr>
              <w:t>注：</w:t>
            </w:r>
            <w:r w:rsidRPr="009F0C37">
              <w:rPr>
                <w:rFonts w:ascii="Times" w:eastAsia="宋体" w:hAnsi="Times" w:hint="eastAsia"/>
                <w:b/>
                <w:bCs/>
                <w:sz w:val="18"/>
                <w:szCs w:val="18"/>
                <w:lang w:eastAsia="zh-CN"/>
              </w:rPr>
              <w:t>2023</w:t>
            </w:r>
            <w:r w:rsidRPr="009F0C37">
              <w:rPr>
                <w:rFonts w:ascii="Times" w:eastAsia="宋体" w:hAnsi="Times" w:hint="eastAsia"/>
                <w:b/>
                <w:bCs/>
                <w:sz w:val="18"/>
                <w:szCs w:val="18"/>
                <w:lang w:eastAsia="zh-CN"/>
              </w:rPr>
              <w:t>年数据来自</w:t>
            </w:r>
            <w:r w:rsidRPr="009F0C37">
              <w:rPr>
                <w:rFonts w:ascii="Times" w:eastAsia="宋体" w:hAnsi="Times" w:hint="eastAsia"/>
                <w:b/>
                <w:bCs/>
                <w:sz w:val="18"/>
                <w:szCs w:val="18"/>
                <w:lang w:eastAsia="zh-CN"/>
              </w:rPr>
              <w:t>IMF</w:t>
            </w:r>
            <w:r w:rsidRPr="009F0C37">
              <w:rPr>
                <w:rFonts w:ascii="Times" w:eastAsia="宋体" w:hAnsi="Times" w:hint="eastAsia"/>
                <w:b/>
                <w:bCs/>
                <w:sz w:val="18"/>
                <w:szCs w:val="18"/>
                <w:lang w:eastAsia="zh-CN"/>
              </w:rPr>
              <w:t>，</w:t>
            </w:r>
            <w:r w:rsidRPr="009F0C37">
              <w:rPr>
                <w:rFonts w:ascii="Times" w:eastAsia="宋体" w:hAnsi="Times" w:hint="eastAsia"/>
                <w:b/>
                <w:bCs/>
                <w:sz w:val="18"/>
                <w:szCs w:val="18"/>
                <w:lang w:eastAsia="zh-CN"/>
              </w:rPr>
              <w:t>2024</w:t>
            </w:r>
            <w:r w:rsidRPr="009F0C37">
              <w:rPr>
                <w:rFonts w:ascii="Times" w:eastAsia="宋体" w:hAnsi="Times" w:hint="eastAsia"/>
                <w:b/>
                <w:bCs/>
                <w:sz w:val="18"/>
                <w:szCs w:val="18"/>
                <w:lang w:eastAsia="zh-CN"/>
              </w:rPr>
              <w:t>年数据来自</w:t>
            </w:r>
            <w:r w:rsidRPr="009F0C37">
              <w:rPr>
                <w:rFonts w:ascii="Times" w:eastAsia="宋体" w:hAnsi="Times" w:hint="eastAsia"/>
                <w:b/>
                <w:bCs/>
                <w:sz w:val="18"/>
                <w:szCs w:val="18"/>
                <w:lang w:eastAsia="zh-CN"/>
              </w:rPr>
              <w:t>wind</w:t>
            </w:r>
            <w:r w:rsidRPr="009F0C37">
              <w:rPr>
                <w:rFonts w:ascii="Times" w:eastAsia="宋体" w:hAnsi="Times" w:hint="eastAsia"/>
                <w:b/>
                <w:bCs/>
                <w:sz w:val="18"/>
                <w:szCs w:val="18"/>
                <w:lang w:eastAsia="zh-CN"/>
              </w:rPr>
              <w:t>数据库</w:t>
            </w:r>
          </w:p>
        </w:tc>
      </w:tr>
      <w:tr w:rsidR="009F0C37" w:rsidRPr="009F0C37" w14:paraId="3B78328B" w14:textId="77777777" w:rsidTr="009F0C37">
        <w:trPr>
          <w:gridAfter w:val="1"/>
          <w:wAfter w:w="392" w:type="dxa"/>
          <w:trHeight w:val="1001"/>
          <w:jc w:val="center"/>
        </w:trPr>
        <w:tc>
          <w:tcPr>
            <w:tcW w:w="2155" w:type="dxa"/>
            <w:gridSpan w:val="2"/>
            <w:vAlign w:val="center"/>
          </w:tcPr>
          <w:p w14:paraId="73DFBB29" w14:textId="77777777" w:rsidR="009F0C37" w:rsidRPr="009F0C37" w:rsidRDefault="009F0C37" w:rsidP="009F0C37">
            <w:pPr>
              <w:ind w:firstLineChars="0" w:firstLine="0"/>
              <w:rPr>
                <w:rFonts w:ascii="Times" w:eastAsia="宋体" w:hAnsi="Times"/>
                <w:b/>
                <w:lang w:eastAsia="zh-CN" w:bidi="ar-SA"/>
              </w:rPr>
            </w:pPr>
            <w:r w:rsidRPr="009F0C37">
              <w:rPr>
                <w:rFonts w:ascii="Times" w:eastAsia="宋体" w:hAnsi="Times" w:hint="eastAsia"/>
                <w:b/>
                <w:lang w:eastAsia="zh-CN" w:bidi="ar-SA"/>
              </w:rPr>
              <w:t>2024</w:t>
            </w:r>
            <w:r w:rsidRPr="009F0C37">
              <w:rPr>
                <w:rFonts w:ascii="Times" w:eastAsia="宋体" w:hAnsi="Times" w:hint="eastAsia"/>
                <w:b/>
                <w:lang w:eastAsia="zh-CN" w:bidi="ar-SA"/>
              </w:rPr>
              <w:t>年区内国家经常账户调整出现分化。</w:t>
            </w:r>
          </w:p>
        </w:tc>
        <w:tc>
          <w:tcPr>
            <w:tcW w:w="301" w:type="dxa"/>
            <w:gridSpan w:val="3"/>
          </w:tcPr>
          <w:p w14:paraId="691C0183" w14:textId="77777777" w:rsidR="009F0C37" w:rsidRPr="009F0C37" w:rsidRDefault="009F0C37" w:rsidP="009F0C37">
            <w:pPr>
              <w:keepNext/>
              <w:keepLines/>
              <w:spacing w:before="260" w:after="260"/>
              <w:ind w:firstLine="480"/>
              <w:rPr>
                <w:rFonts w:ascii="Times" w:eastAsia="宋体" w:hAnsi="Times"/>
                <w:lang w:eastAsia="zh-CN"/>
              </w:rPr>
            </w:pPr>
          </w:p>
        </w:tc>
        <w:tc>
          <w:tcPr>
            <w:tcW w:w="7183" w:type="dxa"/>
            <w:gridSpan w:val="3"/>
          </w:tcPr>
          <w:p w14:paraId="7272F4E6" w14:textId="77777777" w:rsidR="009F0C37" w:rsidRPr="009F0C37" w:rsidRDefault="009F0C37" w:rsidP="009F0C37">
            <w:pPr>
              <w:ind w:firstLineChars="0" w:firstLine="0"/>
              <w:rPr>
                <w:rFonts w:ascii="Times" w:eastAsia="宋体" w:hAnsi="Times"/>
                <w:b/>
                <w:sz w:val="28"/>
                <w:szCs w:val="28"/>
                <w:lang w:eastAsia="zh-CN"/>
              </w:rPr>
            </w:pPr>
            <w:r w:rsidRPr="009F0C37">
              <w:rPr>
                <w:rFonts w:ascii="Times" w:eastAsia="宋体" w:hAnsi="Times"/>
                <w:b/>
                <w:lang w:eastAsia="zh-CN"/>
              </w:rPr>
              <w:t>三、</w:t>
            </w:r>
            <w:r w:rsidRPr="009F0C37">
              <w:rPr>
                <w:rFonts w:ascii="Times" w:eastAsia="宋体" w:hAnsi="Times" w:hint="eastAsia"/>
                <w:b/>
                <w:sz w:val="28"/>
                <w:szCs w:val="28"/>
                <w:lang w:eastAsia="zh-CN"/>
              </w:rPr>
              <w:t>经常账户出现分化</w:t>
            </w:r>
          </w:p>
          <w:p w14:paraId="3F2A147D" w14:textId="77777777" w:rsidR="009F0C37" w:rsidRPr="009F0C37" w:rsidRDefault="009F0C37" w:rsidP="009F0C37">
            <w:pPr>
              <w:ind w:firstLine="482"/>
              <w:rPr>
                <w:rFonts w:ascii="Times" w:eastAsia="宋体" w:hAnsi="Times"/>
                <w:b/>
                <w:lang w:eastAsia="zh-CN"/>
              </w:rPr>
            </w:pPr>
            <w:r w:rsidRPr="009F0C37">
              <w:rPr>
                <w:rFonts w:ascii="Times" w:eastAsia="宋体" w:hAnsi="Times" w:hint="eastAsia"/>
                <w:b/>
                <w:lang w:eastAsia="zh-CN"/>
              </w:rPr>
              <w:t>2024</w:t>
            </w:r>
            <w:r w:rsidRPr="009F0C37">
              <w:rPr>
                <w:rFonts w:ascii="Times" w:eastAsia="宋体" w:hAnsi="Times" w:hint="eastAsia"/>
                <w:b/>
                <w:lang w:eastAsia="zh-CN"/>
              </w:rPr>
              <w:t>年区内经常账户调整出现分化。</w:t>
            </w:r>
            <w:r w:rsidRPr="009F0C37">
              <w:rPr>
                <w:rFonts w:ascii="Times" w:eastAsia="宋体" w:hAnsi="Times" w:hint="eastAsia"/>
                <w:bCs/>
                <w:lang w:eastAsia="zh-CN"/>
              </w:rPr>
              <w:t>经常账户占比</w:t>
            </w:r>
            <w:r w:rsidRPr="009F0C37">
              <w:rPr>
                <w:rFonts w:ascii="Times" w:eastAsia="宋体" w:hAnsi="Times" w:hint="eastAsia"/>
                <w:bCs/>
                <w:lang w:eastAsia="zh-CN"/>
              </w:rPr>
              <w:t>GDP</w:t>
            </w:r>
            <w:r w:rsidRPr="009F0C37">
              <w:rPr>
                <w:rFonts w:ascii="Times" w:eastAsia="宋体" w:hAnsi="Times" w:hint="eastAsia"/>
                <w:bCs/>
                <w:lang w:eastAsia="zh-CN"/>
              </w:rPr>
              <w:t>略有下降的国家有越南、新加坡和印度尼西亚</w:t>
            </w:r>
            <w:r w:rsidRPr="009F0C37">
              <w:rPr>
                <w:rFonts w:ascii="Times" w:eastAsia="宋体" w:hAnsi="Times" w:hint="eastAsia"/>
                <w:b/>
                <w:lang w:eastAsia="zh-CN"/>
              </w:rPr>
              <w:t>。</w:t>
            </w:r>
            <w:r w:rsidRPr="009F0C37">
              <w:rPr>
                <w:rFonts w:ascii="Times" w:eastAsia="宋体" w:hAnsi="Times" w:hint="eastAsia"/>
                <w:lang w:eastAsia="zh-CN"/>
              </w:rPr>
              <w:t>商品出口下滑是越南经常账户恶化的主要原因，美国持续关注对越南贸易逆差，实施相应贸易保护政策，也逐步降低了越南的出口规模；服务贸易进口的增加是新加坡经常账户恶化的原因；根据</w:t>
            </w:r>
            <w:r w:rsidRPr="009F0C37">
              <w:rPr>
                <w:rFonts w:ascii="Times" w:eastAsia="宋体" w:hAnsi="Times" w:hint="eastAsia"/>
                <w:lang w:eastAsia="zh-CN"/>
              </w:rPr>
              <w:t>EIU</w:t>
            </w:r>
            <w:r w:rsidRPr="009F0C37">
              <w:rPr>
                <w:rFonts w:ascii="Times" w:eastAsia="宋体" w:hAnsi="Times" w:hint="eastAsia"/>
                <w:lang w:eastAsia="zh-CN"/>
              </w:rPr>
              <w:t>国别报告，新加坡服务进口预计从</w:t>
            </w:r>
            <w:r w:rsidRPr="009F0C37">
              <w:rPr>
                <w:rFonts w:ascii="Times" w:eastAsia="宋体" w:hAnsi="Times" w:hint="eastAsia"/>
                <w:lang w:eastAsia="zh-CN"/>
              </w:rPr>
              <w:t>2023</w:t>
            </w:r>
            <w:r w:rsidRPr="009F0C37">
              <w:rPr>
                <w:rFonts w:ascii="Times" w:eastAsia="宋体" w:hAnsi="Times" w:hint="eastAsia"/>
                <w:lang w:eastAsia="zh-CN"/>
              </w:rPr>
              <w:t>年的</w:t>
            </w:r>
            <w:r w:rsidRPr="009F0C37">
              <w:rPr>
                <w:rFonts w:ascii="Times" w:eastAsia="宋体" w:hAnsi="Times" w:hint="eastAsia"/>
                <w:lang w:eastAsia="zh-CN"/>
              </w:rPr>
              <w:t>295.5</w:t>
            </w:r>
            <w:r w:rsidRPr="009F0C37">
              <w:rPr>
                <w:rFonts w:ascii="Times" w:eastAsia="宋体" w:hAnsi="Times" w:hint="eastAsia"/>
                <w:lang w:eastAsia="zh-CN"/>
              </w:rPr>
              <w:t>亿美元增加到</w:t>
            </w:r>
            <w:r w:rsidRPr="009F0C37">
              <w:rPr>
                <w:rFonts w:ascii="Times" w:eastAsia="宋体" w:hAnsi="Times" w:hint="eastAsia"/>
                <w:lang w:eastAsia="zh-CN"/>
              </w:rPr>
              <w:t>2024</w:t>
            </w:r>
            <w:r w:rsidRPr="009F0C37">
              <w:rPr>
                <w:rFonts w:ascii="Times" w:eastAsia="宋体" w:hAnsi="Times" w:hint="eastAsia"/>
                <w:lang w:eastAsia="zh-CN"/>
              </w:rPr>
              <w:t>年的</w:t>
            </w:r>
            <w:r w:rsidRPr="009F0C37">
              <w:rPr>
                <w:rFonts w:ascii="Times" w:eastAsia="宋体" w:hAnsi="Times" w:hint="eastAsia"/>
                <w:lang w:eastAsia="zh-CN"/>
              </w:rPr>
              <w:t>304.8</w:t>
            </w:r>
            <w:r w:rsidRPr="009F0C37">
              <w:rPr>
                <w:rFonts w:ascii="Times" w:eastAsia="宋体" w:hAnsi="Times" w:hint="eastAsia"/>
                <w:lang w:eastAsia="zh-CN"/>
              </w:rPr>
              <w:t>亿美元，主要用于增加旅游、金融、教育和医疗相关的设施和服务，以提升本国服务业竞争力。</w:t>
            </w:r>
          </w:p>
          <w:p w14:paraId="4C60DFD8" w14:textId="77777777" w:rsidR="009F0C37" w:rsidRPr="009F0C37" w:rsidRDefault="009F0C37" w:rsidP="009F0C37">
            <w:pPr>
              <w:ind w:firstLine="480"/>
              <w:rPr>
                <w:rFonts w:ascii="Times" w:eastAsia="宋体" w:hAnsi="Times"/>
                <w:bCs/>
                <w:lang w:eastAsia="zh-CN"/>
              </w:rPr>
            </w:pPr>
            <w:r w:rsidRPr="009F0C37">
              <w:rPr>
                <w:rFonts w:ascii="Times" w:eastAsia="宋体" w:hAnsi="Times" w:hint="eastAsia"/>
                <w:bCs/>
                <w:lang w:eastAsia="zh-CN"/>
              </w:rPr>
              <w:t>经常账户改善国有韩国、马来西亚、菲律宾和泰国。</w:t>
            </w:r>
            <w:r w:rsidRPr="009F0C37">
              <w:rPr>
                <w:rFonts w:ascii="Times" w:eastAsia="宋体" w:hAnsi="Times" w:hint="eastAsia"/>
                <w:lang w:eastAsia="zh-CN"/>
              </w:rPr>
              <w:t>韩国服务出口增速快于进口增速，叠加来自国外投资的利润和分红收入净汇入，都使得韩国经常账户盈余占</w:t>
            </w:r>
            <w:r w:rsidRPr="009F0C37">
              <w:rPr>
                <w:rFonts w:ascii="Times" w:eastAsia="宋体" w:hAnsi="Times"/>
                <w:lang w:eastAsia="zh-CN"/>
              </w:rPr>
              <w:t>GDP</w:t>
            </w:r>
            <w:r w:rsidRPr="009F0C37">
              <w:rPr>
                <w:rFonts w:ascii="Times" w:eastAsia="宋体" w:hAnsi="Times" w:hint="eastAsia"/>
                <w:lang w:eastAsia="zh-CN"/>
              </w:rPr>
              <w:t>的比值从</w:t>
            </w:r>
            <w:r w:rsidRPr="009F0C37">
              <w:rPr>
                <w:rFonts w:ascii="Times" w:eastAsia="宋体" w:hAnsi="Times"/>
                <w:lang w:eastAsia="zh-CN"/>
              </w:rPr>
              <w:t>1.9%</w:t>
            </w:r>
            <w:r w:rsidRPr="009F0C37">
              <w:rPr>
                <w:rFonts w:ascii="Times" w:eastAsia="宋体" w:hAnsi="Times" w:hint="eastAsia"/>
                <w:lang w:eastAsia="zh-CN"/>
              </w:rPr>
              <w:t>上升至</w:t>
            </w:r>
            <w:r w:rsidRPr="009F0C37">
              <w:rPr>
                <w:rFonts w:ascii="Times" w:eastAsia="宋体" w:hAnsi="Times"/>
                <w:lang w:eastAsia="zh-CN"/>
              </w:rPr>
              <w:t>3.9%</w:t>
            </w:r>
            <w:r w:rsidRPr="009F0C37">
              <w:rPr>
                <w:rFonts w:ascii="Times" w:eastAsia="宋体" w:hAnsi="Times" w:hint="eastAsia"/>
                <w:lang w:eastAsia="zh-CN"/>
              </w:rPr>
              <w:t>，提升了</w:t>
            </w:r>
            <w:r w:rsidRPr="009F0C37">
              <w:rPr>
                <w:rFonts w:ascii="Times" w:eastAsia="宋体" w:hAnsi="Times"/>
                <w:lang w:eastAsia="zh-CN"/>
              </w:rPr>
              <w:t>2</w:t>
            </w:r>
            <w:r w:rsidRPr="009F0C37">
              <w:rPr>
                <w:rFonts w:ascii="Times" w:eastAsia="宋体" w:hAnsi="Times" w:hint="eastAsia"/>
                <w:lang w:eastAsia="zh-CN"/>
              </w:rPr>
              <w:t>个百分点。全球电子行业需求逐渐恢复带动出口强劲增长、国际游客恢复至疫情前水平，服务贸易赤字的收窄以及积极参与区域贸易协议，带动马来西亚经常账户不断改善。</w:t>
            </w:r>
          </w:p>
        </w:tc>
      </w:tr>
      <w:tr w:rsidR="009F0C37" w:rsidRPr="009F0C37" w14:paraId="7F2E4D16" w14:textId="77777777" w:rsidTr="009F0C37">
        <w:trPr>
          <w:gridAfter w:val="1"/>
          <w:wAfter w:w="392" w:type="dxa"/>
          <w:trHeight w:val="1001"/>
          <w:jc w:val="center"/>
        </w:trPr>
        <w:tc>
          <w:tcPr>
            <w:tcW w:w="9639" w:type="dxa"/>
            <w:gridSpan w:val="8"/>
          </w:tcPr>
          <w:p w14:paraId="2FC70BB2" w14:textId="0D7184FE" w:rsidR="009F0C37" w:rsidRPr="009F0C37" w:rsidRDefault="00DB2622" w:rsidP="00D37774">
            <w:pPr>
              <w:pStyle w:val="a4"/>
            </w:pPr>
            <w:bookmarkStart w:id="52" w:name="_Toc196399437"/>
            <w:r>
              <w:rPr>
                <w:rFonts w:hint="eastAsia"/>
              </w:rPr>
              <w:lastRenderedPageBreak/>
              <w:t xml:space="preserve">图表 </w:t>
            </w:r>
            <w:r>
              <w:rPr>
                <w:rFonts w:hint="eastAsia"/>
              </w:rPr>
              <w:fldChar w:fldCharType="begin"/>
            </w:r>
            <w:r>
              <w:rPr>
                <w:rFonts w:hint="eastAsia"/>
              </w:rPr>
              <w:instrText xml:space="preserve"> SEQ 图表 \* ARABIC </w:instrText>
            </w:r>
            <w:r>
              <w:rPr>
                <w:rFonts w:hint="eastAsia"/>
              </w:rPr>
              <w:fldChar w:fldCharType="separate"/>
            </w:r>
            <w:r w:rsidR="00530ED7">
              <w:rPr>
                <w:rFonts w:hint="eastAsia"/>
                <w:noProof/>
              </w:rPr>
              <w:t>26</w:t>
            </w:r>
            <w:r>
              <w:rPr>
                <w:rFonts w:hint="eastAsia"/>
              </w:rPr>
              <w:fldChar w:fldCharType="end"/>
            </w:r>
            <w:r>
              <w:rPr>
                <w:rFonts w:hint="eastAsia"/>
              </w:rPr>
              <w:t xml:space="preserve"> </w:t>
            </w:r>
            <w:r w:rsidR="00660068">
              <w:t xml:space="preserve"> </w:t>
            </w:r>
            <w:r w:rsidR="009F0C37" w:rsidRPr="009F0C37">
              <w:rPr>
                <w:rFonts w:hint="eastAsia"/>
              </w:rPr>
              <w:t>区内经济体经常账户分化</w:t>
            </w:r>
            <w:bookmarkEnd w:id="52"/>
          </w:p>
          <w:p w14:paraId="0218746C" w14:textId="77777777" w:rsidR="009F0C37" w:rsidRPr="009F0C37" w:rsidRDefault="009F0C37" w:rsidP="009F0C37">
            <w:pPr>
              <w:ind w:firstLine="480"/>
              <w:jc w:val="center"/>
              <w:rPr>
                <w:rFonts w:ascii="Times" w:eastAsia="宋体" w:hAnsi="Times" w:cs="微软雅黑"/>
                <w:lang w:eastAsia="zh-CN"/>
              </w:rPr>
            </w:pPr>
            <w:r w:rsidRPr="009F0C37">
              <w:rPr>
                <w:rFonts w:ascii="Times" w:eastAsia="宋体" w:hAnsi="Times"/>
                <w:noProof/>
                <w:lang w:eastAsia="zh-CN" w:bidi="ar-SA"/>
              </w:rPr>
              <w:drawing>
                <wp:inline distT="0" distB="0" distL="0" distR="0" wp14:anchorId="7AFBEB5B" wp14:editId="11FE6C2B">
                  <wp:extent cx="4229100" cy="2400300"/>
                  <wp:effectExtent l="0" t="0" r="0" b="0"/>
                  <wp:docPr id="351038820" name="图表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7F371505" w14:textId="77777777" w:rsidR="009F0C37" w:rsidRPr="009F0C37" w:rsidRDefault="009F0C37" w:rsidP="009F0C37">
            <w:pPr>
              <w:ind w:firstLine="361"/>
              <w:jc w:val="left"/>
              <w:rPr>
                <w:rFonts w:ascii="Times" w:eastAsia="宋体" w:hAnsi="Times"/>
                <w:b/>
                <w:bCs/>
                <w:sz w:val="18"/>
                <w:szCs w:val="18"/>
                <w:lang w:eastAsia="zh-CN"/>
              </w:rPr>
            </w:pPr>
            <w:r w:rsidRPr="009F0C37">
              <w:rPr>
                <w:rFonts w:ascii="Times" w:eastAsia="宋体" w:hAnsi="Times" w:hint="eastAsia"/>
                <w:b/>
                <w:bCs/>
                <w:sz w:val="18"/>
                <w:szCs w:val="18"/>
                <w:lang w:eastAsia="zh-CN"/>
              </w:rPr>
              <w:t>资料来源：国际货币基金组织（</w:t>
            </w:r>
            <w:r w:rsidRPr="009F0C37">
              <w:rPr>
                <w:rFonts w:ascii="Times" w:eastAsia="宋体" w:hAnsi="Times" w:hint="eastAsia"/>
                <w:b/>
                <w:bCs/>
                <w:sz w:val="18"/>
                <w:szCs w:val="18"/>
                <w:lang w:eastAsia="zh-CN"/>
              </w:rPr>
              <w:t>IMF</w:t>
            </w:r>
            <w:r w:rsidRPr="009F0C37">
              <w:rPr>
                <w:rFonts w:ascii="Times" w:eastAsia="宋体" w:hAnsi="Times" w:hint="eastAsia"/>
                <w:b/>
                <w:bCs/>
                <w:sz w:val="18"/>
                <w:szCs w:val="18"/>
                <w:lang w:eastAsia="zh-CN"/>
              </w:rPr>
              <w:t>）《世界经济展望》数据库（</w:t>
            </w:r>
            <w:r w:rsidRPr="009F0C37">
              <w:rPr>
                <w:rFonts w:ascii="Times" w:eastAsia="宋体" w:hAnsi="Times" w:hint="eastAsia"/>
                <w:b/>
                <w:bCs/>
                <w:sz w:val="18"/>
                <w:szCs w:val="18"/>
                <w:lang w:eastAsia="zh-CN"/>
              </w:rPr>
              <w:t>202</w:t>
            </w:r>
            <w:r w:rsidRPr="009F0C37">
              <w:rPr>
                <w:rFonts w:ascii="Times" w:eastAsia="宋体" w:hAnsi="Times"/>
                <w:b/>
                <w:bCs/>
                <w:sz w:val="18"/>
                <w:szCs w:val="18"/>
                <w:lang w:eastAsia="zh-CN"/>
              </w:rPr>
              <w:t>3</w:t>
            </w:r>
            <w:r w:rsidRPr="009F0C37">
              <w:rPr>
                <w:rFonts w:ascii="Times" w:eastAsia="宋体" w:hAnsi="Times" w:hint="eastAsia"/>
                <w:b/>
                <w:bCs/>
                <w:sz w:val="18"/>
                <w:szCs w:val="18"/>
                <w:lang w:eastAsia="zh-CN"/>
              </w:rPr>
              <w:t>年</w:t>
            </w:r>
            <w:r w:rsidRPr="009F0C37">
              <w:rPr>
                <w:rFonts w:ascii="Times" w:eastAsia="宋体" w:hAnsi="Times" w:hint="eastAsia"/>
                <w:b/>
                <w:bCs/>
                <w:sz w:val="18"/>
                <w:szCs w:val="18"/>
                <w:lang w:eastAsia="zh-CN"/>
              </w:rPr>
              <w:t>10</w:t>
            </w:r>
            <w:r w:rsidRPr="009F0C37">
              <w:rPr>
                <w:rFonts w:ascii="Times" w:eastAsia="宋体" w:hAnsi="Times" w:hint="eastAsia"/>
                <w:b/>
                <w:bCs/>
                <w:sz w:val="18"/>
                <w:szCs w:val="18"/>
                <w:lang w:eastAsia="zh-CN"/>
              </w:rPr>
              <w:t>月）</w:t>
            </w:r>
          </w:p>
        </w:tc>
      </w:tr>
      <w:tr w:rsidR="009F0C37" w:rsidRPr="009F0C37" w14:paraId="1CDE8402" w14:textId="77777777" w:rsidTr="009F0C37">
        <w:trPr>
          <w:gridAfter w:val="1"/>
          <w:wAfter w:w="392" w:type="dxa"/>
          <w:trHeight w:val="1001"/>
          <w:jc w:val="center"/>
        </w:trPr>
        <w:tc>
          <w:tcPr>
            <w:tcW w:w="2155" w:type="dxa"/>
            <w:gridSpan w:val="2"/>
            <w:vAlign w:val="center"/>
          </w:tcPr>
          <w:p w14:paraId="2E5047E5" w14:textId="77777777" w:rsidR="009F0C37" w:rsidRPr="009F0C37" w:rsidRDefault="009F0C37" w:rsidP="009F0C37">
            <w:pPr>
              <w:ind w:firstLineChars="0" w:firstLine="0"/>
              <w:rPr>
                <w:rFonts w:ascii="Times" w:eastAsia="宋体" w:hAnsi="Times"/>
                <w:b/>
                <w:lang w:eastAsia="zh-CN" w:bidi="ar-SA"/>
              </w:rPr>
            </w:pPr>
            <w:r w:rsidRPr="009F0C37">
              <w:rPr>
                <w:rFonts w:ascii="Times" w:eastAsia="宋体" w:hAnsi="Times" w:hint="eastAsia"/>
                <w:b/>
                <w:lang w:eastAsia="zh-CN" w:bidi="ar-SA"/>
              </w:rPr>
              <w:t>2024</w:t>
            </w:r>
            <w:r w:rsidRPr="009F0C37">
              <w:rPr>
                <w:rFonts w:ascii="Times" w:eastAsia="宋体" w:hAnsi="Times" w:hint="eastAsia"/>
                <w:b/>
                <w:lang w:eastAsia="zh-CN" w:bidi="ar-SA"/>
              </w:rPr>
              <w:t>年，区内货币对美元大幅震荡，总体呈现贬值态势。</w:t>
            </w:r>
          </w:p>
        </w:tc>
        <w:tc>
          <w:tcPr>
            <w:tcW w:w="301" w:type="dxa"/>
            <w:gridSpan w:val="3"/>
          </w:tcPr>
          <w:p w14:paraId="58E2DC41" w14:textId="77777777" w:rsidR="009F0C37" w:rsidRPr="009F0C37" w:rsidRDefault="009F0C37" w:rsidP="009F0C37">
            <w:pPr>
              <w:keepNext/>
              <w:keepLines/>
              <w:spacing w:before="260" w:after="260"/>
              <w:ind w:firstLine="480"/>
              <w:rPr>
                <w:rFonts w:ascii="Times" w:eastAsia="宋体" w:hAnsi="Times"/>
                <w:lang w:eastAsia="zh-CN"/>
              </w:rPr>
            </w:pPr>
          </w:p>
        </w:tc>
        <w:tc>
          <w:tcPr>
            <w:tcW w:w="7183" w:type="dxa"/>
            <w:gridSpan w:val="3"/>
          </w:tcPr>
          <w:p w14:paraId="12288F12" w14:textId="77777777" w:rsidR="009F0C37" w:rsidRPr="009F0C37" w:rsidRDefault="009F0C37" w:rsidP="009F0C37">
            <w:pPr>
              <w:ind w:firstLineChars="0" w:firstLine="0"/>
              <w:rPr>
                <w:rFonts w:ascii="Times" w:eastAsia="宋体" w:hAnsi="Times"/>
                <w:b/>
                <w:sz w:val="28"/>
                <w:szCs w:val="28"/>
                <w:lang w:eastAsia="zh-CN"/>
              </w:rPr>
            </w:pPr>
            <w:r w:rsidRPr="009F0C37">
              <w:rPr>
                <w:rFonts w:ascii="Times" w:eastAsia="宋体" w:hAnsi="Times" w:hint="eastAsia"/>
                <w:b/>
                <w:sz w:val="28"/>
                <w:szCs w:val="28"/>
                <w:lang w:eastAsia="zh-CN"/>
              </w:rPr>
              <w:t>四、货币总体贬值，</w:t>
            </w:r>
            <w:r w:rsidRPr="009F0C37">
              <w:rPr>
                <w:rFonts w:ascii="Times" w:eastAsia="宋体" w:hAnsi="Times"/>
                <w:b/>
                <w:sz w:val="28"/>
                <w:szCs w:val="28"/>
                <w:lang w:eastAsia="zh-CN"/>
              </w:rPr>
              <w:t xml:space="preserve"> </w:t>
            </w:r>
            <w:r w:rsidRPr="009F0C37">
              <w:rPr>
                <w:rFonts w:ascii="Times" w:eastAsia="宋体" w:hAnsi="Times" w:hint="eastAsia"/>
                <w:b/>
                <w:sz w:val="28"/>
                <w:szCs w:val="28"/>
                <w:lang w:eastAsia="zh-CN"/>
              </w:rPr>
              <w:t>韩元贬值幅度最大</w:t>
            </w:r>
          </w:p>
          <w:p w14:paraId="390556C5" w14:textId="77777777" w:rsidR="009F0C37" w:rsidRPr="009F0C37" w:rsidRDefault="009F0C37" w:rsidP="009F0C37">
            <w:pPr>
              <w:ind w:firstLine="482"/>
              <w:rPr>
                <w:rFonts w:ascii="Times" w:eastAsia="宋体" w:hAnsi="Times"/>
                <w:lang w:eastAsia="zh-CN"/>
              </w:rPr>
            </w:pPr>
            <w:r w:rsidRPr="009F0C37">
              <w:rPr>
                <w:rFonts w:ascii="Times" w:eastAsia="宋体" w:hAnsi="Times" w:hint="eastAsia"/>
                <w:b/>
                <w:bCs/>
                <w:lang w:eastAsia="zh-CN"/>
              </w:rPr>
              <w:t>2</w:t>
            </w:r>
            <w:r w:rsidRPr="009F0C37">
              <w:rPr>
                <w:rFonts w:ascii="Times" w:eastAsia="宋体" w:hAnsi="Times"/>
                <w:b/>
                <w:bCs/>
                <w:lang w:eastAsia="zh-CN"/>
              </w:rPr>
              <w:t>02</w:t>
            </w:r>
            <w:r w:rsidRPr="009F0C37">
              <w:rPr>
                <w:rFonts w:ascii="Times" w:eastAsia="宋体" w:hAnsi="Times" w:hint="eastAsia"/>
                <w:b/>
                <w:bCs/>
                <w:lang w:eastAsia="zh-CN"/>
              </w:rPr>
              <w:t>4</w:t>
            </w:r>
            <w:r w:rsidRPr="009F0C37">
              <w:rPr>
                <w:rFonts w:ascii="Times" w:eastAsia="宋体" w:hAnsi="Times" w:hint="eastAsia"/>
                <w:b/>
                <w:bCs/>
                <w:lang w:eastAsia="zh-CN"/>
              </w:rPr>
              <w:t>年，区内货币对美元大幅震荡，总体呈现贬值态势</w:t>
            </w:r>
            <w:r w:rsidRPr="009F0C37">
              <w:rPr>
                <w:rFonts w:ascii="Times" w:eastAsia="宋体" w:hAnsi="Times" w:hint="eastAsia"/>
                <w:lang w:eastAsia="zh-CN"/>
              </w:rPr>
              <w:t>。区内货币受美元指数走势影响较大；美元指数在美联储货币政策宽松的预期及进程中呈现相对弱势，使得区域内货币</w:t>
            </w:r>
            <w:r w:rsidRPr="009F0C37">
              <w:rPr>
                <w:rFonts w:ascii="Times" w:eastAsia="宋体" w:hAnsi="Times" w:hint="eastAsia"/>
                <w:lang w:eastAsia="zh-CN"/>
              </w:rPr>
              <w:t>3</w:t>
            </w:r>
            <w:r w:rsidRPr="009F0C37">
              <w:rPr>
                <w:rFonts w:ascii="Times" w:eastAsia="宋体" w:hAnsi="Times" w:hint="eastAsia"/>
                <w:lang w:eastAsia="zh-CN"/>
              </w:rPr>
              <w:t>季度大幅升值；其余多数时间里，美元指数的相对强势使得区内货币均面临较大贬值压力。年内贬值幅度最大的是韩国货币，全年贬值幅度高达</w:t>
            </w:r>
            <w:r w:rsidRPr="009F0C37">
              <w:rPr>
                <w:rFonts w:ascii="Times" w:eastAsia="宋体" w:hAnsi="Times" w:hint="eastAsia"/>
                <w:lang w:eastAsia="zh-CN"/>
              </w:rPr>
              <w:t>11.7%</w:t>
            </w:r>
            <w:r w:rsidRPr="009F0C37">
              <w:rPr>
                <w:rFonts w:ascii="Times" w:eastAsia="宋体" w:hAnsi="Times" w:hint="eastAsia"/>
                <w:lang w:eastAsia="zh-CN"/>
              </w:rPr>
              <w:t>，其次是菲律宾和印尼货币，贬值幅度均为</w:t>
            </w:r>
            <w:r w:rsidRPr="009F0C37">
              <w:rPr>
                <w:rFonts w:ascii="Times" w:eastAsia="宋体" w:hAnsi="Times" w:hint="eastAsia"/>
                <w:lang w:eastAsia="zh-CN"/>
              </w:rPr>
              <w:t>4.2%</w:t>
            </w:r>
            <w:r w:rsidRPr="009F0C37">
              <w:rPr>
                <w:rFonts w:ascii="Times" w:eastAsia="宋体" w:hAnsi="Times" w:hint="eastAsia"/>
                <w:lang w:eastAsia="zh-CN"/>
              </w:rPr>
              <w:t>。得益于</w:t>
            </w:r>
            <w:r w:rsidRPr="009F0C37">
              <w:rPr>
                <w:rFonts w:ascii="Times" w:eastAsia="宋体" w:hAnsi="Times" w:hint="eastAsia"/>
                <w:lang w:eastAsia="zh-CN"/>
              </w:rPr>
              <w:t>3</w:t>
            </w:r>
            <w:r w:rsidRPr="009F0C37">
              <w:rPr>
                <w:rFonts w:ascii="Times" w:eastAsia="宋体" w:hAnsi="Times" w:hint="eastAsia"/>
                <w:lang w:eastAsia="zh-CN"/>
              </w:rPr>
              <w:t>季度的大幅升值，马来西亚吉特和泰铢年内总体呈现升值态势，分别升值</w:t>
            </w:r>
            <w:r w:rsidRPr="009F0C37">
              <w:rPr>
                <w:rFonts w:ascii="Times" w:eastAsia="宋体" w:hAnsi="Times" w:hint="eastAsia"/>
                <w:lang w:eastAsia="zh-CN"/>
              </w:rPr>
              <w:t>3.0%</w:t>
            </w:r>
            <w:r w:rsidRPr="009F0C37">
              <w:rPr>
                <w:rFonts w:ascii="Times" w:eastAsia="宋体" w:hAnsi="Times" w:hint="eastAsia"/>
                <w:lang w:eastAsia="zh-CN"/>
              </w:rPr>
              <w:t>和</w:t>
            </w:r>
            <w:r w:rsidRPr="009F0C37">
              <w:rPr>
                <w:rFonts w:ascii="Times" w:eastAsia="宋体" w:hAnsi="Times" w:hint="eastAsia"/>
                <w:lang w:eastAsia="zh-CN"/>
              </w:rPr>
              <w:t>0.9%</w:t>
            </w:r>
            <w:r w:rsidRPr="009F0C37">
              <w:rPr>
                <w:rFonts w:ascii="Times" w:eastAsia="宋体" w:hAnsi="Times" w:hint="eastAsia"/>
                <w:lang w:eastAsia="zh-CN"/>
              </w:rPr>
              <w:t>。</w:t>
            </w:r>
          </w:p>
        </w:tc>
      </w:tr>
      <w:tr w:rsidR="009F0C37" w:rsidRPr="009F0C37" w14:paraId="18517501" w14:textId="77777777" w:rsidTr="009F0C37">
        <w:trPr>
          <w:gridAfter w:val="1"/>
          <w:wAfter w:w="392" w:type="dxa"/>
          <w:trHeight w:val="1001"/>
          <w:jc w:val="center"/>
        </w:trPr>
        <w:tc>
          <w:tcPr>
            <w:tcW w:w="9639" w:type="dxa"/>
            <w:gridSpan w:val="8"/>
          </w:tcPr>
          <w:p w14:paraId="4C2DB298" w14:textId="07DF8842" w:rsidR="009F0C37" w:rsidRPr="009F0C37" w:rsidRDefault="00DB2622" w:rsidP="00D37774">
            <w:pPr>
              <w:pStyle w:val="a4"/>
            </w:pPr>
            <w:bookmarkStart w:id="53" w:name="_Toc196399438"/>
            <w:r>
              <w:rPr>
                <w:rFonts w:hint="eastAsia"/>
              </w:rPr>
              <w:lastRenderedPageBreak/>
              <w:t xml:space="preserve">图表 </w:t>
            </w:r>
            <w:r>
              <w:rPr>
                <w:rFonts w:hint="eastAsia"/>
              </w:rPr>
              <w:fldChar w:fldCharType="begin"/>
            </w:r>
            <w:r>
              <w:rPr>
                <w:rFonts w:hint="eastAsia"/>
              </w:rPr>
              <w:instrText xml:space="preserve"> SEQ 图表 \* ARABIC </w:instrText>
            </w:r>
            <w:r>
              <w:rPr>
                <w:rFonts w:hint="eastAsia"/>
              </w:rPr>
              <w:fldChar w:fldCharType="separate"/>
            </w:r>
            <w:r w:rsidR="00530ED7">
              <w:rPr>
                <w:rFonts w:hint="eastAsia"/>
                <w:noProof/>
              </w:rPr>
              <w:t>27</w:t>
            </w:r>
            <w:r>
              <w:rPr>
                <w:rFonts w:hint="eastAsia"/>
              </w:rPr>
              <w:fldChar w:fldCharType="end"/>
            </w:r>
            <w:r>
              <w:rPr>
                <w:rFonts w:hint="eastAsia"/>
              </w:rPr>
              <w:t xml:space="preserve"> </w:t>
            </w:r>
            <w:r w:rsidR="009F0C37" w:rsidRPr="009F0C37">
              <w:t xml:space="preserve"> </w:t>
            </w:r>
            <w:r w:rsidR="009F0C37" w:rsidRPr="009F0C37">
              <w:rPr>
                <w:rFonts w:hint="eastAsia"/>
              </w:rPr>
              <w:t>区内货币在2</w:t>
            </w:r>
            <w:r w:rsidR="009F0C37" w:rsidRPr="009F0C37">
              <w:t>024</w:t>
            </w:r>
            <w:r w:rsidR="009F0C37" w:rsidRPr="009F0C37">
              <w:rPr>
                <w:rFonts w:hint="eastAsia"/>
              </w:rPr>
              <w:t>年总体贬值</w:t>
            </w:r>
            <w:bookmarkEnd w:id="53"/>
          </w:p>
          <w:p w14:paraId="102959E6" w14:textId="77777777" w:rsidR="009F0C37" w:rsidRPr="009F0C37" w:rsidRDefault="009F0C37" w:rsidP="009F0C37">
            <w:pPr>
              <w:ind w:firstLine="480"/>
              <w:jc w:val="center"/>
              <w:rPr>
                <w:rFonts w:ascii="Times" w:eastAsia="宋体" w:hAnsi="Times"/>
                <w:b/>
                <w:lang w:eastAsia="zh-CN"/>
              </w:rPr>
            </w:pPr>
            <w:r w:rsidRPr="009F0C37">
              <w:rPr>
                <w:rFonts w:ascii="Times" w:eastAsia="宋体" w:hAnsi="Times"/>
                <w:noProof/>
                <w:lang w:eastAsia="zh-CN" w:bidi="ar-SA"/>
              </w:rPr>
              <w:drawing>
                <wp:inline distT="0" distB="0" distL="0" distR="0" wp14:anchorId="4597803F" wp14:editId="68886969">
                  <wp:extent cx="4709160" cy="2895600"/>
                  <wp:effectExtent l="0" t="0" r="15240" b="0"/>
                  <wp:docPr id="531447654" name="图表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400-00000F4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1D6A7684" w14:textId="77777777" w:rsidR="009F0C37" w:rsidRPr="009F0C37" w:rsidRDefault="009F0C37" w:rsidP="009F0C37">
            <w:pPr>
              <w:ind w:firstLine="360"/>
              <w:rPr>
                <w:rFonts w:ascii="Times" w:eastAsia="宋体" w:hAnsi="Times"/>
                <w:kern w:val="0"/>
                <w:sz w:val="18"/>
                <w:szCs w:val="18"/>
                <w:lang w:eastAsia="zh-CN"/>
              </w:rPr>
            </w:pPr>
            <w:r w:rsidRPr="009F0C37">
              <w:rPr>
                <w:rFonts w:ascii="Times" w:eastAsia="宋体" w:hAnsi="Times" w:hint="eastAsia"/>
                <w:kern w:val="0"/>
                <w:sz w:val="18"/>
                <w:szCs w:val="18"/>
                <w:lang w:eastAsia="zh-CN"/>
              </w:rPr>
              <w:t>资料</w:t>
            </w:r>
            <w:r w:rsidRPr="009F0C37">
              <w:rPr>
                <w:rFonts w:ascii="Times" w:eastAsia="宋体" w:hAnsi="Times"/>
                <w:kern w:val="0"/>
                <w:sz w:val="18"/>
                <w:szCs w:val="18"/>
                <w:lang w:eastAsia="zh-CN"/>
              </w:rPr>
              <w:t>来源：</w:t>
            </w:r>
            <w:r w:rsidRPr="009F0C37">
              <w:rPr>
                <w:rFonts w:ascii="Times" w:eastAsia="宋体" w:hAnsi="Times"/>
                <w:kern w:val="0"/>
                <w:sz w:val="18"/>
                <w:szCs w:val="18"/>
                <w:lang w:eastAsia="zh-CN"/>
              </w:rPr>
              <w:t>CEIC</w:t>
            </w:r>
            <w:r w:rsidRPr="009F0C37">
              <w:rPr>
                <w:rFonts w:ascii="Times" w:eastAsia="宋体" w:hAnsi="Times"/>
                <w:kern w:val="0"/>
                <w:sz w:val="18"/>
                <w:szCs w:val="18"/>
                <w:lang w:eastAsia="zh-CN"/>
              </w:rPr>
              <w:t>。</w:t>
            </w:r>
          </w:p>
        </w:tc>
      </w:tr>
      <w:tr w:rsidR="009F0C37" w:rsidRPr="009F0C37" w14:paraId="681CB57C" w14:textId="77777777" w:rsidTr="009F0C37">
        <w:trPr>
          <w:gridAfter w:val="1"/>
          <w:wAfter w:w="392" w:type="dxa"/>
          <w:trHeight w:val="1001"/>
          <w:jc w:val="center"/>
        </w:trPr>
        <w:tc>
          <w:tcPr>
            <w:tcW w:w="2155" w:type="dxa"/>
            <w:gridSpan w:val="2"/>
            <w:vAlign w:val="center"/>
          </w:tcPr>
          <w:p w14:paraId="0802730B" w14:textId="77777777" w:rsidR="009F0C37" w:rsidRPr="009F0C37" w:rsidRDefault="009F0C37" w:rsidP="009F0C37">
            <w:pPr>
              <w:ind w:firstLineChars="0" w:firstLine="0"/>
              <w:rPr>
                <w:rFonts w:ascii="Times" w:eastAsia="宋体" w:hAnsi="Times"/>
                <w:b/>
                <w:lang w:eastAsia="zh-CN" w:bidi="ar-SA"/>
              </w:rPr>
            </w:pPr>
            <w:r w:rsidRPr="009F0C37">
              <w:rPr>
                <w:rFonts w:ascii="Times" w:eastAsia="宋体" w:hAnsi="Times" w:hint="eastAsia"/>
                <w:b/>
                <w:lang w:eastAsia="zh-CN" w:bidi="ar-SA"/>
              </w:rPr>
              <w:t>戒严令事件引发韩国政坛持续动荡。</w:t>
            </w:r>
          </w:p>
        </w:tc>
        <w:tc>
          <w:tcPr>
            <w:tcW w:w="301" w:type="dxa"/>
            <w:gridSpan w:val="3"/>
          </w:tcPr>
          <w:p w14:paraId="61043201" w14:textId="77777777" w:rsidR="009F0C37" w:rsidRPr="009F0C37" w:rsidRDefault="009F0C37" w:rsidP="009F0C37">
            <w:pPr>
              <w:keepNext/>
              <w:keepLines/>
              <w:spacing w:before="260" w:after="260"/>
              <w:ind w:firstLine="480"/>
              <w:rPr>
                <w:rFonts w:ascii="Times" w:eastAsia="宋体" w:hAnsi="Times"/>
                <w:lang w:eastAsia="zh-CN"/>
              </w:rPr>
            </w:pPr>
          </w:p>
        </w:tc>
        <w:tc>
          <w:tcPr>
            <w:tcW w:w="7183" w:type="dxa"/>
            <w:gridSpan w:val="3"/>
          </w:tcPr>
          <w:p w14:paraId="78FF355D" w14:textId="77777777" w:rsidR="009F0C37" w:rsidRPr="009F0C37" w:rsidRDefault="009F0C37" w:rsidP="009F0C37">
            <w:pPr>
              <w:ind w:firstLine="480"/>
              <w:rPr>
                <w:rFonts w:ascii="Times" w:eastAsia="宋体" w:hAnsi="Times" w:cs="微软雅黑"/>
                <w:lang w:eastAsia="zh-CN"/>
              </w:rPr>
            </w:pPr>
            <w:r w:rsidRPr="009F0C37">
              <w:rPr>
                <w:rFonts w:ascii="Times" w:eastAsia="宋体" w:hAnsi="Times" w:cs="微软雅黑" w:hint="eastAsia"/>
                <w:lang w:eastAsia="zh-CN"/>
              </w:rPr>
              <w:t>2024</w:t>
            </w:r>
            <w:r w:rsidRPr="009F0C37">
              <w:rPr>
                <w:rFonts w:ascii="Times" w:eastAsia="宋体" w:hAnsi="Times" w:cs="微软雅黑" w:hint="eastAsia"/>
                <w:lang w:eastAsia="zh-CN"/>
              </w:rPr>
              <w:t>年</w:t>
            </w:r>
            <w:r w:rsidRPr="009F0C37">
              <w:rPr>
                <w:rFonts w:ascii="Times" w:eastAsia="宋体" w:hAnsi="Times" w:cs="微软雅黑" w:hint="eastAsia"/>
                <w:lang w:eastAsia="zh-CN"/>
              </w:rPr>
              <w:t>12</w:t>
            </w:r>
            <w:r w:rsidRPr="009F0C37">
              <w:rPr>
                <w:rFonts w:ascii="Times" w:eastAsia="宋体" w:hAnsi="Times" w:cs="微软雅黑" w:hint="eastAsia"/>
                <w:lang w:eastAsia="zh-CN"/>
              </w:rPr>
              <w:t>月</w:t>
            </w:r>
            <w:r w:rsidRPr="009F0C37">
              <w:rPr>
                <w:rFonts w:ascii="Times" w:eastAsia="宋体" w:hAnsi="Times" w:cs="微软雅黑" w:hint="eastAsia"/>
                <w:lang w:eastAsia="zh-CN"/>
              </w:rPr>
              <w:t>3</w:t>
            </w:r>
            <w:r w:rsidRPr="009F0C37">
              <w:rPr>
                <w:rFonts w:ascii="Times" w:eastAsia="宋体" w:hAnsi="Times" w:cs="微软雅黑" w:hint="eastAsia"/>
                <w:lang w:eastAsia="zh-CN"/>
              </w:rPr>
              <w:t>日晚，韩国尹锡悦总统宣布实行“紧急戒严”，随后韩国戒严司令部发布一号戒严令。</w:t>
            </w:r>
            <w:r w:rsidRPr="009F0C37">
              <w:rPr>
                <w:rFonts w:ascii="Times" w:eastAsia="宋体" w:hAnsi="Times" w:cs="微软雅黑" w:hint="eastAsia"/>
                <w:lang w:eastAsia="zh-CN"/>
              </w:rPr>
              <w:t>4</w:t>
            </w:r>
            <w:r w:rsidRPr="009F0C37">
              <w:rPr>
                <w:rFonts w:ascii="Times" w:eastAsia="宋体" w:hAnsi="Times" w:cs="微软雅黑" w:hint="eastAsia"/>
                <w:lang w:eastAsia="zh-CN"/>
              </w:rPr>
              <w:t>日凌晨，韩国国会会议全票通过废除总统戒严令的决议。韩国戒严令从总统宣布到国会解除，历时不足</w:t>
            </w:r>
            <w:r w:rsidRPr="009F0C37">
              <w:rPr>
                <w:rFonts w:ascii="Times" w:eastAsia="宋体" w:hAnsi="Times" w:cs="微软雅黑" w:hint="eastAsia"/>
                <w:lang w:eastAsia="zh-CN"/>
              </w:rPr>
              <w:t>6</w:t>
            </w:r>
            <w:r w:rsidRPr="009F0C37">
              <w:rPr>
                <w:rFonts w:ascii="Times" w:eastAsia="宋体" w:hAnsi="Times" w:cs="微软雅黑" w:hint="eastAsia"/>
                <w:lang w:eastAsia="zh-CN"/>
              </w:rPr>
              <w:t>小时。</w:t>
            </w:r>
            <w:r w:rsidRPr="009F0C37">
              <w:rPr>
                <w:rFonts w:ascii="Times" w:eastAsia="宋体" w:hAnsi="Times" w:cs="微软雅黑" w:hint="eastAsia"/>
                <w:lang w:eastAsia="zh-CN"/>
              </w:rPr>
              <w:t>4</w:t>
            </w:r>
            <w:r w:rsidRPr="009F0C37">
              <w:rPr>
                <w:rFonts w:ascii="Times" w:eastAsia="宋体" w:hAnsi="Times" w:cs="微软雅黑" w:hint="eastAsia"/>
                <w:lang w:eastAsia="zh-CN"/>
              </w:rPr>
              <w:t>号下午，韩国政坛六大在野党联合发起对总统的弹劾议案。</w:t>
            </w:r>
            <w:r w:rsidRPr="009F0C37">
              <w:rPr>
                <w:rFonts w:ascii="Times" w:eastAsia="宋体" w:hAnsi="Times" w:cs="微软雅黑" w:hint="eastAsia"/>
                <w:lang w:eastAsia="zh-CN"/>
              </w:rPr>
              <w:t>14</w:t>
            </w:r>
            <w:r w:rsidRPr="009F0C37">
              <w:rPr>
                <w:rFonts w:ascii="Times" w:eastAsia="宋体" w:hAnsi="Times" w:cs="微软雅黑" w:hint="eastAsia"/>
                <w:lang w:eastAsia="zh-CN"/>
              </w:rPr>
              <w:t>日韩国国会以压倒性多数通过了对总统尹锡悦的弹劾动议案，尹锡悦的总统职务立即被暂停，国务总理韩德洙开始代理总统职务。</w:t>
            </w:r>
            <w:r w:rsidRPr="009F0C37">
              <w:rPr>
                <w:rFonts w:ascii="Times" w:eastAsia="宋体" w:hAnsi="Times" w:cs="微软雅黑" w:hint="eastAsia"/>
                <w:lang w:eastAsia="zh-CN"/>
              </w:rPr>
              <w:t>27</w:t>
            </w:r>
            <w:r w:rsidRPr="009F0C37">
              <w:rPr>
                <w:rFonts w:ascii="Times" w:eastAsia="宋体" w:hAnsi="Times" w:cs="微软雅黑" w:hint="eastAsia"/>
                <w:lang w:eastAsia="zh-CN"/>
              </w:rPr>
              <w:t>日，因为拒绝任命共同民主党提议的</w:t>
            </w:r>
            <w:r w:rsidRPr="009F0C37">
              <w:rPr>
                <w:rFonts w:ascii="Times" w:eastAsia="宋体" w:hAnsi="Times" w:cs="微软雅黑" w:hint="eastAsia"/>
                <w:lang w:eastAsia="zh-CN"/>
              </w:rPr>
              <w:t>3</w:t>
            </w:r>
            <w:r w:rsidRPr="009F0C37">
              <w:rPr>
                <w:rFonts w:ascii="Times" w:eastAsia="宋体" w:hAnsi="Times" w:cs="微软雅黑" w:hint="eastAsia"/>
                <w:lang w:eastAsia="zh-CN"/>
              </w:rPr>
              <w:t>名法官，代总统韩德洙被弹劾，韩国副总理崔相穆任代总统。</w:t>
            </w:r>
            <w:r w:rsidRPr="009F0C37">
              <w:rPr>
                <w:rFonts w:ascii="Times" w:eastAsia="宋体" w:hAnsi="Times" w:cs="微软雅黑"/>
                <w:lang w:eastAsia="zh-CN"/>
              </w:rPr>
              <w:t>30</w:t>
            </w:r>
            <w:r w:rsidRPr="009F0C37">
              <w:rPr>
                <w:rFonts w:ascii="Times" w:eastAsia="宋体" w:hAnsi="Times" w:cs="微软雅黑" w:hint="eastAsia"/>
                <w:lang w:eastAsia="zh-CN"/>
              </w:rPr>
              <w:t>日，代总统崔相穆被警方立案调查，指控其涉嫌谋划参与和协助实施内乱、滥用职权、渎职及违反《国家情报院法》等行为。</w:t>
            </w:r>
            <w:r w:rsidRPr="009F0C37">
              <w:rPr>
                <w:rFonts w:ascii="Times" w:eastAsia="宋体" w:hAnsi="Times" w:cs="微软雅黑" w:hint="eastAsia"/>
                <w:lang w:eastAsia="zh-CN"/>
              </w:rPr>
              <w:t>3</w:t>
            </w:r>
            <w:r w:rsidRPr="009F0C37">
              <w:rPr>
                <w:rFonts w:ascii="Times" w:eastAsia="宋体" w:hAnsi="Times" w:cs="微软雅黑"/>
                <w:lang w:eastAsia="zh-CN"/>
              </w:rPr>
              <w:t>1</w:t>
            </w:r>
            <w:r w:rsidRPr="009F0C37">
              <w:rPr>
                <w:rFonts w:ascii="Times" w:eastAsia="宋体" w:hAnsi="Times" w:cs="微软雅黑" w:hint="eastAsia"/>
                <w:lang w:eastAsia="zh-CN"/>
              </w:rPr>
              <w:t>日，韩国法院批准尹锡悦逮捕令。</w:t>
            </w:r>
          </w:p>
          <w:p w14:paraId="71AF2B4A" w14:textId="77777777" w:rsidR="009F0C37" w:rsidRPr="009F0C37" w:rsidRDefault="009F0C37" w:rsidP="009F0C37">
            <w:pPr>
              <w:ind w:firstLine="480"/>
              <w:rPr>
                <w:rFonts w:ascii="Times" w:eastAsia="宋体" w:hAnsi="Times" w:cs="微软雅黑"/>
                <w:lang w:eastAsia="zh-CN"/>
              </w:rPr>
            </w:pPr>
            <w:r w:rsidRPr="009F0C37">
              <w:rPr>
                <w:rFonts w:ascii="Times" w:eastAsia="宋体" w:hAnsi="Times" w:cs="微软雅黑" w:hint="eastAsia"/>
                <w:lang w:eastAsia="zh-CN"/>
              </w:rPr>
              <w:t>戒严令事件反映了韩国政坛朝野斗争日趋激烈，也表明两党在与主要大国关系和朝韩摩擦等方面的严重分歧难以协调。后续的弹劾风波也反映了朝野之间、政客彼此缺乏信任。戒严令事件似乎打开了韩国政坛的“潘多拉魔盒”，将韩国的朝野恶斗推向全新高潮；韩国政坛的持续动荡在短期严重冲击韩国金</w:t>
            </w:r>
            <w:r w:rsidRPr="009F0C37">
              <w:rPr>
                <w:rFonts w:ascii="Times" w:eastAsia="宋体" w:hAnsi="Times" w:cs="微软雅黑" w:hint="eastAsia"/>
                <w:lang w:eastAsia="zh-CN"/>
              </w:rPr>
              <w:lastRenderedPageBreak/>
              <w:t>融市场和韩国经济，在长期也将对韩国经济带来负面影响，严重时或将激化地区紧张局势。</w:t>
            </w:r>
          </w:p>
        </w:tc>
      </w:tr>
      <w:tr w:rsidR="009F0C37" w:rsidRPr="009F0C37" w14:paraId="590D65E9" w14:textId="77777777" w:rsidTr="009F0C37">
        <w:trPr>
          <w:gridAfter w:val="1"/>
          <w:wAfter w:w="392" w:type="dxa"/>
          <w:trHeight w:val="1001"/>
          <w:jc w:val="center"/>
        </w:trPr>
        <w:tc>
          <w:tcPr>
            <w:tcW w:w="2155" w:type="dxa"/>
            <w:gridSpan w:val="2"/>
            <w:vAlign w:val="center"/>
          </w:tcPr>
          <w:p w14:paraId="306B3CC6" w14:textId="77777777" w:rsidR="009F0C37" w:rsidRPr="009F0C37" w:rsidRDefault="009F0C37" w:rsidP="009F0C37">
            <w:pPr>
              <w:ind w:firstLineChars="0" w:firstLine="0"/>
              <w:rPr>
                <w:rFonts w:ascii="Times" w:eastAsia="宋体" w:hAnsi="Times"/>
                <w:b/>
                <w:lang w:eastAsia="zh-CN" w:bidi="ar-SA"/>
              </w:rPr>
            </w:pPr>
            <w:r w:rsidRPr="009F0C37">
              <w:rPr>
                <w:rFonts w:ascii="Times" w:eastAsia="宋体" w:hAnsi="Times" w:hint="eastAsia"/>
                <w:b/>
                <w:lang w:eastAsia="zh-CN" w:bidi="ar-SA"/>
              </w:rPr>
              <w:lastRenderedPageBreak/>
              <w:t>政坛动荡引发韩国金融市场持续下行。</w:t>
            </w:r>
          </w:p>
        </w:tc>
        <w:tc>
          <w:tcPr>
            <w:tcW w:w="301" w:type="dxa"/>
            <w:gridSpan w:val="3"/>
          </w:tcPr>
          <w:p w14:paraId="1D0752E5" w14:textId="77777777" w:rsidR="009F0C37" w:rsidRPr="009F0C37" w:rsidRDefault="009F0C37" w:rsidP="009F0C37">
            <w:pPr>
              <w:keepNext/>
              <w:keepLines/>
              <w:spacing w:before="260" w:after="260"/>
              <w:ind w:firstLine="480"/>
              <w:rPr>
                <w:rFonts w:ascii="Times" w:eastAsia="宋体" w:hAnsi="Times"/>
                <w:lang w:eastAsia="zh-CN"/>
              </w:rPr>
            </w:pPr>
          </w:p>
        </w:tc>
        <w:tc>
          <w:tcPr>
            <w:tcW w:w="7183" w:type="dxa"/>
            <w:gridSpan w:val="3"/>
          </w:tcPr>
          <w:p w14:paraId="3D03E24D" w14:textId="42DE1927" w:rsidR="009F0C37" w:rsidRPr="009F0C37" w:rsidRDefault="009F0C37" w:rsidP="009F0C37">
            <w:pPr>
              <w:ind w:firstLine="482"/>
              <w:rPr>
                <w:rFonts w:ascii="Times" w:eastAsia="宋体" w:hAnsi="Times"/>
                <w:lang w:eastAsia="zh-CN"/>
              </w:rPr>
            </w:pPr>
            <w:r w:rsidRPr="009F0C37">
              <w:rPr>
                <w:rFonts w:ascii="Times" w:eastAsia="宋体" w:hAnsi="Times" w:hint="eastAsia"/>
                <w:b/>
                <w:bCs/>
                <w:lang w:eastAsia="zh-CN"/>
              </w:rPr>
              <w:t>政坛动荡引发韩国金融市场持续下行。</w:t>
            </w:r>
            <w:r w:rsidRPr="009F0C37">
              <w:rPr>
                <w:rFonts w:ascii="Times" w:eastAsia="宋体" w:hAnsi="Times" w:hint="eastAsia"/>
                <w:lang w:eastAsia="zh-CN"/>
              </w:rPr>
              <w:t>戒严令事件迅速冲击韩国金融市场。</w:t>
            </w:r>
            <w:r w:rsidRPr="009F0C37">
              <w:rPr>
                <w:rFonts w:ascii="Times" w:eastAsia="宋体" w:hAnsi="Times" w:hint="eastAsia"/>
                <w:lang w:eastAsia="zh-CN"/>
              </w:rPr>
              <w:t>1</w:t>
            </w:r>
            <w:r w:rsidRPr="009F0C37">
              <w:rPr>
                <w:rFonts w:ascii="Times" w:eastAsia="宋体" w:hAnsi="Times"/>
                <w:lang w:eastAsia="zh-CN"/>
              </w:rPr>
              <w:t>2</w:t>
            </w:r>
            <w:r w:rsidRPr="009F0C37">
              <w:rPr>
                <w:rFonts w:ascii="Times" w:eastAsia="宋体" w:hAnsi="Times" w:hint="eastAsia"/>
                <w:lang w:eastAsia="zh-CN"/>
              </w:rPr>
              <w:t>月</w:t>
            </w:r>
            <w:r w:rsidRPr="009F0C37">
              <w:rPr>
                <w:rFonts w:ascii="Times" w:eastAsia="宋体" w:hAnsi="Times" w:hint="eastAsia"/>
                <w:lang w:eastAsia="zh-CN"/>
              </w:rPr>
              <w:t>4</w:t>
            </w:r>
            <w:r w:rsidRPr="009F0C37">
              <w:rPr>
                <w:rFonts w:ascii="Times" w:eastAsia="宋体" w:hAnsi="Times" w:hint="eastAsia"/>
                <w:lang w:eastAsia="zh-CN"/>
              </w:rPr>
              <w:t>日当天，外汇市场上韩元兑美元汇率快速下跌，一度跌至</w:t>
            </w:r>
            <w:r w:rsidRPr="009F0C37">
              <w:rPr>
                <w:rFonts w:ascii="Times" w:eastAsia="宋体" w:hAnsi="Times"/>
                <w:lang w:eastAsia="zh-CN"/>
              </w:rPr>
              <w:t>1446</w:t>
            </w:r>
            <w:r w:rsidRPr="009F0C37">
              <w:rPr>
                <w:rFonts w:ascii="Times" w:eastAsia="宋体" w:hAnsi="Times"/>
                <w:lang w:eastAsia="zh-CN"/>
              </w:rPr>
              <w:t>韩元兑换</w:t>
            </w:r>
            <w:r w:rsidRPr="009F0C37">
              <w:rPr>
                <w:rFonts w:ascii="Times" w:eastAsia="宋体" w:hAnsi="Times"/>
                <w:lang w:eastAsia="zh-CN"/>
              </w:rPr>
              <w:t>1</w:t>
            </w:r>
            <w:r w:rsidRPr="009F0C37">
              <w:rPr>
                <w:rFonts w:ascii="Times" w:eastAsia="宋体" w:hAnsi="Times"/>
                <w:lang w:eastAsia="zh-CN"/>
              </w:rPr>
              <w:t>美元，为</w:t>
            </w:r>
            <w:r w:rsidRPr="009F0C37">
              <w:rPr>
                <w:rFonts w:ascii="Times" w:eastAsia="宋体" w:hAnsi="Times"/>
                <w:lang w:eastAsia="zh-CN"/>
              </w:rPr>
              <w:t>15</w:t>
            </w:r>
            <w:r w:rsidRPr="009F0C37">
              <w:rPr>
                <w:rFonts w:ascii="Times" w:eastAsia="宋体" w:hAnsi="Times"/>
                <w:lang w:eastAsia="zh-CN"/>
              </w:rPr>
              <w:t>年</w:t>
            </w:r>
            <w:r w:rsidRPr="009F0C37">
              <w:rPr>
                <w:rFonts w:ascii="Times" w:eastAsia="宋体" w:hAnsi="Times" w:hint="eastAsia"/>
                <w:lang w:eastAsia="zh-CN"/>
              </w:rPr>
              <w:t>以来</w:t>
            </w:r>
            <w:r w:rsidRPr="009F0C37">
              <w:rPr>
                <w:rFonts w:ascii="Times" w:eastAsia="宋体" w:hAnsi="Times"/>
                <w:lang w:eastAsia="zh-CN"/>
              </w:rPr>
              <w:t>的最低</w:t>
            </w:r>
            <w:r w:rsidRPr="009F0C37">
              <w:rPr>
                <w:rFonts w:ascii="Times" w:eastAsia="宋体" w:hAnsi="Times" w:hint="eastAsia"/>
                <w:lang w:eastAsia="zh-CN"/>
              </w:rPr>
              <w:t>位；最终以</w:t>
            </w:r>
            <w:r w:rsidRPr="009F0C37">
              <w:rPr>
                <w:rFonts w:ascii="Times" w:eastAsia="宋体" w:hAnsi="Times" w:hint="eastAsia"/>
                <w:lang w:eastAsia="zh-CN"/>
              </w:rPr>
              <w:t>1</w:t>
            </w:r>
            <w:r w:rsidRPr="009F0C37">
              <w:rPr>
                <w:rFonts w:ascii="Times" w:eastAsia="宋体" w:hAnsi="Times"/>
                <w:lang w:eastAsia="zh-CN"/>
              </w:rPr>
              <w:t>410</w:t>
            </w:r>
            <w:r w:rsidRPr="009F0C37">
              <w:rPr>
                <w:rFonts w:ascii="Times" w:eastAsia="宋体" w:hAnsi="Times" w:hint="eastAsia"/>
                <w:lang w:eastAsia="zh-CN"/>
              </w:rPr>
              <w:t>韩元兑</w:t>
            </w:r>
            <w:r w:rsidRPr="009F0C37">
              <w:rPr>
                <w:rFonts w:ascii="Times" w:eastAsia="宋体" w:hAnsi="Times" w:hint="eastAsia"/>
                <w:lang w:eastAsia="zh-CN"/>
              </w:rPr>
              <w:t>1</w:t>
            </w:r>
            <w:r w:rsidRPr="009F0C37">
              <w:rPr>
                <w:rFonts w:ascii="Times" w:eastAsia="宋体" w:hAnsi="Times" w:hint="eastAsia"/>
                <w:lang w:eastAsia="zh-CN"/>
              </w:rPr>
              <w:t>美元收盘，当日跌幅为</w:t>
            </w:r>
            <w:r w:rsidRPr="009F0C37">
              <w:rPr>
                <w:rFonts w:ascii="Times" w:eastAsia="宋体" w:hAnsi="Times" w:hint="eastAsia"/>
                <w:lang w:eastAsia="zh-CN"/>
              </w:rPr>
              <w:t>0</w:t>
            </w:r>
            <w:r w:rsidRPr="009F0C37">
              <w:rPr>
                <w:rFonts w:ascii="Times" w:eastAsia="宋体" w:hAnsi="Times"/>
                <w:lang w:eastAsia="zh-CN"/>
              </w:rPr>
              <w:t>.5%</w:t>
            </w:r>
            <w:r w:rsidRPr="009F0C37">
              <w:rPr>
                <w:rFonts w:ascii="Times" w:eastAsia="宋体" w:hAnsi="Times" w:hint="eastAsia"/>
                <w:lang w:eastAsia="zh-CN"/>
              </w:rPr>
              <w:t>。股票市场方面，韩国</w:t>
            </w:r>
            <w:r w:rsidRPr="009F0C37">
              <w:rPr>
                <w:rFonts w:ascii="Times" w:eastAsia="宋体" w:hAnsi="Times"/>
                <w:lang w:eastAsia="zh-CN"/>
              </w:rPr>
              <w:t>ETF</w:t>
            </w:r>
            <w:r w:rsidRPr="009F0C37">
              <w:rPr>
                <w:rFonts w:ascii="Times" w:eastAsia="宋体" w:hAnsi="Times"/>
                <w:lang w:eastAsia="zh-CN"/>
              </w:rPr>
              <w:t>（</w:t>
            </w:r>
            <w:r w:rsidRPr="009F0C37">
              <w:rPr>
                <w:rFonts w:ascii="Times" w:eastAsia="宋体" w:hAnsi="Times"/>
                <w:lang w:eastAsia="zh-CN"/>
              </w:rPr>
              <w:t>EWY</w:t>
            </w:r>
            <w:r w:rsidRPr="009F0C37">
              <w:rPr>
                <w:rFonts w:ascii="Times" w:eastAsia="宋体" w:hAnsi="Times"/>
                <w:lang w:eastAsia="zh-CN"/>
              </w:rPr>
              <w:t>）美股盘前</w:t>
            </w:r>
            <w:r w:rsidRPr="009F0C37">
              <w:rPr>
                <w:rFonts w:ascii="Times" w:eastAsia="宋体" w:hAnsi="Times" w:hint="eastAsia"/>
                <w:lang w:eastAsia="zh-CN"/>
              </w:rPr>
              <w:t>跌幅超过</w:t>
            </w:r>
            <w:r w:rsidRPr="009F0C37">
              <w:rPr>
                <w:rFonts w:ascii="Times" w:eastAsia="宋体" w:hAnsi="Times"/>
                <w:lang w:eastAsia="zh-CN"/>
              </w:rPr>
              <w:t>1.8%</w:t>
            </w:r>
            <w:r w:rsidRPr="009F0C37">
              <w:rPr>
                <w:rFonts w:ascii="Times" w:eastAsia="宋体" w:hAnsi="Times" w:hint="eastAsia"/>
                <w:lang w:eastAsia="zh-CN"/>
              </w:rPr>
              <w:t>，韩国综合指数当日下跌</w:t>
            </w:r>
            <w:r w:rsidRPr="009F0C37">
              <w:rPr>
                <w:rFonts w:ascii="Times" w:eastAsia="宋体" w:hAnsi="Times" w:hint="eastAsia"/>
                <w:lang w:eastAsia="zh-CN"/>
              </w:rPr>
              <w:t>1</w:t>
            </w:r>
            <w:r w:rsidRPr="009F0C37">
              <w:rPr>
                <w:rFonts w:ascii="Times" w:eastAsia="宋体" w:hAnsi="Times"/>
                <w:lang w:eastAsia="zh-CN"/>
              </w:rPr>
              <w:t>.4%</w:t>
            </w:r>
            <w:r w:rsidRPr="009F0C37">
              <w:rPr>
                <w:rFonts w:ascii="Times" w:eastAsia="宋体" w:hAnsi="Times" w:hint="eastAsia"/>
                <w:lang w:eastAsia="zh-CN"/>
              </w:rPr>
              <w:t>。为应对戒严令事件对金融市场的不利冲击，</w:t>
            </w:r>
            <w:r w:rsidRPr="009F0C37">
              <w:rPr>
                <w:rFonts w:ascii="Times" w:eastAsia="宋体" w:hAnsi="Times" w:hint="eastAsia"/>
                <w:lang w:eastAsia="zh-CN"/>
              </w:rPr>
              <w:t>4</w:t>
            </w:r>
            <w:r w:rsidRPr="009F0C37">
              <w:rPr>
                <w:rFonts w:ascii="Times" w:eastAsia="宋体" w:hAnsi="Times" w:hint="eastAsia"/>
                <w:lang w:eastAsia="zh-CN"/>
              </w:rPr>
              <w:t>日凌晨，韩国企划财政部长、央行行长和金融监管机构官员发表联合声明称，将采取一切可能的措施稳定金融和外汇市场，包括提供无限流动性；</w:t>
            </w:r>
            <w:r w:rsidRPr="009F0C37">
              <w:rPr>
                <w:rFonts w:ascii="Times" w:eastAsia="宋体" w:hAnsi="Times" w:hint="eastAsia"/>
                <w:lang w:eastAsia="zh-CN"/>
              </w:rPr>
              <w:t>4</w:t>
            </w:r>
            <w:r w:rsidRPr="009F0C37">
              <w:rPr>
                <w:rFonts w:ascii="Times" w:eastAsia="宋体" w:hAnsi="Times" w:hint="eastAsia"/>
                <w:lang w:eastAsia="zh-CN"/>
              </w:rPr>
              <w:t>日上午，韩国金融稳定委员会提出</w:t>
            </w:r>
            <w:r w:rsidRPr="009F0C37">
              <w:rPr>
                <w:rFonts w:ascii="Times" w:eastAsia="宋体" w:hAnsi="Times" w:hint="eastAsia"/>
                <w:lang w:eastAsia="zh-CN"/>
              </w:rPr>
              <w:t>1</w:t>
            </w:r>
            <w:r w:rsidRPr="009F0C37">
              <w:rPr>
                <w:rFonts w:ascii="Times" w:eastAsia="宋体" w:hAnsi="Times"/>
                <w:lang w:eastAsia="zh-CN"/>
              </w:rPr>
              <w:t>0</w:t>
            </w:r>
            <w:r w:rsidRPr="009F0C37">
              <w:rPr>
                <w:rFonts w:ascii="Times" w:eastAsia="宋体" w:hAnsi="Times" w:hint="eastAsia"/>
                <w:lang w:eastAsia="zh-CN"/>
              </w:rPr>
              <w:t>万亿韩元的股市稳定基金随时投入运行。韩国政坛的持续动荡使得金融市场持续下行。截</w:t>
            </w:r>
            <w:r w:rsidR="00642F6A">
              <w:rPr>
                <w:rFonts w:ascii="Times" w:eastAsia="宋体" w:hAnsi="Times" w:hint="eastAsia"/>
                <w:lang w:eastAsia="zh-CN"/>
              </w:rPr>
              <w:t>至</w:t>
            </w:r>
            <w:r w:rsidRPr="009F0C37">
              <w:rPr>
                <w:rFonts w:ascii="Times" w:eastAsia="宋体" w:hAnsi="Times" w:hint="eastAsia"/>
                <w:lang w:eastAsia="zh-CN"/>
              </w:rPr>
              <w:t>1</w:t>
            </w:r>
            <w:r w:rsidRPr="009F0C37">
              <w:rPr>
                <w:rFonts w:ascii="Times" w:eastAsia="宋体" w:hAnsi="Times"/>
                <w:lang w:eastAsia="zh-CN"/>
              </w:rPr>
              <w:t>2</w:t>
            </w:r>
            <w:r w:rsidRPr="009F0C37">
              <w:rPr>
                <w:rFonts w:ascii="Times" w:eastAsia="宋体" w:hAnsi="Times" w:hint="eastAsia"/>
                <w:lang w:eastAsia="zh-CN"/>
              </w:rPr>
              <w:t>月</w:t>
            </w:r>
            <w:r w:rsidRPr="009F0C37">
              <w:rPr>
                <w:rFonts w:ascii="Times" w:eastAsia="宋体" w:hAnsi="Times" w:hint="eastAsia"/>
                <w:lang w:eastAsia="zh-CN"/>
              </w:rPr>
              <w:t>3</w:t>
            </w:r>
            <w:r w:rsidRPr="009F0C37">
              <w:rPr>
                <w:rFonts w:ascii="Times" w:eastAsia="宋体" w:hAnsi="Times"/>
                <w:lang w:eastAsia="zh-CN"/>
              </w:rPr>
              <w:t>1</w:t>
            </w:r>
            <w:r w:rsidRPr="009F0C37">
              <w:rPr>
                <w:rFonts w:ascii="Times" w:eastAsia="宋体" w:hAnsi="Times" w:hint="eastAsia"/>
                <w:lang w:eastAsia="zh-CN"/>
              </w:rPr>
              <w:t>日，韩元汇率跌至</w:t>
            </w:r>
            <w:r w:rsidRPr="009F0C37">
              <w:rPr>
                <w:rFonts w:ascii="Times" w:eastAsia="宋体" w:hAnsi="Times"/>
                <w:lang w:eastAsia="zh-CN"/>
              </w:rPr>
              <w:t>1472.5</w:t>
            </w:r>
            <w:r w:rsidRPr="009F0C37">
              <w:rPr>
                <w:rFonts w:ascii="Times" w:eastAsia="宋体" w:hAnsi="Times" w:hint="eastAsia"/>
                <w:lang w:eastAsia="zh-CN"/>
              </w:rPr>
              <w:t>，较戒严令前贬值了</w:t>
            </w:r>
            <w:r w:rsidRPr="009F0C37">
              <w:rPr>
                <w:rFonts w:ascii="Times" w:eastAsia="宋体" w:hAnsi="Times" w:hint="eastAsia"/>
                <w:lang w:eastAsia="zh-CN"/>
              </w:rPr>
              <w:t>4</w:t>
            </w:r>
            <w:r w:rsidRPr="009F0C37">
              <w:rPr>
                <w:rFonts w:ascii="Times" w:eastAsia="宋体" w:hAnsi="Times"/>
                <w:lang w:eastAsia="zh-CN"/>
              </w:rPr>
              <w:t>.7%</w:t>
            </w:r>
            <w:r w:rsidRPr="009F0C37">
              <w:rPr>
                <w:rFonts w:ascii="Times" w:eastAsia="宋体" w:hAnsi="Times" w:hint="eastAsia"/>
                <w:lang w:eastAsia="zh-CN"/>
              </w:rPr>
              <w:t>；韩国股市从</w:t>
            </w:r>
            <w:r w:rsidRPr="009F0C37">
              <w:rPr>
                <w:rFonts w:ascii="Times" w:eastAsia="宋体" w:hAnsi="Times" w:hint="eastAsia"/>
                <w:lang w:eastAsia="zh-CN"/>
              </w:rPr>
              <w:t>3</w:t>
            </w:r>
            <w:r w:rsidRPr="009F0C37">
              <w:rPr>
                <w:rFonts w:ascii="Times" w:eastAsia="宋体" w:hAnsi="Times" w:hint="eastAsia"/>
                <w:lang w:eastAsia="zh-CN"/>
              </w:rPr>
              <w:t>日的</w:t>
            </w:r>
            <w:r w:rsidRPr="009F0C37">
              <w:rPr>
                <w:rFonts w:ascii="Times" w:eastAsia="宋体" w:hAnsi="Times" w:hint="eastAsia"/>
                <w:lang w:eastAsia="zh-CN"/>
              </w:rPr>
              <w:t>2</w:t>
            </w:r>
            <w:r w:rsidRPr="009F0C37">
              <w:rPr>
                <w:rFonts w:ascii="Times" w:eastAsia="宋体" w:hAnsi="Times"/>
                <w:lang w:eastAsia="zh-CN"/>
              </w:rPr>
              <w:t>500</w:t>
            </w:r>
            <w:r w:rsidRPr="009F0C37">
              <w:rPr>
                <w:rFonts w:ascii="Times" w:eastAsia="宋体" w:hAnsi="Times" w:hint="eastAsia"/>
                <w:lang w:eastAsia="zh-CN"/>
              </w:rPr>
              <w:t>点下跌至</w:t>
            </w:r>
            <w:r w:rsidRPr="009F0C37">
              <w:rPr>
                <w:rFonts w:ascii="Times" w:eastAsia="宋体" w:hAnsi="Times" w:hint="eastAsia"/>
                <w:lang w:eastAsia="zh-CN"/>
              </w:rPr>
              <w:t>2</w:t>
            </w:r>
            <w:r w:rsidRPr="009F0C37">
              <w:rPr>
                <w:rFonts w:ascii="Times" w:eastAsia="宋体" w:hAnsi="Times"/>
                <w:lang w:eastAsia="zh-CN"/>
              </w:rPr>
              <w:t>3499.99</w:t>
            </w:r>
            <w:r w:rsidRPr="009F0C37">
              <w:rPr>
                <w:rFonts w:ascii="Times" w:eastAsia="宋体" w:hAnsi="Times" w:hint="eastAsia"/>
                <w:lang w:eastAsia="zh-CN"/>
              </w:rPr>
              <w:t>点，下跌幅度为</w:t>
            </w:r>
            <w:r w:rsidRPr="009F0C37">
              <w:rPr>
                <w:rFonts w:ascii="Times" w:eastAsia="宋体" w:hAnsi="Times" w:hint="eastAsia"/>
                <w:lang w:eastAsia="zh-CN"/>
              </w:rPr>
              <w:t>4</w:t>
            </w:r>
            <w:r w:rsidRPr="009F0C37">
              <w:rPr>
                <w:rFonts w:ascii="Times" w:eastAsia="宋体" w:hAnsi="Times"/>
                <w:lang w:eastAsia="zh-CN"/>
              </w:rPr>
              <w:t>%</w:t>
            </w:r>
            <w:r w:rsidRPr="009F0C37">
              <w:rPr>
                <w:rFonts w:ascii="Times" w:eastAsia="宋体" w:hAnsi="Times" w:hint="eastAsia"/>
                <w:lang w:eastAsia="zh-CN"/>
              </w:rPr>
              <w:t>。</w:t>
            </w:r>
          </w:p>
        </w:tc>
      </w:tr>
      <w:tr w:rsidR="009F0C37" w:rsidRPr="009F0C37" w14:paraId="2FBDA358" w14:textId="77777777" w:rsidTr="009F0C37">
        <w:trPr>
          <w:gridAfter w:val="1"/>
          <w:wAfter w:w="392" w:type="dxa"/>
          <w:trHeight w:val="1001"/>
          <w:jc w:val="center"/>
        </w:trPr>
        <w:tc>
          <w:tcPr>
            <w:tcW w:w="2155" w:type="dxa"/>
            <w:gridSpan w:val="2"/>
            <w:vAlign w:val="center"/>
          </w:tcPr>
          <w:p w14:paraId="720B6F7D" w14:textId="77777777" w:rsidR="009F0C37" w:rsidRPr="009F0C37" w:rsidRDefault="009F0C37" w:rsidP="009F0C37">
            <w:pPr>
              <w:ind w:firstLineChars="0" w:firstLine="0"/>
              <w:rPr>
                <w:rFonts w:ascii="Times" w:eastAsia="宋体" w:hAnsi="Times"/>
                <w:b/>
                <w:bCs/>
                <w:lang w:eastAsia="zh-CN" w:bidi="ar-SA"/>
              </w:rPr>
            </w:pPr>
            <w:r w:rsidRPr="009F0C37">
              <w:rPr>
                <w:rFonts w:ascii="Times" w:eastAsia="宋体" w:hAnsi="Times" w:hint="eastAsia"/>
                <w:b/>
                <w:lang w:eastAsia="zh-CN" w:bidi="ar-SA"/>
              </w:rPr>
              <w:t>在美元强势和国际资金持续流出的背景下，韩国金融市场下行将持续一段时间。</w:t>
            </w:r>
          </w:p>
        </w:tc>
        <w:tc>
          <w:tcPr>
            <w:tcW w:w="301" w:type="dxa"/>
            <w:gridSpan w:val="3"/>
          </w:tcPr>
          <w:p w14:paraId="3BC0F211" w14:textId="77777777" w:rsidR="009F0C37" w:rsidRPr="009F0C37" w:rsidRDefault="009F0C37" w:rsidP="009F0C37">
            <w:pPr>
              <w:keepNext/>
              <w:keepLines/>
              <w:spacing w:before="260" w:after="260"/>
              <w:ind w:firstLine="480"/>
              <w:rPr>
                <w:rFonts w:ascii="Times" w:eastAsia="宋体" w:hAnsi="Times"/>
                <w:lang w:eastAsia="zh-CN"/>
              </w:rPr>
            </w:pPr>
          </w:p>
        </w:tc>
        <w:tc>
          <w:tcPr>
            <w:tcW w:w="7183" w:type="dxa"/>
            <w:gridSpan w:val="3"/>
          </w:tcPr>
          <w:p w14:paraId="74134021" w14:textId="58EEF451" w:rsidR="009F0C37" w:rsidRPr="009F0C37" w:rsidRDefault="009F0C37" w:rsidP="009F0C37">
            <w:pPr>
              <w:ind w:firstLine="482"/>
              <w:rPr>
                <w:rFonts w:ascii="Times" w:eastAsia="宋体" w:hAnsi="Times"/>
                <w:lang w:eastAsia="zh-CN"/>
              </w:rPr>
            </w:pPr>
            <w:r w:rsidRPr="009F0C37">
              <w:rPr>
                <w:rFonts w:ascii="Times" w:eastAsia="宋体" w:hAnsi="Times" w:hint="eastAsia"/>
                <w:b/>
                <w:bCs/>
                <w:lang w:eastAsia="zh-CN"/>
              </w:rPr>
              <w:t>在美元强势和国际资金持续流出的背景下，韩国金融市场下行将持续一段时间。</w:t>
            </w:r>
            <w:r w:rsidRPr="009F0C37">
              <w:rPr>
                <w:rFonts w:ascii="Times" w:eastAsia="宋体" w:hAnsi="Times" w:hint="eastAsia"/>
                <w:lang w:eastAsia="zh-CN"/>
              </w:rPr>
              <w:t>3</w:t>
            </w:r>
            <w:r w:rsidRPr="009F0C37">
              <w:rPr>
                <w:rFonts w:ascii="Times" w:eastAsia="宋体" w:hAnsi="Times" w:hint="eastAsia"/>
                <w:lang w:eastAsia="zh-CN"/>
              </w:rPr>
              <w:t>季度美元指数持续上涨，给整个亚洲货币市场带来较大贬值压力。截</w:t>
            </w:r>
            <w:r w:rsidR="00642F6A">
              <w:rPr>
                <w:rFonts w:ascii="Times" w:eastAsia="宋体" w:hAnsi="Times" w:hint="eastAsia"/>
                <w:lang w:eastAsia="zh-CN"/>
              </w:rPr>
              <w:t>至</w:t>
            </w:r>
            <w:r w:rsidRPr="009F0C37">
              <w:rPr>
                <w:rFonts w:ascii="Times" w:eastAsia="宋体" w:hAnsi="Times" w:hint="eastAsia"/>
                <w:lang w:eastAsia="zh-CN"/>
              </w:rPr>
              <w:t>1</w:t>
            </w:r>
            <w:r w:rsidRPr="009F0C37">
              <w:rPr>
                <w:rFonts w:ascii="Times" w:eastAsia="宋体" w:hAnsi="Times"/>
                <w:lang w:eastAsia="zh-CN"/>
              </w:rPr>
              <w:t>2</w:t>
            </w:r>
            <w:r w:rsidRPr="009F0C37">
              <w:rPr>
                <w:rFonts w:ascii="Times" w:eastAsia="宋体" w:hAnsi="Times" w:hint="eastAsia"/>
                <w:lang w:eastAsia="zh-CN"/>
              </w:rPr>
              <w:t>月</w:t>
            </w:r>
            <w:r w:rsidRPr="009F0C37">
              <w:rPr>
                <w:rFonts w:ascii="Times" w:eastAsia="宋体" w:hAnsi="Times"/>
                <w:lang w:eastAsia="zh-CN"/>
              </w:rPr>
              <w:t>31</w:t>
            </w:r>
            <w:r w:rsidRPr="009F0C37">
              <w:rPr>
                <w:rFonts w:ascii="Times" w:eastAsia="宋体" w:hAnsi="Times" w:hint="eastAsia"/>
                <w:lang w:eastAsia="zh-CN"/>
              </w:rPr>
              <w:t>日，美元指数相对</w:t>
            </w:r>
            <w:r w:rsidRPr="009F0C37">
              <w:rPr>
                <w:rFonts w:ascii="Times" w:eastAsia="宋体" w:hAnsi="Times" w:hint="eastAsia"/>
                <w:lang w:eastAsia="zh-CN"/>
              </w:rPr>
              <w:t>9</w:t>
            </w:r>
            <w:r w:rsidRPr="009F0C37">
              <w:rPr>
                <w:rFonts w:ascii="Times" w:eastAsia="宋体" w:hAnsi="Times" w:hint="eastAsia"/>
                <w:lang w:eastAsia="zh-CN"/>
              </w:rPr>
              <w:t>月底升值了</w:t>
            </w:r>
            <w:r w:rsidRPr="009F0C37">
              <w:rPr>
                <w:rFonts w:ascii="Times" w:eastAsia="宋体" w:hAnsi="Times"/>
                <w:lang w:eastAsia="zh-CN"/>
              </w:rPr>
              <w:t>7.4%</w:t>
            </w:r>
            <w:r w:rsidRPr="009F0C37">
              <w:rPr>
                <w:rFonts w:ascii="Times" w:eastAsia="宋体" w:hAnsi="Times" w:hint="eastAsia"/>
                <w:lang w:eastAsia="zh-CN"/>
              </w:rPr>
              <w:t>，同期韩元贬值幅度为</w:t>
            </w:r>
            <w:r w:rsidRPr="009F0C37">
              <w:rPr>
                <w:rFonts w:ascii="Times" w:eastAsia="宋体" w:hAnsi="Times"/>
                <w:lang w:eastAsia="zh-CN"/>
              </w:rPr>
              <w:t>11.2%</w:t>
            </w:r>
            <w:r w:rsidRPr="009F0C37">
              <w:rPr>
                <w:rFonts w:ascii="Times" w:eastAsia="宋体" w:hAnsi="Times" w:hint="eastAsia"/>
                <w:lang w:eastAsia="zh-CN"/>
              </w:rPr>
              <w:t>，超过东盟货币贬值幅度。</w:t>
            </w:r>
            <w:r w:rsidRPr="009F0C37">
              <w:rPr>
                <w:rFonts w:ascii="Times" w:eastAsia="宋体" w:hAnsi="Times" w:hint="eastAsia"/>
                <w:lang w:eastAsia="zh-CN"/>
              </w:rPr>
              <w:t>1</w:t>
            </w:r>
            <w:r w:rsidRPr="009F0C37">
              <w:rPr>
                <w:rFonts w:ascii="Times" w:eastAsia="宋体" w:hAnsi="Times"/>
                <w:lang w:eastAsia="zh-CN"/>
              </w:rPr>
              <w:t>1</w:t>
            </w:r>
            <w:r w:rsidRPr="009F0C37">
              <w:rPr>
                <w:rFonts w:ascii="Times" w:eastAsia="宋体" w:hAnsi="Times" w:hint="eastAsia"/>
                <w:lang w:eastAsia="zh-CN"/>
              </w:rPr>
              <w:t>月</w:t>
            </w:r>
            <w:r w:rsidRPr="009F0C37">
              <w:rPr>
                <w:rFonts w:ascii="Times" w:eastAsia="宋体" w:hAnsi="Times" w:hint="eastAsia"/>
                <w:lang w:eastAsia="zh-CN"/>
              </w:rPr>
              <w:t>1</w:t>
            </w:r>
            <w:r w:rsidRPr="009F0C37">
              <w:rPr>
                <w:rFonts w:ascii="Times" w:eastAsia="宋体" w:hAnsi="Times"/>
                <w:lang w:eastAsia="zh-CN"/>
              </w:rPr>
              <w:t>4</w:t>
            </w:r>
            <w:r w:rsidRPr="009F0C37">
              <w:rPr>
                <w:rFonts w:ascii="Times" w:eastAsia="宋体" w:hAnsi="Times" w:hint="eastAsia"/>
                <w:lang w:eastAsia="zh-CN"/>
              </w:rPr>
              <w:t>日，韩元对美元汇率日前失守</w:t>
            </w:r>
            <w:r w:rsidRPr="009F0C37">
              <w:rPr>
                <w:rFonts w:ascii="Times" w:eastAsia="宋体" w:hAnsi="Times"/>
                <w:lang w:eastAsia="zh-CN"/>
              </w:rPr>
              <w:t>1400</w:t>
            </w:r>
            <w:r w:rsidRPr="009F0C37">
              <w:rPr>
                <w:rFonts w:ascii="Times" w:eastAsia="宋体" w:hAnsi="Times" w:hint="eastAsia"/>
                <w:lang w:eastAsia="zh-CN"/>
              </w:rPr>
              <w:t>，韩国央行紧急宣布采取“口头干预”措施；戒严令事件后，韩国央行也表示将密切监控汇率波动，不过对具体的干预措施保持低调；</w:t>
            </w:r>
            <w:r w:rsidRPr="009F0C37">
              <w:rPr>
                <w:rFonts w:ascii="Times" w:eastAsia="宋体" w:hAnsi="Times" w:hint="eastAsia"/>
                <w:lang w:eastAsia="zh-CN"/>
              </w:rPr>
              <w:t>1</w:t>
            </w:r>
            <w:r w:rsidRPr="009F0C37">
              <w:rPr>
                <w:rFonts w:ascii="Times" w:eastAsia="宋体" w:hAnsi="Times"/>
                <w:lang w:eastAsia="zh-CN"/>
              </w:rPr>
              <w:t>2</w:t>
            </w:r>
            <w:r w:rsidRPr="009F0C37">
              <w:rPr>
                <w:rFonts w:ascii="Times" w:eastAsia="宋体" w:hAnsi="Times" w:hint="eastAsia"/>
                <w:lang w:eastAsia="zh-CN"/>
              </w:rPr>
              <w:t>月</w:t>
            </w:r>
            <w:r w:rsidRPr="009F0C37">
              <w:rPr>
                <w:rFonts w:ascii="Times" w:eastAsia="宋体" w:hAnsi="Times" w:hint="eastAsia"/>
                <w:lang w:eastAsia="zh-CN"/>
              </w:rPr>
              <w:t>2</w:t>
            </w:r>
            <w:r w:rsidRPr="009F0C37">
              <w:rPr>
                <w:rFonts w:ascii="Times" w:eastAsia="宋体" w:hAnsi="Times"/>
                <w:lang w:eastAsia="zh-CN"/>
              </w:rPr>
              <w:t>5</w:t>
            </w:r>
            <w:r w:rsidRPr="009F0C37">
              <w:rPr>
                <w:rFonts w:ascii="Times" w:eastAsia="宋体" w:hAnsi="Times" w:hint="eastAsia"/>
                <w:lang w:eastAsia="zh-CN"/>
              </w:rPr>
              <w:t>日，再次如果承诺有必要，将在适当的时候实施市场稳定措施。但是在未来一段时间内，美国经济韧性、特朗普上任后的政策都将给美元强势一定支撑，而韩国缺乏推动汇率止跌上行的动力，因此短期内韩元贬值压力将持续存在，高汇率难以回落。</w:t>
            </w:r>
          </w:p>
          <w:p w14:paraId="2190168B" w14:textId="77777777" w:rsidR="009F0C37" w:rsidRPr="009F0C37" w:rsidRDefault="009F0C37" w:rsidP="009F0C37">
            <w:pPr>
              <w:ind w:firstLine="480"/>
              <w:rPr>
                <w:rFonts w:ascii="Times" w:eastAsia="宋体" w:hAnsi="Times"/>
                <w:lang w:eastAsia="zh-CN"/>
              </w:rPr>
            </w:pPr>
            <w:r w:rsidRPr="009F0C37">
              <w:rPr>
                <w:rFonts w:ascii="Times" w:eastAsia="宋体" w:hAnsi="Times" w:hint="eastAsia"/>
                <w:lang w:eastAsia="zh-CN"/>
              </w:rPr>
              <w:t>3</w:t>
            </w:r>
            <w:r w:rsidRPr="009F0C37">
              <w:rPr>
                <w:rFonts w:ascii="Times" w:eastAsia="宋体" w:hAnsi="Times" w:hint="eastAsia"/>
                <w:lang w:eastAsia="zh-CN"/>
              </w:rPr>
              <w:t>季度以来，韩国股票市场就进入下行趋势，季度跌幅为</w:t>
            </w:r>
            <w:r w:rsidRPr="009F0C37">
              <w:rPr>
                <w:rFonts w:ascii="Times" w:eastAsia="宋体" w:hAnsi="Times" w:hint="eastAsia"/>
                <w:lang w:eastAsia="zh-CN"/>
              </w:rPr>
              <w:t>7</w:t>
            </w:r>
            <w:r w:rsidRPr="009F0C37">
              <w:rPr>
                <w:rFonts w:ascii="Times" w:eastAsia="宋体" w:hAnsi="Times"/>
                <w:lang w:eastAsia="zh-CN"/>
              </w:rPr>
              <w:t>.3%</w:t>
            </w:r>
            <w:r w:rsidRPr="009F0C37">
              <w:rPr>
                <w:rFonts w:ascii="Times" w:eastAsia="宋体" w:hAnsi="Times" w:hint="eastAsia"/>
                <w:lang w:eastAsia="zh-CN"/>
              </w:rPr>
              <w:t>；与东盟主要股市大幅上涨形成鲜明对比。</w:t>
            </w:r>
            <w:r w:rsidRPr="009F0C37">
              <w:rPr>
                <w:rFonts w:ascii="Times" w:eastAsia="宋体" w:hAnsi="Times" w:hint="eastAsia"/>
                <w:lang w:eastAsia="zh-CN"/>
              </w:rPr>
              <w:t>4</w:t>
            </w:r>
            <w:r w:rsidRPr="009F0C37">
              <w:rPr>
                <w:rFonts w:ascii="Times" w:eastAsia="宋体" w:hAnsi="Times" w:hint="eastAsia"/>
                <w:lang w:eastAsia="zh-CN"/>
              </w:rPr>
              <w:t>季度以来股</w:t>
            </w:r>
            <w:r w:rsidRPr="009F0C37">
              <w:rPr>
                <w:rFonts w:ascii="Times" w:eastAsia="宋体" w:hAnsi="Times" w:hint="eastAsia"/>
                <w:lang w:eastAsia="zh-CN"/>
              </w:rPr>
              <w:lastRenderedPageBreak/>
              <w:t>市继续下行，较</w:t>
            </w:r>
            <w:r w:rsidRPr="009F0C37">
              <w:rPr>
                <w:rFonts w:ascii="Times" w:eastAsia="宋体" w:hAnsi="Times" w:hint="eastAsia"/>
                <w:lang w:eastAsia="zh-CN"/>
              </w:rPr>
              <w:t>6</w:t>
            </w:r>
            <w:r w:rsidRPr="009F0C37">
              <w:rPr>
                <w:rFonts w:ascii="Times" w:eastAsia="宋体" w:hAnsi="Times" w:hint="eastAsia"/>
                <w:lang w:eastAsia="zh-CN"/>
              </w:rPr>
              <w:t>月底下跌幅度达到</w:t>
            </w:r>
            <w:r w:rsidRPr="009F0C37">
              <w:rPr>
                <w:rFonts w:ascii="Times" w:eastAsia="宋体" w:hAnsi="Times" w:hint="eastAsia"/>
                <w:lang w:eastAsia="zh-CN"/>
              </w:rPr>
              <w:t>1</w:t>
            </w:r>
            <w:r w:rsidRPr="009F0C37">
              <w:rPr>
                <w:rFonts w:ascii="Times" w:eastAsia="宋体" w:hAnsi="Times"/>
                <w:lang w:eastAsia="zh-CN"/>
              </w:rPr>
              <w:t>7%</w:t>
            </w:r>
            <w:r w:rsidRPr="009F0C37">
              <w:rPr>
                <w:rFonts w:ascii="Times" w:eastAsia="宋体" w:hAnsi="Times" w:hint="eastAsia"/>
                <w:lang w:eastAsia="zh-CN"/>
              </w:rPr>
              <w:t>。根据国际金融协会统计，</w:t>
            </w:r>
            <w:r w:rsidRPr="009F0C37">
              <w:rPr>
                <w:rFonts w:ascii="Times" w:eastAsia="宋体" w:hAnsi="Times"/>
                <w:lang w:eastAsia="zh-CN"/>
              </w:rPr>
              <w:t>8</w:t>
            </w:r>
            <w:r w:rsidRPr="009F0C37">
              <w:rPr>
                <w:rFonts w:ascii="Times" w:eastAsia="宋体" w:hAnsi="Times" w:hint="eastAsia"/>
                <w:lang w:eastAsia="zh-CN"/>
              </w:rPr>
              <w:t>月份以来，韩国股票市场持续呈现资金净流出，</w:t>
            </w:r>
            <w:r w:rsidRPr="009F0C37">
              <w:rPr>
                <w:rFonts w:ascii="Times" w:eastAsia="宋体" w:hAnsi="Times" w:hint="eastAsia"/>
                <w:lang w:eastAsia="zh-CN"/>
              </w:rPr>
              <w:t>9</w:t>
            </w:r>
            <w:r w:rsidRPr="009F0C37">
              <w:rPr>
                <w:rFonts w:ascii="Times" w:eastAsia="宋体" w:hAnsi="Times" w:hint="eastAsia"/>
                <w:lang w:eastAsia="zh-CN"/>
              </w:rPr>
              <w:t>月单月资金净流出就达到</w:t>
            </w:r>
            <w:r w:rsidRPr="009F0C37">
              <w:rPr>
                <w:rFonts w:ascii="Times" w:eastAsia="宋体" w:hAnsi="Times" w:hint="eastAsia"/>
                <w:lang w:eastAsia="zh-CN"/>
              </w:rPr>
              <w:t>5</w:t>
            </w:r>
            <w:r w:rsidRPr="009F0C37">
              <w:rPr>
                <w:rFonts w:ascii="Times" w:eastAsia="宋体" w:hAnsi="Times"/>
                <w:lang w:eastAsia="zh-CN"/>
              </w:rPr>
              <w:t>7.3</w:t>
            </w:r>
            <w:r w:rsidRPr="009F0C37">
              <w:rPr>
                <w:rFonts w:ascii="Times" w:eastAsia="宋体" w:hAnsi="Times" w:hint="eastAsia"/>
                <w:lang w:eastAsia="zh-CN"/>
              </w:rPr>
              <w:t>亿美元。自韩国总统尹锡悦宣布“紧急戒严”后，</w:t>
            </w:r>
            <w:r w:rsidRPr="009F0C37">
              <w:rPr>
                <w:rFonts w:ascii="Times" w:eastAsia="宋体" w:hAnsi="Times" w:hint="eastAsia"/>
                <w:lang w:eastAsia="zh-CN"/>
              </w:rPr>
              <w:t>12</w:t>
            </w:r>
            <w:r w:rsidRPr="009F0C37">
              <w:rPr>
                <w:rFonts w:ascii="Times" w:eastAsia="宋体" w:hAnsi="Times" w:hint="eastAsia"/>
                <w:lang w:eastAsia="zh-CN"/>
              </w:rPr>
              <w:t>月</w:t>
            </w:r>
            <w:r w:rsidRPr="009F0C37">
              <w:rPr>
                <w:rFonts w:ascii="Times" w:eastAsia="宋体" w:hAnsi="Times" w:hint="eastAsia"/>
                <w:lang w:eastAsia="zh-CN"/>
              </w:rPr>
              <w:t>4</w:t>
            </w:r>
            <w:r w:rsidRPr="009F0C37">
              <w:rPr>
                <w:rFonts w:ascii="Times" w:eastAsia="宋体" w:hAnsi="Times" w:hint="eastAsia"/>
                <w:lang w:eastAsia="zh-CN"/>
              </w:rPr>
              <w:t>日到</w:t>
            </w:r>
            <w:r w:rsidRPr="009F0C37">
              <w:rPr>
                <w:rFonts w:ascii="Times" w:eastAsia="宋体" w:hAnsi="Times" w:hint="eastAsia"/>
                <w:lang w:eastAsia="zh-CN"/>
              </w:rPr>
              <w:t>20</w:t>
            </w:r>
            <w:r w:rsidRPr="009F0C37">
              <w:rPr>
                <w:rFonts w:ascii="Times" w:eastAsia="宋体" w:hAnsi="Times" w:hint="eastAsia"/>
                <w:lang w:eastAsia="zh-CN"/>
              </w:rPr>
              <w:t>日，外国投资者在韩国股市的净卖出额超过</w:t>
            </w:r>
            <w:r w:rsidRPr="009F0C37">
              <w:rPr>
                <w:rFonts w:ascii="Times" w:eastAsia="宋体" w:hAnsi="Times" w:hint="eastAsia"/>
                <w:lang w:eastAsia="zh-CN"/>
              </w:rPr>
              <w:t>3</w:t>
            </w:r>
            <w:r w:rsidRPr="009F0C37">
              <w:rPr>
                <w:rFonts w:ascii="Times" w:eastAsia="宋体" w:hAnsi="Times" w:hint="eastAsia"/>
                <w:lang w:eastAsia="zh-CN"/>
              </w:rPr>
              <w:t>万亿韩元。由于外国投资者在韩国股市中的比重较高，国际资金持续流出使得韩国股市下行压力巨大。政坛动荡可能会对韩国信用等级带来影响，这将进一步激化韩国资产价格下跌和国际资本流出风险，给韩元汇率和股市带来下行压力。</w:t>
            </w:r>
          </w:p>
        </w:tc>
      </w:tr>
      <w:tr w:rsidR="009F0C37" w:rsidRPr="009F0C37" w14:paraId="14DFA6A2" w14:textId="77777777" w:rsidTr="009F0C37">
        <w:trPr>
          <w:gridAfter w:val="1"/>
          <w:wAfter w:w="392" w:type="dxa"/>
          <w:trHeight w:val="1001"/>
          <w:jc w:val="center"/>
        </w:trPr>
        <w:tc>
          <w:tcPr>
            <w:tcW w:w="2155" w:type="dxa"/>
            <w:gridSpan w:val="2"/>
            <w:vAlign w:val="center"/>
          </w:tcPr>
          <w:p w14:paraId="19304070" w14:textId="77777777" w:rsidR="009F0C37" w:rsidRPr="009F0C37" w:rsidRDefault="009F0C37" w:rsidP="009F0C37">
            <w:pPr>
              <w:ind w:firstLineChars="0" w:firstLine="0"/>
              <w:rPr>
                <w:rFonts w:ascii="Times" w:eastAsia="宋体" w:hAnsi="Times"/>
                <w:b/>
                <w:bCs/>
                <w:lang w:eastAsia="zh-CN" w:bidi="ar-SA"/>
              </w:rPr>
            </w:pPr>
            <w:r w:rsidRPr="009F0C37">
              <w:rPr>
                <w:rFonts w:ascii="Times" w:eastAsia="宋体" w:hAnsi="Times" w:hint="eastAsia"/>
                <w:b/>
                <w:lang w:eastAsia="zh-CN" w:bidi="ar-SA"/>
              </w:rPr>
              <w:lastRenderedPageBreak/>
              <w:t>韩国政坛动荡短期拖累韩国经济。</w:t>
            </w:r>
          </w:p>
        </w:tc>
        <w:tc>
          <w:tcPr>
            <w:tcW w:w="301" w:type="dxa"/>
            <w:gridSpan w:val="3"/>
          </w:tcPr>
          <w:p w14:paraId="6B24B784" w14:textId="77777777" w:rsidR="009F0C37" w:rsidRPr="009F0C37" w:rsidRDefault="009F0C37" w:rsidP="009F0C37">
            <w:pPr>
              <w:keepNext/>
              <w:keepLines/>
              <w:spacing w:before="260" w:after="260"/>
              <w:ind w:firstLine="480"/>
              <w:rPr>
                <w:rFonts w:ascii="Times" w:eastAsia="宋体" w:hAnsi="Times"/>
                <w:lang w:eastAsia="zh-CN"/>
              </w:rPr>
            </w:pPr>
          </w:p>
        </w:tc>
        <w:tc>
          <w:tcPr>
            <w:tcW w:w="7183" w:type="dxa"/>
            <w:gridSpan w:val="3"/>
          </w:tcPr>
          <w:p w14:paraId="7AA130F2" w14:textId="77777777" w:rsidR="009F0C37" w:rsidRPr="009F0C37" w:rsidRDefault="009F0C37" w:rsidP="009F0C37">
            <w:pPr>
              <w:ind w:firstLine="482"/>
              <w:rPr>
                <w:rFonts w:ascii="Times" w:eastAsia="宋体" w:hAnsi="Times"/>
                <w:lang w:eastAsia="zh-CN"/>
              </w:rPr>
            </w:pPr>
            <w:r w:rsidRPr="009F0C37">
              <w:rPr>
                <w:rFonts w:ascii="Times" w:eastAsia="宋体" w:hAnsi="Times" w:hint="eastAsia"/>
                <w:b/>
                <w:bCs/>
                <w:lang w:eastAsia="zh-CN"/>
              </w:rPr>
              <w:t>短期政坛动荡下金融市场下行严重拖累韩国经济</w:t>
            </w:r>
            <w:r w:rsidRPr="009F0C37">
              <w:rPr>
                <w:rFonts w:ascii="Times" w:eastAsia="宋体" w:hAnsi="Times" w:hint="eastAsia"/>
                <w:lang w:eastAsia="zh-CN"/>
              </w:rPr>
              <w:t>。汇率贬值将导致进口物价上涨，加剧国内通胀压力；韩国央行警告，高汇率可能通过进口物价路径进一步推高消费者物价，影响经济稳定。股票市场下行不利于企业运营，由此带来的财富减少效应，也不利于国内消费和投资，</w:t>
            </w:r>
            <w:r w:rsidRPr="009F0C37">
              <w:rPr>
                <w:rFonts w:ascii="Times" w:eastAsia="宋体" w:hAnsi="Times" w:hint="eastAsia"/>
                <w:lang w:eastAsia="zh-CN"/>
              </w:rPr>
              <w:t>1</w:t>
            </w:r>
            <w:r w:rsidRPr="009F0C37">
              <w:rPr>
                <w:rFonts w:ascii="Times" w:eastAsia="宋体" w:hAnsi="Times"/>
                <w:lang w:eastAsia="zh-CN"/>
              </w:rPr>
              <w:t>2</w:t>
            </w:r>
            <w:r w:rsidRPr="009F0C37">
              <w:rPr>
                <w:rFonts w:ascii="Times" w:eastAsia="宋体" w:hAnsi="Times" w:hint="eastAsia"/>
                <w:lang w:eastAsia="zh-CN"/>
              </w:rPr>
              <w:t>月韩国制造业</w:t>
            </w:r>
            <w:r w:rsidRPr="009F0C37">
              <w:rPr>
                <w:rFonts w:ascii="Times" w:eastAsia="宋体" w:hAnsi="Times"/>
                <w:lang w:eastAsia="zh-CN"/>
              </w:rPr>
              <w:t>PMI</w:t>
            </w:r>
            <w:r w:rsidRPr="009F0C37">
              <w:rPr>
                <w:rFonts w:ascii="Times" w:eastAsia="宋体" w:hAnsi="Times" w:hint="eastAsia"/>
                <w:lang w:eastAsia="zh-CN"/>
              </w:rPr>
              <w:t>再次回落至荣枯线以下。进一步，内需长期低迷已使低收入群体承受较大压力，汇率波动和股市下行严重抑制消费信心。</w:t>
            </w:r>
            <w:r w:rsidRPr="009F0C37">
              <w:rPr>
                <w:rFonts w:ascii="Times" w:eastAsia="宋体" w:hAnsi="Times" w:hint="eastAsia"/>
                <w:lang w:eastAsia="zh-CN"/>
              </w:rPr>
              <w:t>1</w:t>
            </w:r>
            <w:r w:rsidRPr="009F0C37">
              <w:rPr>
                <w:rFonts w:ascii="Times" w:eastAsia="宋体" w:hAnsi="Times"/>
                <w:lang w:eastAsia="zh-CN"/>
              </w:rPr>
              <w:t>2</w:t>
            </w:r>
            <w:r w:rsidRPr="009F0C37">
              <w:rPr>
                <w:rFonts w:ascii="Times" w:eastAsia="宋体" w:hAnsi="Times" w:hint="eastAsia"/>
                <w:lang w:eastAsia="zh-CN"/>
              </w:rPr>
              <w:t>月韩国综合消费者信心指数从</w:t>
            </w:r>
            <w:r w:rsidRPr="009F0C37">
              <w:rPr>
                <w:rFonts w:ascii="Times" w:eastAsia="宋体" w:hAnsi="Times" w:hint="eastAsia"/>
                <w:lang w:eastAsia="zh-CN"/>
              </w:rPr>
              <w:t>1</w:t>
            </w:r>
            <w:r w:rsidRPr="009F0C37">
              <w:rPr>
                <w:rFonts w:ascii="Times" w:eastAsia="宋体" w:hAnsi="Times"/>
                <w:lang w:eastAsia="zh-CN"/>
              </w:rPr>
              <w:t>1</w:t>
            </w:r>
            <w:r w:rsidRPr="009F0C37">
              <w:rPr>
                <w:rFonts w:ascii="Times" w:eastAsia="宋体" w:hAnsi="Times" w:hint="eastAsia"/>
                <w:lang w:eastAsia="zh-CN"/>
              </w:rPr>
              <w:t>月份的</w:t>
            </w:r>
            <w:r w:rsidRPr="009F0C37">
              <w:rPr>
                <w:rFonts w:ascii="Times" w:eastAsia="宋体" w:hAnsi="Times" w:hint="eastAsia"/>
                <w:lang w:eastAsia="zh-CN"/>
              </w:rPr>
              <w:t>1</w:t>
            </w:r>
            <w:r w:rsidRPr="009F0C37">
              <w:rPr>
                <w:rFonts w:ascii="Times" w:eastAsia="宋体" w:hAnsi="Times"/>
                <w:lang w:eastAsia="zh-CN"/>
              </w:rPr>
              <w:t>00.7</w:t>
            </w:r>
            <w:r w:rsidRPr="009F0C37">
              <w:rPr>
                <w:rFonts w:ascii="Times" w:eastAsia="宋体" w:hAnsi="Times" w:hint="eastAsia"/>
                <w:lang w:eastAsia="zh-CN"/>
              </w:rPr>
              <w:t>下跌至</w:t>
            </w:r>
            <w:r w:rsidRPr="009F0C37">
              <w:rPr>
                <w:rFonts w:ascii="Times" w:eastAsia="宋体" w:hAnsi="Times" w:hint="eastAsia"/>
                <w:lang w:eastAsia="zh-CN"/>
              </w:rPr>
              <w:t>8</w:t>
            </w:r>
            <w:r w:rsidRPr="009F0C37">
              <w:rPr>
                <w:rFonts w:ascii="Times" w:eastAsia="宋体" w:hAnsi="Times"/>
                <w:lang w:eastAsia="zh-CN"/>
              </w:rPr>
              <w:t>8.4</w:t>
            </w:r>
            <w:r w:rsidRPr="009F0C37">
              <w:rPr>
                <w:rFonts w:ascii="Times" w:eastAsia="宋体" w:hAnsi="Times" w:hint="eastAsia"/>
                <w:lang w:eastAsia="zh-CN"/>
              </w:rPr>
              <w:t>。韩国财政部最新声明中表示，</w:t>
            </w:r>
            <w:r w:rsidRPr="009F0C37">
              <w:rPr>
                <w:rFonts w:ascii="Times" w:eastAsia="宋体" w:hAnsi="Times" w:hint="eastAsia"/>
                <w:lang w:eastAsia="zh-CN"/>
              </w:rPr>
              <w:t>2024</w:t>
            </w:r>
            <w:r w:rsidRPr="009F0C37">
              <w:rPr>
                <w:rFonts w:ascii="Times" w:eastAsia="宋体" w:hAnsi="Times" w:hint="eastAsia"/>
                <w:lang w:eastAsia="zh-CN"/>
              </w:rPr>
              <w:t>年和</w:t>
            </w:r>
            <w:r w:rsidRPr="009F0C37">
              <w:rPr>
                <w:rFonts w:ascii="Times" w:eastAsia="宋体" w:hAnsi="Times" w:hint="eastAsia"/>
                <w:lang w:eastAsia="zh-CN"/>
              </w:rPr>
              <w:t>2</w:t>
            </w:r>
            <w:r w:rsidRPr="009F0C37">
              <w:rPr>
                <w:rFonts w:ascii="Times" w:eastAsia="宋体" w:hAnsi="Times"/>
                <w:lang w:eastAsia="zh-CN"/>
              </w:rPr>
              <w:t>025</w:t>
            </w:r>
            <w:r w:rsidRPr="009F0C37">
              <w:rPr>
                <w:rFonts w:ascii="Times" w:eastAsia="宋体" w:hAnsi="Times" w:hint="eastAsia"/>
                <w:lang w:eastAsia="zh-CN"/>
              </w:rPr>
              <w:t>年韩国经济增速分别为</w:t>
            </w:r>
            <w:r w:rsidRPr="009F0C37">
              <w:rPr>
                <w:rFonts w:ascii="Times" w:eastAsia="宋体" w:hAnsi="Times" w:hint="eastAsia"/>
                <w:lang w:eastAsia="zh-CN"/>
              </w:rPr>
              <w:t>2.1%</w:t>
            </w:r>
            <w:r w:rsidRPr="009F0C37">
              <w:rPr>
                <w:rFonts w:ascii="Times" w:eastAsia="宋体" w:hAnsi="Times" w:hint="eastAsia"/>
                <w:lang w:eastAsia="zh-CN"/>
              </w:rPr>
              <w:t>和</w:t>
            </w:r>
            <w:r w:rsidRPr="009F0C37">
              <w:rPr>
                <w:rFonts w:ascii="Times" w:eastAsia="宋体" w:hAnsi="Times" w:hint="eastAsia"/>
                <w:lang w:eastAsia="zh-CN"/>
              </w:rPr>
              <w:t>1.8%</w:t>
            </w:r>
            <w:r w:rsidRPr="009F0C37">
              <w:rPr>
                <w:rFonts w:ascii="Times" w:eastAsia="宋体" w:hAnsi="Times" w:hint="eastAsia"/>
                <w:lang w:eastAsia="zh-CN"/>
              </w:rPr>
              <w:t>，比</w:t>
            </w:r>
            <w:r w:rsidRPr="009F0C37">
              <w:rPr>
                <w:rFonts w:ascii="Times" w:eastAsia="宋体" w:hAnsi="Times" w:hint="eastAsia"/>
                <w:lang w:eastAsia="zh-CN"/>
              </w:rPr>
              <w:t>7</w:t>
            </w:r>
            <w:r w:rsidRPr="009F0C37">
              <w:rPr>
                <w:rFonts w:ascii="Times" w:eastAsia="宋体" w:hAnsi="Times" w:hint="eastAsia"/>
                <w:lang w:eastAsia="zh-CN"/>
              </w:rPr>
              <w:t>月份的预测分别调降了</w:t>
            </w:r>
            <w:r w:rsidRPr="009F0C37">
              <w:rPr>
                <w:rFonts w:ascii="Times" w:eastAsia="宋体" w:hAnsi="Times" w:hint="eastAsia"/>
                <w:lang w:eastAsia="zh-CN"/>
              </w:rPr>
              <w:t>0</w:t>
            </w:r>
            <w:r w:rsidRPr="009F0C37">
              <w:rPr>
                <w:rFonts w:ascii="Times" w:eastAsia="宋体" w:hAnsi="Times"/>
                <w:lang w:eastAsia="zh-CN"/>
              </w:rPr>
              <w:t>.1</w:t>
            </w:r>
            <w:r w:rsidRPr="009F0C37">
              <w:rPr>
                <w:rFonts w:ascii="Times" w:eastAsia="宋体" w:hAnsi="Times" w:hint="eastAsia"/>
                <w:lang w:eastAsia="zh-CN"/>
              </w:rPr>
              <w:t>和</w:t>
            </w:r>
            <w:r w:rsidRPr="009F0C37">
              <w:rPr>
                <w:rFonts w:ascii="Times" w:eastAsia="宋体" w:hAnsi="Times" w:hint="eastAsia"/>
                <w:lang w:eastAsia="zh-CN"/>
              </w:rPr>
              <w:t>0</w:t>
            </w:r>
            <w:r w:rsidRPr="009F0C37">
              <w:rPr>
                <w:rFonts w:ascii="Times" w:eastAsia="宋体" w:hAnsi="Times"/>
                <w:lang w:eastAsia="zh-CN"/>
              </w:rPr>
              <w:t>.8</w:t>
            </w:r>
            <w:r w:rsidRPr="009F0C37">
              <w:rPr>
                <w:rFonts w:ascii="Times" w:eastAsia="宋体" w:hAnsi="Times" w:hint="eastAsia"/>
                <w:lang w:eastAsia="zh-CN"/>
              </w:rPr>
              <w:t>个百分点；比</w:t>
            </w:r>
            <w:r w:rsidRPr="009F0C37">
              <w:rPr>
                <w:rFonts w:ascii="Times" w:eastAsia="宋体" w:hAnsi="Times" w:hint="eastAsia"/>
                <w:lang w:eastAsia="zh-CN"/>
              </w:rPr>
              <w:t>I</w:t>
            </w:r>
            <w:r w:rsidRPr="009F0C37">
              <w:rPr>
                <w:rFonts w:ascii="Times" w:eastAsia="宋体" w:hAnsi="Times"/>
                <w:lang w:eastAsia="zh-CN"/>
              </w:rPr>
              <w:t>MF10</w:t>
            </w:r>
            <w:r w:rsidRPr="009F0C37">
              <w:rPr>
                <w:rFonts w:ascii="Times" w:eastAsia="宋体" w:hAnsi="Times" w:hint="eastAsia"/>
                <w:lang w:eastAsia="zh-CN"/>
              </w:rPr>
              <w:t>月份预测调降了</w:t>
            </w:r>
            <w:r w:rsidRPr="009F0C37">
              <w:rPr>
                <w:rFonts w:ascii="Times" w:eastAsia="宋体" w:hAnsi="Times" w:hint="eastAsia"/>
                <w:lang w:eastAsia="zh-CN"/>
              </w:rPr>
              <w:t>0</w:t>
            </w:r>
            <w:r w:rsidRPr="009F0C37">
              <w:rPr>
                <w:rFonts w:ascii="Times" w:eastAsia="宋体" w:hAnsi="Times"/>
                <w:lang w:eastAsia="zh-CN"/>
              </w:rPr>
              <w:t>.4</w:t>
            </w:r>
            <w:r w:rsidRPr="009F0C37">
              <w:rPr>
                <w:rFonts w:ascii="Times" w:eastAsia="宋体" w:hAnsi="Times" w:hint="eastAsia"/>
                <w:lang w:eastAsia="zh-CN"/>
              </w:rPr>
              <w:t>和</w:t>
            </w:r>
            <w:r w:rsidRPr="009F0C37">
              <w:rPr>
                <w:rFonts w:ascii="Times" w:eastAsia="宋体" w:hAnsi="Times" w:hint="eastAsia"/>
                <w:lang w:eastAsia="zh-CN"/>
              </w:rPr>
              <w:t>0</w:t>
            </w:r>
            <w:r w:rsidRPr="009F0C37">
              <w:rPr>
                <w:rFonts w:ascii="Times" w:eastAsia="宋体" w:hAnsi="Times"/>
                <w:lang w:eastAsia="zh-CN"/>
              </w:rPr>
              <w:t>.7</w:t>
            </w:r>
            <w:r w:rsidRPr="009F0C37">
              <w:rPr>
                <w:rFonts w:ascii="Times" w:eastAsia="宋体" w:hAnsi="Times" w:hint="eastAsia"/>
                <w:lang w:eastAsia="zh-CN"/>
              </w:rPr>
              <w:t>个百分点。由于政治不确定性和其他下行风险增加，</w:t>
            </w:r>
            <w:r w:rsidRPr="009F0C37">
              <w:rPr>
                <w:rFonts w:ascii="Times" w:eastAsia="宋体" w:hAnsi="Times" w:hint="eastAsia"/>
                <w:lang w:eastAsia="zh-CN"/>
              </w:rPr>
              <w:t>12</w:t>
            </w:r>
            <w:r w:rsidRPr="009F0C37">
              <w:rPr>
                <w:rFonts w:ascii="Times" w:eastAsia="宋体" w:hAnsi="Times" w:hint="eastAsia"/>
                <w:lang w:eastAsia="zh-CN"/>
              </w:rPr>
              <w:t>月</w:t>
            </w:r>
            <w:r w:rsidRPr="009F0C37">
              <w:rPr>
                <w:rFonts w:ascii="Times" w:eastAsia="宋体" w:hAnsi="Times" w:hint="eastAsia"/>
                <w:lang w:eastAsia="zh-CN"/>
              </w:rPr>
              <w:t>25</w:t>
            </w:r>
            <w:r w:rsidRPr="009F0C37">
              <w:rPr>
                <w:rFonts w:ascii="Times" w:eastAsia="宋体" w:hAnsi="Times" w:hint="eastAsia"/>
                <w:lang w:eastAsia="zh-CN"/>
              </w:rPr>
              <w:t>日韩国央行表示，计划明年进一步下调基准利率。韩国国内政治动荡和美国即将上任的总统特朗普的预期政策变化，韩国经济在未来一年将面临较大挑战。</w:t>
            </w:r>
          </w:p>
        </w:tc>
      </w:tr>
      <w:tr w:rsidR="009F0C37" w:rsidRPr="009F0C37" w14:paraId="21D988FD" w14:textId="77777777" w:rsidTr="009F0C37">
        <w:trPr>
          <w:gridAfter w:val="1"/>
          <w:wAfter w:w="392" w:type="dxa"/>
          <w:trHeight w:val="1001"/>
          <w:jc w:val="center"/>
        </w:trPr>
        <w:tc>
          <w:tcPr>
            <w:tcW w:w="2155" w:type="dxa"/>
            <w:gridSpan w:val="2"/>
            <w:vAlign w:val="center"/>
          </w:tcPr>
          <w:p w14:paraId="63084BEC" w14:textId="77777777" w:rsidR="009F0C37" w:rsidRPr="009F0C37" w:rsidRDefault="009F0C37" w:rsidP="009F0C37">
            <w:pPr>
              <w:ind w:firstLineChars="0" w:firstLine="0"/>
              <w:rPr>
                <w:rFonts w:ascii="Times" w:eastAsia="宋体" w:hAnsi="Times"/>
                <w:b/>
                <w:lang w:eastAsia="zh-CN" w:bidi="ar-SA"/>
              </w:rPr>
            </w:pPr>
            <w:r w:rsidRPr="009F0C37">
              <w:rPr>
                <w:rFonts w:ascii="Times" w:eastAsia="宋体" w:hAnsi="Times" w:hint="eastAsia"/>
                <w:b/>
                <w:lang w:eastAsia="zh-CN" w:bidi="ar-SA"/>
              </w:rPr>
              <w:t>政坛动荡将对韩国经济带来长期负面影响。</w:t>
            </w:r>
          </w:p>
        </w:tc>
        <w:tc>
          <w:tcPr>
            <w:tcW w:w="301" w:type="dxa"/>
            <w:gridSpan w:val="3"/>
          </w:tcPr>
          <w:p w14:paraId="505589FB" w14:textId="77777777" w:rsidR="009F0C37" w:rsidRPr="009F0C37" w:rsidRDefault="009F0C37" w:rsidP="009F0C37">
            <w:pPr>
              <w:keepNext/>
              <w:keepLines/>
              <w:spacing w:before="260" w:after="260"/>
              <w:ind w:firstLine="480"/>
              <w:rPr>
                <w:rFonts w:ascii="Times" w:eastAsia="宋体" w:hAnsi="Times"/>
                <w:lang w:eastAsia="zh-CN"/>
              </w:rPr>
            </w:pPr>
          </w:p>
        </w:tc>
        <w:tc>
          <w:tcPr>
            <w:tcW w:w="7183" w:type="dxa"/>
            <w:gridSpan w:val="3"/>
          </w:tcPr>
          <w:p w14:paraId="7C9B3593" w14:textId="77777777" w:rsidR="009F0C37" w:rsidRPr="009F0C37" w:rsidRDefault="009F0C37" w:rsidP="009F0C37">
            <w:pPr>
              <w:ind w:firstLine="482"/>
              <w:rPr>
                <w:rFonts w:ascii="Times" w:eastAsia="宋体" w:hAnsi="Times"/>
                <w:lang w:eastAsia="zh-CN"/>
              </w:rPr>
            </w:pPr>
            <w:r w:rsidRPr="009F0C37">
              <w:rPr>
                <w:rFonts w:ascii="Times" w:eastAsia="宋体" w:hAnsi="Times" w:hint="eastAsia"/>
                <w:b/>
                <w:bCs/>
                <w:lang w:eastAsia="zh-CN"/>
              </w:rPr>
              <w:t>政坛动荡将对韩国经济带来长期负面影响</w:t>
            </w:r>
            <w:r w:rsidRPr="009F0C37">
              <w:rPr>
                <w:rFonts w:ascii="Times" w:eastAsia="宋体" w:hAnsi="Times" w:hint="eastAsia"/>
                <w:lang w:eastAsia="zh-CN"/>
              </w:rPr>
              <w:t>。一是政坛动荡将影响国际投资和韩国产品出口竞争力。半导体、电动车等相关产品出口对韩国经济十分重要，韩国通过吸引国外投资加大相关产业布局，以对抗中国等新兴国家的竞争压力。政坛动荡将增加国际投资风险和政府对相关产业的支持的不确定性，这</w:t>
            </w:r>
            <w:r w:rsidRPr="009F0C37">
              <w:rPr>
                <w:rFonts w:ascii="Times" w:eastAsia="宋体" w:hAnsi="Times" w:hint="eastAsia"/>
                <w:lang w:eastAsia="zh-CN"/>
              </w:rPr>
              <w:lastRenderedPageBreak/>
              <w:t>将不利于韩国在半导体等产业的出口竞争力，减少其对外出口。二是政坛动荡将持续拖累国内投资和消费。国内高利率和房地产市场下行持续压缩企业利润和居民消费，政坛动荡将进一步削弱企业投资积极性，由此带来政府财政不稳定使得本就低迷的国内消费和增长更是雪上加霜。</w:t>
            </w:r>
          </w:p>
          <w:p w14:paraId="69634EF9" w14:textId="77777777" w:rsidR="009F0C37" w:rsidRPr="009F0C37" w:rsidRDefault="009F0C37" w:rsidP="009F0C37">
            <w:pPr>
              <w:ind w:firstLine="480"/>
              <w:rPr>
                <w:rFonts w:ascii="Times" w:eastAsia="宋体" w:hAnsi="Times"/>
                <w:lang w:eastAsia="zh-CN"/>
              </w:rPr>
            </w:pPr>
            <w:r w:rsidRPr="009F0C37">
              <w:rPr>
                <w:rFonts w:ascii="Times" w:eastAsia="宋体" w:hAnsi="Times" w:hint="eastAsia"/>
                <w:lang w:eastAsia="zh-CN"/>
              </w:rPr>
              <w:t>政坛持续动荡反映的韩国朝野巨大政治分歧很难在短期解决，韩国陷入了几十年来最严重的宪政危机，严重破坏了投资者的情绪。后续或将激化本就紧张的朝韩局势；这不仅不利于韩国经济，还将大幅加剧整个东亚区域产业链风险。</w:t>
            </w:r>
          </w:p>
        </w:tc>
      </w:tr>
      <w:tr w:rsidR="009F0C37" w:rsidRPr="009F0C37" w14:paraId="3BEDDC83" w14:textId="77777777" w:rsidTr="009F0C37">
        <w:trPr>
          <w:gridAfter w:val="1"/>
          <w:wAfter w:w="392" w:type="dxa"/>
          <w:trHeight w:val="1001"/>
          <w:jc w:val="center"/>
        </w:trPr>
        <w:tc>
          <w:tcPr>
            <w:tcW w:w="2155" w:type="dxa"/>
            <w:gridSpan w:val="2"/>
            <w:vAlign w:val="center"/>
          </w:tcPr>
          <w:p w14:paraId="31692648" w14:textId="77777777" w:rsidR="009F0C37" w:rsidRPr="009F0C37" w:rsidRDefault="009F0C37" w:rsidP="009F0C37">
            <w:pPr>
              <w:ind w:firstLineChars="0" w:firstLine="0"/>
              <w:rPr>
                <w:rFonts w:ascii="Times" w:eastAsia="宋体" w:hAnsi="Times"/>
                <w:b/>
                <w:lang w:eastAsia="zh-CN" w:bidi="ar-SA"/>
              </w:rPr>
            </w:pPr>
            <w:r w:rsidRPr="009F0C37">
              <w:rPr>
                <w:rFonts w:ascii="Times" w:eastAsia="宋体" w:hAnsi="Times" w:hint="eastAsia"/>
                <w:b/>
                <w:lang w:eastAsia="zh-CN" w:bidi="ar-SA"/>
              </w:rPr>
              <w:lastRenderedPageBreak/>
              <w:t>东盟六国和韩国在</w:t>
            </w:r>
            <w:r w:rsidRPr="009F0C37">
              <w:rPr>
                <w:rFonts w:ascii="Times" w:eastAsia="宋体" w:hAnsi="Times" w:hint="eastAsia"/>
                <w:b/>
                <w:lang w:eastAsia="zh-CN" w:bidi="ar-SA"/>
              </w:rPr>
              <w:t>2024</w:t>
            </w:r>
            <w:r w:rsidRPr="009F0C37">
              <w:rPr>
                <w:rFonts w:ascii="Times" w:eastAsia="宋体" w:hAnsi="Times" w:hint="eastAsia"/>
                <w:b/>
                <w:lang w:eastAsia="zh-CN" w:bidi="ar-SA"/>
              </w:rPr>
              <w:t>年下半年经济景气程度有所放缓，该趋势将在</w:t>
            </w:r>
            <w:r w:rsidRPr="009F0C37">
              <w:rPr>
                <w:rFonts w:ascii="Times" w:eastAsia="宋体" w:hAnsi="Times" w:hint="eastAsia"/>
                <w:b/>
                <w:lang w:eastAsia="zh-CN" w:bidi="ar-SA"/>
              </w:rPr>
              <w:t>2025</w:t>
            </w:r>
            <w:r w:rsidRPr="009F0C37">
              <w:rPr>
                <w:rFonts w:ascii="Times" w:eastAsia="宋体" w:hAnsi="Times" w:hint="eastAsia"/>
                <w:b/>
                <w:lang w:eastAsia="zh-CN" w:bidi="ar-SA"/>
              </w:rPr>
              <w:t>年延续。</w:t>
            </w:r>
          </w:p>
        </w:tc>
        <w:tc>
          <w:tcPr>
            <w:tcW w:w="301" w:type="dxa"/>
            <w:gridSpan w:val="3"/>
          </w:tcPr>
          <w:p w14:paraId="29EE5FDD" w14:textId="77777777" w:rsidR="009F0C37" w:rsidRPr="009F0C37" w:rsidRDefault="009F0C37" w:rsidP="009F0C37">
            <w:pPr>
              <w:keepNext/>
              <w:keepLines/>
              <w:spacing w:before="260" w:after="260"/>
              <w:ind w:firstLine="480"/>
              <w:rPr>
                <w:rFonts w:ascii="Times" w:eastAsia="宋体" w:hAnsi="Times"/>
                <w:lang w:eastAsia="zh-CN"/>
              </w:rPr>
            </w:pPr>
          </w:p>
        </w:tc>
        <w:tc>
          <w:tcPr>
            <w:tcW w:w="7183" w:type="dxa"/>
            <w:gridSpan w:val="3"/>
          </w:tcPr>
          <w:p w14:paraId="38E0749B" w14:textId="77777777" w:rsidR="009F0C37" w:rsidRPr="009F0C37" w:rsidRDefault="009F0C37" w:rsidP="009F0C37">
            <w:pPr>
              <w:ind w:firstLineChars="0" w:firstLine="0"/>
              <w:rPr>
                <w:rFonts w:ascii="Times" w:eastAsia="宋体" w:hAnsi="Times"/>
                <w:b/>
                <w:sz w:val="28"/>
                <w:szCs w:val="28"/>
                <w:lang w:eastAsia="zh-CN"/>
              </w:rPr>
            </w:pPr>
            <w:r w:rsidRPr="009F0C37">
              <w:rPr>
                <w:rFonts w:ascii="Times" w:eastAsia="宋体" w:hAnsi="Times" w:hint="eastAsia"/>
                <w:b/>
                <w:sz w:val="28"/>
                <w:szCs w:val="28"/>
                <w:lang w:eastAsia="zh-CN"/>
              </w:rPr>
              <w:t>五、</w:t>
            </w:r>
            <w:r w:rsidRPr="009F0C37">
              <w:rPr>
                <w:rFonts w:ascii="Times" w:eastAsia="宋体" w:hAnsi="Times" w:hint="eastAsia"/>
                <w:b/>
                <w:sz w:val="28"/>
                <w:szCs w:val="28"/>
                <w:lang w:eastAsia="zh-CN"/>
              </w:rPr>
              <w:t>2</w:t>
            </w:r>
            <w:r w:rsidRPr="009F0C37">
              <w:rPr>
                <w:rFonts w:ascii="Times" w:eastAsia="宋体" w:hAnsi="Times"/>
                <w:b/>
                <w:sz w:val="28"/>
                <w:szCs w:val="28"/>
                <w:lang w:eastAsia="zh-CN"/>
              </w:rPr>
              <w:t>02</w:t>
            </w:r>
            <w:r w:rsidRPr="009F0C37">
              <w:rPr>
                <w:rFonts w:ascii="Times" w:eastAsia="宋体" w:hAnsi="Times" w:hint="eastAsia"/>
                <w:b/>
                <w:sz w:val="28"/>
                <w:szCs w:val="28"/>
                <w:lang w:eastAsia="zh-CN"/>
              </w:rPr>
              <w:t>5</w:t>
            </w:r>
            <w:r w:rsidRPr="009F0C37">
              <w:rPr>
                <w:rFonts w:ascii="Times" w:eastAsia="宋体" w:hAnsi="Times" w:hint="eastAsia"/>
                <w:b/>
                <w:sz w:val="28"/>
                <w:szCs w:val="28"/>
                <w:lang w:eastAsia="zh-CN"/>
              </w:rPr>
              <w:t>年前景展望</w:t>
            </w:r>
          </w:p>
          <w:p w14:paraId="15E6378D" w14:textId="77777777" w:rsidR="009F0C37" w:rsidRPr="009F0C37" w:rsidRDefault="009F0C37" w:rsidP="009F0C37">
            <w:pPr>
              <w:ind w:firstLine="482"/>
              <w:rPr>
                <w:rFonts w:ascii="Times" w:eastAsia="宋体" w:hAnsi="Times" w:cs="微软雅黑"/>
                <w:lang w:eastAsia="zh-CN"/>
              </w:rPr>
            </w:pPr>
            <w:r w:rsidRPr="009F0C37">
              <w:rPr>
                <w:rFonts w:ascii="Times" w:eastAsia="宋体" w:hAnsi="Times" w:cs="微软雅黑" w:hint="eastAsia"/>
                <w:b/>
                <w:bCs/>
                <w:lang w:eastAsia="zh-CN"/>
              </w:rPr>
              <w:t>东盟六国和韩国在</w:t>
            </w:r>
            <w:r w:rsidRPr="009F0C37">
              <w:rPr>
                <w:rFonts w:ascii="Times" w:eastAsia="宋体" w:hAnsi="Times" w:cs="微软雅黑" w:hint="eastAsia"/>
                <w:b/>
                <w:bCs/>
                <w:lang w:eastAsia="zh-CN"/>
              </w:rPr>
              <w:t>2024</w:t>
            </w:r>
            <w:r w:rsidRPr="009F0C37">
              <w:rPr>
                <w:rFonts w:ascii="Times" w:eastAsia="宋体" w:hAnsi="Times" w:cs="微软雅黑" w:hint="eastAsia"/>
                <w:b/>
                <w:bCs/>
                <w:lang w:eastAsia="zh-CN"/>
              </w:rPr>
              <w:t>年下半年经济景气程度略有放缓，该趋势将在</w:t>
            </w:r>
            <w:r w:rsidRPr="009F0C37">
              <w:rPr>
                <w:rFonts w:ascii="Times" w:eastAsia="宋体" w:hAnsi="Times" w:cs="微软雅黑" w:hint="eastAsia"/>
                <w:b/>
                <w:bCs/>
                <w:lang w:eastAsia="zh-CN"/>
              </w:rPr>
              <w:t>2025</w:t>
            </w:r>
            <w:r w:rsidRPr="009F0C37">
              <w:rPr>
                <w:rFonts w:ascii="Times" w:eastAsia="宋体" w:hAnsi="Times" w:cs="微软雅黑" w:hint="eastAsia"/>
                <w:b/>
                <w:bCs/>
                <w:lang w:eastAsia="zh-CN"/>
              </w:rPr>
              <w:t>年延续。</w:t>
            </w:r>
            <w:r w:rsidRPr="009F0C37">
              <w:rPr>
                <w:rFonts w:ascii="Times" w:eastAsia="宋体" w:hAnsi="Times" w:cs="微软雅黑" w:hint="eastAsia"/>
                <w:lang w:eastAsia="zh-CN"/>
              </w:rPr>
              <w:t>从</w:t>
            </w:r>
            <w:r w:rsidRPr="009F0C37">
              <w:rPr>
                <w:rFonts w:ascii="Times" w:eastAsia="宋体" w:hAnsi="Times" w:cs="微软雅黑" w:hint="eastAsia"/>
                <w:lang w:eastAsia="zh-CN"/>
              </w:rPr>
              <w:t>PMI</w:t>
            </w:r>
            <w:r w:rsidRPr="009F0C37">
              <w:rPr>
                <w:rFonts w:ascii="Times" w:eastAsia="宋体" w:hAnsi="Times" w:cs="微软雅黑" w:hint="eastAsia"/>
                <w:lang w:eastAsia="zh-CN"/>
              </w:rPr>
              <w:t>的数值来看，东盟整体的景气水平在</w:t>
            </w:r>
            <w:r w:rsidRPr="009F0C37">
              <w:rPr>
                <w:rFonts w:ascii="Times" w:eastAsia="宋体" w:hAnsi="Times" w:cs="微软雅黑" w:hint="eastAsia"/>
                <w:lang w:eastAsia="zh-CN"/>
              </w:rPr>
              <w:t>2</w:t>
            </w:r>
            <w:r w:rsidRPr="009F0C37">
              <w:rPr>
                <w:rFonts w:ascii="Times" w:eastAsia="宋体" w:hAnsi="Times" w:cs="微软雅黑"/>
                <w:lang w:eastAsia="zh-CN"/>
              </w:rPr>
              <w:t>02</w:t>
            </w:r>
            <w:r w:rsidRPr="009F0C37">
              <w:rPr>
                <w:rFonts w:ascii="Times" w:eastAsia="宋体" w:hAnsi="Times" w:cs="微软雅黑" w:hint="eastAsia"/>
                <w:lang w:eastAsia="zh-CN"/>
              </w:rPr>
              <w:t>4</w:t>
            </w:r>
            <w:r w:rsidRPr="009F0C37">
              <w:rPr>
                <w:rFonts w:ascii="Times" w:eastAsia="宋体" w:hAnsi="Times" w:cs="微软雅黑" w:hint="eastAsia"/>
                <w:lang w:eastAsia="zh-CN"/>
              </w:rPr>
              <w:t>年的</w:t>
            </w:r>
            <w:r w:rsidRPr="009F0C37">
              <w:rPr>
                <w:rFonts w:ascii="Times" w:eastAsia="宋体" w:hAnsi="Times" w:cs="微软雅黑" w:hint="eastAsia"/>
                <w:lang w:eastAsia="zh-CN"/>
              </w:rPr>
              <w:t>5-6</w:t>
            </w:r>
            <w:r w:rsidRPr="009F0C37">
              <w:rPr>
                <w:rFonts w:ascii="Times" w:eastAsia="宋体" w:hAnsi="Times" w:cs="微软雅黑" w:hint="eastAsia"/>
                <w:lang w:eastAsia="zh-CN"/>
              </w:rPr>
              <w:t>月触及顶点，随后开始缓慢回落；国别来看，下半年新加坡、泰国和菲律宾持续稳定在景气区间，特别是菲律宾，</w:t>
            </w:r>
            <w:r w:rsidRPr="009F0C37">
              <w:rPr>
                <w:rFonts w:ascii="Times" w:eastAsia="宋体" w:hAnsi="Times" w:cs="微软雅黑" w:hint="eastAsia"/>
                <w:lang w:eastAsia="zh-CN"/>
              </w:rPr>
              <w:t>12</w:t>
            </w:r>
            <w:r w:rsidRPr="009F0C37">
              <w:rPr>
                <w:rFonts w:ascii="Times" w:eastAsia="宋体" w:hAnsi="Times" w:cs="微软雅黑" w:hint="eastAsia"/>
                <w:lang w:eastAsia="zh-CN"/>
              </w:rPr>
              <w:t>月读数上升至</w:t>
            </w:r>
            <w:r w:rsidRPr="009F0C37">
              <w:rPr>
                <w:rFonts w:ascii="Times" w:eastAsia="宋体" w:hAnsi="Times" w:cs="微软雅黑" w:hint="eastAsia"/>
                <w:lang w:eastAsia="zh-CN"/>
              </w:rPr>
              <w:t>54.3</w:t>
            </w:r>
            <w:r w:rsidRPr="009F0C37">
              <w:rPr>
                <w:rFonts w:ascii="Times" w:eastAsia="宋体" w:hAnsi="Times" w:cs="微软雅黑" w:hint="eastAsia"/>
                <w:lang w:eastAsia="zh-CN"/>
              </w:rPr>
              <w:t>；印尼</w:t>
            </w:r>
            <w:r w:rsidRPr="009F0C37">
              <w:rPr>
                <w:rFonts w:ascii="Times" w:eastAsia="宋体" w:hAnsi="Times" w:cs="微软雅黑" w:hint="eastAsia"/>
                <w:lang w:eastAsia="zh-CN"/>
              </w:rPr>
              <w:t>7</w:t>
            </w:r>
            <w:r w:rsidRPr="009F0C37">
              <w:rPr>
                <w:rFonts w:ascii="Times" w:eastAsia="宋体" w:hAnsi="Times" w:cs="微软雅黑" w:hint="eastAsia"/>
                <w:lang w:eastAsia="zh-CN"/>
              </w:rPr>
              <w:t>月份以来跌至荣枯线以下，直到</w:t>
            </w:r>
            <w:r w:rsidRPr="009F0C37">
              <w:rPr>
                <w:rFonts w:ascii="Times" w:eastAsia="宋体" w:hAnsi="Times" w:cs="微软雅黑" w:hint="eastAsia"/>
                <w:lang w:eastAsia="zh-CN"/>
              </w:rPr>
              <w:t>12</w:t>
            </w:r>
            <w:r w:rsidRPr="009F0C37">
              <w:rPr>
                <w:rFonts w:ascii="Times" w:eastAsia="宋体" w:hAnsi="Times" w:cs="微软雅黑" w:hint="eastAsia"/>
                <w:lang w:eastAsia="zh-CN"/>
              </w:rPr>
              <w:t>月份才重回景气区间；越南在</w:t>
            </w:r>
            <w:r w:rsidRPr="009F0C37">
              <w:rPr>
                <w:rFonts w:ascii="Times" w:eastAsia="宋体" w:hAnsi="Times" w:cs="微软雅黑" w:hint="eastAsia"/>
                <w:lang w:eastAsia="zh-CN"/>
              </w:rPr>
              <w:t>9</w:t>
            </w:r>
            <w:r w:rsidRPr="009F0C37">
              <w:rPr>
                <w:rFonts w:ascii="Times" w:eastAsia="宋体" w:hAnsi="Times" w:cs="微软雅黑" w:hint="eastAsia"/>
                <w:lang w:eastAsia="zh-CN"/>
              </w:rPr>
              <w:t>月跌至荣枯线以下后，经历两个月的增长，</w:t>
            </w:r>
            <w:r w:rsidRPr="009F0C37">
              <w:rPr>
                <w:rFonts w:ascii="Times" w:eastAsia="宋体" w:hAnsi="Times" w:cs="微软雅黑" w:hint="eastAsia"/>
                <w:lang w:eastAsia="zh-CN"/>
              </w:rPr>
              <w:t>12</w:t>
            </w:r>
            <w:r w:rsidRPr="009F0C37">
              <w:rPr>
                <w:rFonts w:ascii="Times" w:eastAsia="宋体" w:hAnsi="Times" w:cs="微软雅黑" w:hint="eastAsia"/>
                <w:lang w:eastAsia="zh-CN"/>
              </w:rPr>
              <w:t>月回落至经济紧缩区间。韩国本轮的回落更为明显，</w:t>
            </w:r>
            <w:r w:rsidRPr="009F0C37" w:rsidDel="00A86DEA">
              <w:rPr>
                <w:rFonts w:ascii="Times" w:eastAsia="宋体" w:hAnsi="Times" w:cs="微软雅黑" w:hint="eastAsia"/>
                <w:lang w:eastAsia="zh-CN"/>
              </w:rPr>
              <w:t xml:space="preserve"> </w:t>
            </w:r>
            <w:r w:rsidRPr="009F0C37">
              <w:rPr>
                <w:rFonts w:ascii="Times" w:eastAsia="宋体" w:hAnsi="Times" w:cs="微软雅黑" w:hint="eastAsia"/>
                <w:lang w:eastAsia="zh-CN"/>
              </w:rPr>
              <w:t>2</w:t>
            </w:r>
            <w:r w:rsidRPr="009F0C37">
              <w:rPr>
                <w:rFonts w:ascii="Times" w:eastAsia="宋体" w:hAnsi="Times" w:cs="微软雅黑"/>
                <w:lang w:eastAsia="zh-CN"/>
              </w:rPr>
              <w:t>02</w:t>
            </w:r>
            <w:r w:rsidRPr="009F0C37">
              <w:rPr>
                <w:rFonts w:ascii="Times" w:eastAsia="宋体" w:hAnsi="Times" w:cs="微软雅黑" w:hint="eastAsia"/>
                <w:lang w:eastAsia="zh-CN"/>
              </w:rPr>
              <w:t>4</w:t>
            </w:r>
            <w:r w:rsidRPr="009F0C37">
              <w:rPr>
                <w:rFonts w:ascii="Times" w:eastAsia="宋体" w:hAnsi="Times" w:cs="微软雅黑" w:hint="eastAsia"/>
                <w:lang w:eastAsia="zh-CN"/>
              </w:rPr>
              <w:t>年</w:t>
            </w:r>
            <w:r w:rsidRPr="009F0C37">
              <w:rPr>
                <w:rFonts w:ascii="Times" w:eastAsia="宋体" w:hAnsi="Times" w:cs="微软雅黑" w:hint="eastAsia"/>
                <w:lang w:eastAsia="zh-CN"/>
              </w:rPr>
              <w:t>9</w:t>
            </w:r>
            <w:r w:rsidRPr="009F0C37">
              <w:rPr>
                <w:rFonts w:ascii="Times" w:eastAsia="宋体" w:hAnsi="Times" w:cs="微软雅黑" w:hint="eastAsia"/>
                <w:lang w:eastAsia="zh-CN"/>
              </w:rPr>
              <w:t>月韩国</w:t>
            </w:r>
            <w:r w:rsidRPr="009F0C37">
              <w:rPr>
                <w:rFonts w:ascii="Times" w:eastAsia="宋体" w:hAnsi="Times" w:cs="微软雅黑" w:hint="eastAsia"/>
                <w:lang w:eastAsia="zh-CN"/>
              </w:rPr>
              <w:t>PMI</w:t>
            </w:r>
            <w:r w:rsidRPr="009F0C37">
              <w:rPr>
                <w:rFonts w:ascii="Times" w:eastAsia="宋体" w:hAnsi="Times" w:cs="微软雅黑" w:hint="eastAsia"/>
                <w:lang w:eastAsia="zh-CN"/>
              </w:rPr>
              <w:t>指数从</w:t>
            </w:r>
            <w:r w:rsidRPr="009F0C37">
              <w:rPr>
                <w:rFonts w:ascii="Times" w:eastAsia="宋体" w:hAnsi="Times" w:cs="微软雅黑" w:hint="eastAsia"/>
                <w:lang w:eastAsia="zh-CN"/>
              </w:rPr>
              <w:t>8</w:t>
            </w:r>
            <w:r w:rsidRPr="009F0C37">
              <w:rPr>
                <w:rFonts w:ascii="Times" w:eastAsia="宋体" w:hAnsi="Times" w:cs="微软雅黑" w:hint="eastAsia"/>
                <w:lang w:eastAsia="zh-CN"/>
              </w:rPr>
              <w:t>月份的</w:t>
            </w:r>
            <w:r w:rsidRPr="009F0C37">
              <w:rPr>
                <w:rFonts w:ascii="Times" w:eastAsia="宋体" w:hAnsi="Times" w:cs="微软雅黑" w:hint="eastAsia"/>
                <w:lang w:eastAsia="zh-CN"/>
              </w:rPr>
              <w:t>51.9</w:t>
            </w:r>
            <w:r w:rsidRPr="009F0C37">
              <w:rPr>
                <w:rFonts w:ascii="Times" w:eastAsia="宋体" w:hAnsi="Times" w:cs="微软雅黑" w:hint="eastAsia"/>
                <w:lang w:eastAsia="zh-CN"/>
              </w:rPr>
              <w:t>直接下滑至</w:t>
            </w:r>
            <w:r w:rsidRPr="009F0C37">
              <w:rPr>
                <w:rFonts w:ascii="Times" w:eastAsia="宋体" w:hAnsi="Times" w:cs="微软雅黑" w:hint="eastAsia"/>
                <w:lang w:eastAsia="zh-CN"/>
              </w:rPr>
              <w:t>48.3</w:t>
            </w:r>
            <w:r w:rsidRPr="009F0C37">
              <w:rPr>
                <w:rFonts w:ascii="Times" w:eastAsia="宋体" w:hAnsi="Times" w:cs="微软雅黑" w:hint="eastAsia"/>
                <w:lang w:eastAsia="zh-CN"/>
              </w:rPr>
              <w:t>，尽管</w:t>
            </w:r>
            <w:r w:rsidRPr="009F0C37">
              <w:rPr>
                <w:rFonts w:ascii="Times" w:eastAsia="宋体" w:hAnsi="Times" w:cs="微软雅黑" w:hint="eastAsia"/>
                <w:lang w:eastAsia="zh-CN"/>
              </w:rPr>
              <w:t>1</w:t>
            </w:r>
            <w:r w:rsidRPr="009F0C37">
              <w:rPr>
                <w:rFonts w:ascii="Times" w:eastAsia="宋体" w:hAnsi="Times" w:cs="微软雅黑"/>
                <w:lang w:eastAsia="zh-CN"/>
              </w:rPr>
              <w:t>1</w:t>
            </w:r>
            <w:r w:rsidRPr="009F0C37">
              <w:rPr>
                <w:rFonts w:ascii="Times" w:eastAsia="宋体" w:hAnsi="Times" w:cs="微软雅黑" w:hint="eastAsia"/>
                <w:lang w:eastAsia="zh-CN"/>
              </w:rPr>
              <w:t>月份重回</w:t>
            </w:r>
            <w:r w:rsidRPr="009F0C37">
              <w:rPr>
                <w:rFonts w:ascii="Times" w:eastAsia="宋体" w:hAnsi="Times" w:cs="微软雅黑" w:hint="eastAsia"/>
                <w:lang w:eastAsia="zh-CN"/>
              </w:rPr>
              <w:t>5</w:t>
            </w:r>
            <w:r w:rsidRPr="009F0C37">
              <w:rPr>
                <w:rFonts w:ascii="Times" w:eastAsia="宋体" w:hAnsi="Times" w:cs="微软雅黑"/>
                <w:lang w:eastAsia="zh-CN"/>
              </w:rPr>
              <w:t>0.</w:t>
            </w:r>
            <w:r w:rsidRPr="009F0C37">
              <w:rPr>
                <w:rFonts w:ascii="Times" w:eastAsia="宋体" w:hAnsi="Times" w:cs="微软雅黑" w:hint="eastAsia"/>
                <w:lang w:eastAsia="zh-CN"/>
              </w:rPr>
              <w:t>6</w:t>
            </w:r>
            <w:r w:rsidRPr="009F0C37">
              <w:rPr>
                <w:rFonts w:ascii="Times" w:eastAsia="宋体" w:hAnsi="Times" w:cs="微软雅黑" w:hint="eastAsia"/>
                <w:lang w:eastAsia="zh-CN"/>
              </w:rPr>
              <w:t>，但是</w:t>
            </w:r>
            <w:r w:rsidRPr="009F0C37">
              <w:rPr>
                <w:rFonts w:ascii="Times" w:eastAsia="宋体" w:hAnsi="Times" w:cs="微软雅黑" w:hint="eastAsia"/>
                <w:lang w:eastAsia="zh-CN"/>
              </w:rPr>
              <w:t>12</w:t>
            </w:r>
            <w:r w:rsidRPr="009F0C37">
              <w:rPr>
                <w:rFonts w:ascii="Times" w:eastAsia="宋体" w:hAnsi="Times" w:cs="微软雅黑" w:hint="eastAsia"/>
                <w:lang w:eastAsia="zh-CN"/>
              </w:rPr>
              <w:t>月份再次跌至荣枯线以下。从经济体增速预测来看，多数经济体在</w:t>
            </w:r>
            <w:r w:rsidRPr="009F0C37">
              <w:rPr>
                <w:rFonts w:ascii="Times" w:eastAsia="宋体" w:hAnsi="Times" w:cs="微软雅黑" w:hint="eastAsia"/>
                <w:lang w:eastAsia="zh-CN"/>
              </w:rPr>
              <w:t>2025</w:t>
            </w:r>
            <w:r w:rsidRPr="009F0C37">
              <w:rPr>
                <w:rFonts w:ascii="Times" w:eastAsia="宋体" w:hAnsi="Times" w:cs="微软雅黑" w:hint="eastAsia"/>
                <w:lang w:eastAsia="zh-CN"/>
              </w:rPr>
              <w:t>年的经济增速将有所放缓。</w:t>
            </w:r>
          </w:p>
        </w:tc>
      </w:tr>
      <w:tr w:rsidR="009F0C37" w:rsidRPr="009F0C37" w14:paraId="1498B4C6" w14:textId="77777777" w:rsidTr="009F0C37">
        <w:trPr>
          <w:gridAfter w:val="1"/>
          <w:wAfter w:w="392" w:type="dxa"/>
          <w:trHeight w:val="1001"/>
          <w:jc w:val="center"/>
        </w:trPr>
        <w:tc>
          <w:tcPr>
            <w:tcW w:w="9639" w:type="dxa"/>
            <w:gridSpan w:val="8"/>
          </w:tcPr>
          <w:p w14:paraId="2F316196" w14:textId="58C796E5" w:rsidR="009F0C37" w:rsidRPr="009F0C37" w:rsidRDefault="00D37774" w:rsidP="00D37774">
            <w:pPr>
              <w:pStyle w:val="a4"/>
            </w:pPr>
            <w:bookmarkStart w:id="54" w:name="_Toc535998146"/>
            <w:bookmarkStart w:id="55" w:name="_Toc196399439"/>
            <w:r>
              <w:rPr>
                <w:rFonts w:hint="eastAsia"/>
              </w:rPr>
              <w:lastRenderedPageBreak/>
              <w:t xml:space="preserve">图表 </w:t>
            </w:r>
            <w:r>
              <w:rPr>
                <w:rFonts w:hint="eastAsia"/>
              </w:rPr>
              <w:fldChar w:fldCharType="begin"/>
            </w:r>
            <w:r>
              <w:rPr>
                <w:rFonts w:hint="eastAsia"/>
              </w:rPr>
              <w:instrText xml:space="preserve"> SEQ 图表 \* ARABIC </w:instrText>
            </w:r>
            <w:r>
              <w:rPr>
                <w:rFonts w:hint="eastAsia"/>
              </w:rPr>
              <w:fldChar w:fldCharType="separate"/>
            </w:r>
            <w:r w:rsidR="00530ED7">
              <w:rPr>
                <w:rFonts w:hint="eastAsia"/>
                <w:noProof/>
              </w:rPr>
              <w:t>28</w:t>
            </w:r>
            <w:r>
              <w:rPr>
                <w:rFonts w:hint="eastAsia"/>
              </w:rPr>
              <w:fldChar w:fldCharType="end"/>
            </w:r>
            <w:r>
              <w:rPr>
                <w:rFonts w:hint="eastAsia"/>
              </w:rPr>
              <w:t xml:space="preserve"> </w:t>
            </w:r>
            <w:r w:rsidR="009F0C37" w:rsidRPr="009F0C37">
              <w:t xml:space="preserve"> </w:t>
            </w:r>
            <w:bookmarkEnd w:id="54"/>
            <w:r w:rsidR="009F0C37" w:rsidRPr="009F0C37">
              <w:t>202</w:t>
            </w:r>
            <w:r w:rsidR="009F0C37" w:rsidRPr="009F0C37">
              <w:rPr>
                <w:rFonts w:hint="eastAsia"/>
              </w:rPr>
              <w:t>4年区内经济体景气水平触顶回落</w:t>
            </w:r>
            <w:bookmarkEnd w:id="55"/>
            <w:r w:rsidR="009F0C37" w:rsidRPr="009F0C37">
              <w:rPr>
                <w:rFonts w:hint="eastAsia"/>
              </w:rPr>
              <w:t xml:space="preserve"> </w:t>
            </w:r>
            <w:r w:rsidR="009F0C37" w:rsidRPr="009F0C37">
              <w:t xml:space="preserve"> </w:t>
            </w:r>
          </w:p>
          <w:p w14:paraId="147982B9" w14:textId="77777777" w:rsidR="009F0C37" w:rsidRPr="009F0C37" w:rsidRDefault="009F0C37" w:rsidP="009F0C37">
            <w:pPr>
              <w:ind w:firstLineChars="0" w:firstLine="0"/>
              <w:jc w:val="center"/>
              <w:rPr>
                <w:rFonts w:ascii="Times" w:eastAsia="宋体" w:hAnsi="Times"/>
                <w:b/>
                <w:sz w:val="28"/>
                <w:szCs w:val="28"/>
                <w:lang w:eastAsia="zh-CN"/>
              </w:rPr>
            </w:pPr>
            <w:r w:rsidRPr="009F0C37">
              <w:rPr>
                <w:rFonts w:ascii="Times" w:eastAsia="宋体" w:hAnsi="Times"/>
                <w:noProof/>
                <w:lang w:eastAsia="zh-CN" w:bidi="ar-SA"/>
              </w:rPr>
              <w:drawing>
                <wp:inline distT="0" distB="0" distL="0" distR="0" wp14:anchorId="3FC7E6B3" wp14:editId="5440DF66">
                  <wp:extent cx="3260870" cy="2300719"/>
                  <wp:effectExtent l="0" t="0" r="15875" b="4445"/>
                  <wp:docPr id="1213539397" name="图表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tc>
      </w:tr>
      <w:tr w:rsidR="009F0C37" w:rsidRPr="009F0C37" w14:paraId="4F82F5F1" w14:textId="77777777" w:rsidTr="009F0C37">
        <w:trPr>
          <w:gridAfter w:val="1"/>
          <w:wAfter w:w="392" w:type="dxa"/>
          <w:trHeight w:val="1001"/>
          <w:jc w:val="center"/>
        </w:trPr>
        <w:tc>
          <w:tcPr>
            <w:tcW w:w="2155" w:type="dxa"/>
            <w:gridSpan w:val="2"/>
            <w:vAlign w:val="center"/>
          </w:tcPr>
          <w:p w14:paraId="415BC0EF" w14:textId="77777777" w:rsidR="009F0C37" w:rsidRPr="009F0C37" w:rsidRDefault="009F0C37" w:rsidP="009F0C37">
            <w:pPr>
              <w:ind w:firstLineChars="0" w:firstLine="0"/>
              <w:rPr>
                <w:rFonts w:ascii="Times" w:eastAsia="宋体" w:hAnsi="Times"/>
                <w:b/>
                <w:lang w:eastAsia="zh-CN" w:bidi="ar-SA"/>
              </w:rPr>
            </w:pPr>
            <w:r w:rsidRPr="009F0C37">
              <w:rPr>
                <w:rFonts w:ascii="Times" w:eastAsia="宋体" w:hAnsi="Times" w:hint="eastAsia"/>
                <w:b/>
                <w:lang w:eastAsia="zh-CN" w:bidi="ar-SA"/>
              </w:rPr>
              <w:t>2025</w:t>
            </w:r>
            <w:r w:rsidRPr="009F0C37">
              <w:rPr>
                <w:rFonts w:ascii="Times" w:eastAsia="宋体" w:hAnsi="Times" w:hint="eastAsia"/>
                <w:b/>
                <w:lang w:eastAsia="zh-CN" w:bidi="ar-SA"/>
              </w:rPr>
              <w:t>年，多种因素将带动区内经济延续增长态势。</w:t>
            </w:r>
          </w:p>
        </w:tc>
        <w:tc>
          <w:tcPr>
            <w:tcW w:w="301" w:type="dxa"/>
            <w:gridSpan w:val="3"/>
          </w:tcPr>
          <w:p w14:paraId="780562B8" w14:textId="77777777" w:rsidR="009F0C37" w:rsidRPr="009F0C37" w:rsidRDefault="009F0C37" w:rsidP="009F0C37">
            <w:pPr>
              <w:keepNext/>
              <w:keepLines/>
              <w:spacing w:before="260" w:after="260"/>
              <w:ind w:firstLine="480"/>
              <w:rPr>
                <w:rFonts w:ascii="Times" w:eastAsia="宋体" w:hAnsi="Times"/>
                <w:lang w:eastAsia="zh-CN"/>
              </w:rPr>
            </w:pPr>
          </w:p>
        </w:tc>
        <w:tc>
          <w:tcPr>
            <w:tcW w:w="7183" w:type="dxa"/>
            <w:gridSpan w:val="3"/>
          </w:tcPr>
          <w:p w14:paraId="01A91B24" w14:textId="77777777" w:rsidR="009F0C37" w:rsidRPr="009F0C37" w:rsidRDefault="009F0C37" w:rsidP="009F0C37">
            <w:pPr>
              <w:ind w:firstLine="480"/>
              <w:rPr>
                <w:rFonts w:ascii="Times" w:eastAsia="宋体" w:hAnsi="Times" w:cs="微软雅黑"/>
                <w:lang w:eastAsia="zh-CN"/>
              </w:rPr>
            </w:pPr>
            <w:r w:rsidRPr="009F0C37">
              <w:rPr>
                <w:rFonts w:ascii="Times" w:eastAsia="宋体" w:hAnsi="Times" w:cs="微软雅黑" w:hint="eastAsia"/>
                <w:lang w:eastAsia="zh-CN"/>
              </w:rPr>
              <w:t>2025</w:t>
            </w:r>
            <w:r w:rsidRPr="009F0C37">
              <w:rPr>
                <w:rFonts w:ascii="Times" w:eastAsia="宋体" w:hAnsi="Times" w:cs="微软雅黑" w:hint="eastAsia"/>
                <w:lang w:eastAsia="zh-CN"/>
              </w:rPr>
              <w:t>年，带动东盟和韩国经济增长的因素包括：</w:t>
            </w:r>
            <w:r w:rsidRPr="009F0C37">
              <w:rPr>
                <w:rFonts w:ascii="Times" w:eastAsia="宋体" w:hAnsi="Times" w:hint="eastAsia"/>
                <w:lang w:eastAsia="zh-CN"/>
              </w:rPr>
              <w:t>其一，全球供应链中断风险得以缓解带动通货膨胀的持续下行，为货币政策宽松提供了更多空间，这将有利于区域内国家私人消费和投资的扩张，叠加原本稳健的国内需求，对国内经济提供较强支撑；其二，各国政府将继续实施刺激性的财政政策，比如减税、补贴或基础设施投资，这样有利于经济持续稳健增长；其三，对半导体和电子产品需求的增长，特别是区域内国家对半导体产业的持续投资，都将带动本区域出口持续强劲。</w:t>
            </w:r>
          </w:p>
        </w:tc>
      </w:tr>
      <w:tr w:rsidR="009F0C37" w:rsidRPr="009F0C37" w14:paraId="1EDA0B7D" w14:textId="77777777" w:rsidTr="009F0C37">
        <w:trPr>
          <w:gridAfter w:val="1"/>
          <w:wAfter w:w="392" w:type="dxa"/>
          <w:trHeight w:val="1001"/>
          <w:jc w:val="center"/>
        </w:trPr>
        <w:tc>
          <w:tcPr>
            <w:tcW w:w="2155" w:type="dxa"/>
            <w:gridSpan w:val="2"/>
            <w:vAlign w:val="center"/>
          </w:tcPr>
          <w:p w14:paraId="6E21EB6D" w14:textId="77777777" w:rsidR="009F0C37" w:rsidRPr="009F0C37" w:rsidRDefault="009F0C37" w:rsidP="009F0C37">
            <w:pPr>
              <w:ind w:firstLineChars="0" w:firstLine="0"/>
              <w:rPr>
                <w:rFonts w:ascii="Times" w:eastAsia="宋体" w:hAnsi="Times"/>
                <w:b/>
                <w:lang w:eastAsia="zh-CN" w:bidi="ar-SA"/>
              </w:rPr>
            </w:pPr>
            <w:r w:rsidRPr="009F0C37">
              <w:rPr>
                <w:rFonts w:ascii="Times" w:eastAsia="宋体" w:hAnsi="Times" w:hint="eastAsia"/>
                <w:b/>
                <w:lang w:eastAsia="zh-CN" w:bidi="ar-SA"/>
              </w:rPr>
              <w:t>尽管如此，区内经济增长也面临诸多不确定性。</w:t>
            </w:r>
          </w:p>
        </w:tc>
        <w:tc>
          <w:tcPr>
            <w:tcW w:w="301" w:type="dxa"/>
            <w:gridSpan w:val="3"/>
          </w:tcPr>
          <w:p w14:paraId="2651A7D7" w14:textId="77777777" w:rsidR="009F0C37" w:rsidRPr="009F0C37" w:rsidRDefault="009F0C37" w:rsidP="009F0C37">
            <w:pPr>
              <w:keepNext/>
              <w:keepLines/>
              <w:spacing w:before="260" w:after="260"/>
              <w:ind w:firstLine="480"/>
              <w:rPr>
                <w:rFonts w:ascii="Times" w:eastAsia="宋体" w:hAnsi="Times"/>
                <w:lang w:eastAsia="zh-CN"/>
              </w:rPr>
            </w:pPr>
          </w:p>
        </w:tc>
        <w:tc>
          <w:tcPr>
            <w:tcW w:w="7183" w:type="dxa"/>
            <w:gridSpan w:val="3"/>
          </w:tcPr>
          <w:p w14:paraId="25A0A4AB" w14:textId="77777777" w:rsidR="009F0C37" w:rsidRPr="009F0C37" w:rsidRDefault="009F0C37" w:rsidP="009F0C37">
            <w:pPr>
              <w:ind w:firstLine="480"/>
              <w:rPr>
                <w:rFonts w:ascii="Times" w:eastAsia="宋体" w:hAnsi="Times" w:cs="微软雅黑"/>
                <w:lang w:eastAsia="zh-CN"/>
              </w:rPr>
            </w:pPr>
            <w:r w:rsidRPr="009F0C37">
              <w:rPr>
                <w:rFonts w:ascii="Times" w:eastAsia="宋体" w:hAnsi="Times" w:hint="eastAsia"/>
                <w:lang w:eastAsia="zh-CN"/>
              </w:rPr>
              <w:t>尽管如此，区内经济增长也面临诸多不确定性。这包括：其一，尽管</w:t>
            </w:r>
            <w:r w:rsidRPr="009F0C37">
              <w:rPr>
                <w:rFonts w:ascii="Times" w:eastAsia="宋体" w:hAnsi="Times" w:hint="eastAsia"/>
                <w:lang w:eastAsia="zh-CN"/>
              </w:rPr>
              <w:t>2</w:t>
            </w:r>
            <w:r w:rsidRPr="009F0C37">
              <w:rPr>
                <w:rFonts w:ascii="Times" w:eastAsia="宋体" w:hAnsi="Times"/>
                <w:lang w:eastAsia="zh-CN"/>
              </w:rPr>
              <w:t>025</w:t>
            </w:r>
            <w:r w:rsidRPr="009F0C37">
              <w:rPr>
                <w:rFonts w:ascii="Times" w:eastAsia="宋体" w:hAnsi="Times" w:hint="eastAsia"/>
                <w:lang w:eastAsia="zh-CN"/>
              </w:rPr>
              <w:t>年区域内多数国家货币政策将趋向宽松，但是紧缩货币政策对企业利息成本的影响存在一定的滞后效应，短期对国内投资的刺激作用存在较大不确定性；其二，美国大选和中美贸易关系紧张将对区域内经济增长带来重大影响，激进的贸易保护政策可能会在不同程度上抑制区域增长前景；其三，极端天气风险仍有可能扰动食品供应和价格，不断升级的地缘政治冲突可能会再次触发全球供应链中断风险，并推高全球能源价格和货运成本；潜在的价格上涨必将阻碍区域内贸易增长，并再次推高区域内部分国家通货膨胀水平；其四，美国货币政策的不确定性也将对区域金融市场稳定带来较大冲击，增加区域金融脆弱性，严重时或将触发金融危机。</w:t>
            </w:r>
          </w:p>
        </w:tc>
      </w:tr>
    </w:tbl>
    <w:p w14:paraId="2F690AB1" w14:textId="77777777" w:rsidR="00660068" w:rsidRDefault="00660068">
      <w:pPr>
        <w:ind w:firstLine="480"/>
        <w:rPr>
          <w:lang w:eastAsia="zh-CN"/>
        </w:rPr>
        <w:sectPr w:rsidR="00660068" w:rsidSect="00894D49">
          <w:headerReference w:type="default" r:id="rId51"/>
          <w:footerReference w:type="default" r:id="rId52"/>
          <w:pgSz w:w="11906" w:h="16838"/>
          <w:pgMar w:top="1440" w:right="1800" w:bottom="1440" w:left="1800" w:header="851" w:footer="992" w:gutter="0"/>
          <w:cols w:space="425"/>
          <w:docGrid w:type="lines" w:linePitch="326"/>
        </w:sectPr>
      </w:pPr>
    </w:p>
    <w:tbl>
      <w:tblPr>
        <w:tblW w:w="9639" w:type="dxa"/>
        <w:jc w:val="center"/>
        <w:tblLayout w:type="fixed"/>
        <w:tblLook w:val="04A0" w:firstRow="1" w:lastRow="0" w:firstColumn="1" w:lastColumn="0" w:noHBand="0" w:noVBand="1"/>
      </w:tblPr>
      <w:tblGrid>
        <w:gridCol w:w="9639"/>
      </w:tblGrid>
      <w:tr w:rsidR="00CB5FC9" w:rsidRPr="009F0C37" w14:paraId="6038F642" w14:textId="77777777" w:rsidTr="00FE4928">
        <w:trPr>
          <w:trHeight w:val="150"/>
          <w:jc w:val="center"/>
        </w:trPr>
        <w:tc>
          <w:tcPr>
            <w:tcW w:w="9639" w:type="dxa"/>
          </w:tcPr>
          <w:tbl>
            <w:tblPr>
              <w:tblW w:w="9639" w:type="dxa"/>
              <w:jc w:val="center"/>
              <w:tblLayout w:type="fixed"/>
              <w:tblLook w:val="04A0" w:firstRow="1" w:lastRow="0" w:firstColumn="1" w:lastColumn="0" w:noHBand="0" w:noVBand="1"/>
            </w:tblPr>
            <w:tblGrid>
              <w:gridCol w:w="2154"/>
              <w:gridCol w:w="300"/>
              <w:gridCol w:w="7185"/>
            </w:tblGrid>
            <w:tr w:rsidR="00CB5FC9" w:rsidRPr="009304E0" w14:paraId="4EAA6A9B" w14:textId="77777777" w:rsidTr="003A23F9">
              <w:trPr>
                <w:trHeight w:val="150"/>
                <w:jc w:val="center"/>
              </w:trPr>
              <w:tc>
                <w:tcPr>
                  <w:tcW w:w="9639" w:type="dxa"/>
                  <w:gridSpan w:val="3"/>
                </w:tcPr>
                <w:p w14:paraId="1A7326F6" w14:textId="77777777" w:rsidR="00CB5FC9" w:rsidRPr="009304E0" w:rsidRDefault="00CB5FC9" w:rsidP="001244F7">
                  <w:pPr>
                    <w:pStyle w:val="1"/>
                    <w:rPr>
                      <w:rFonts w:eastAsia="宋体"/>
                      <w:b w:val="0"/>
                      <w:color w:val="000000"/>
                      <w:lang w:bidi="en-US"/>
                    </w:rPr>
                  </w:pPr>
                  <w:bookmarkStart w:id="56" w:name="_Toc196364977"/>
                  <w:r w:rsidRPr="009304E0">
                    <w:rPr>
                      <w:rFonts w:eastAsia="宋体" w:hint="eastAsia"/>
                      <w:color w:val="000000"/>
                      <w:lang w:bidi="en-US"/>
                    </w:rPr>
                    <w:lastRenderedPageBreak/>
                    <w:t>金砖国家：通胀与货币政策分化，对华贸易增速下降</w:t>
                  </w:r>
                  <w:bookmarkEnd w:id="56"/>
                </w:p>
              </w:tc>
            </w:tr>
            <w:tr w:rsidR="00CB5FC9" w:rsidRPr="009304E0" w14:paraId="4B6F05CD" w14:textId="77777777" w:rsidTr="003A23F9">
              <w:trPr>
                <w:trHeight w:val="150"/>
                <w:jc w:val="center"/>
              </w:trPr>
              <w:tc>
                <w:tcPr>
                  <w:tcW w:w="9639" w:type="dxa"/>
                  <w:gridSpan w:val="3"/>
                </w:tcPr>
                <w:p w14:paraId="7AC8A1D5" w14:textId="5A74ACB3" w:rsidR="00CB5FC9" w:rsidRPr="001244F7" w:rsidRDefault="009373B4" w:rsidP="00CB5FC9">
                  <w:pPr>
                    <w:ind w:firstLine="480"/>
                    <w:rPr>
                      <w:rFonts w:asciiTheme="minorEastAsia" w:hAnsiTheme="minorEastAsia"/>
                      <w:lang w:eastAsia="zh-CN"/>
                    </w:rPr>
                  </w:pPr>
                  <w:r w:rsidRPr="009373B4">
                    <w:rPr>
                      <w:rFonts w:asciiTheme="minorEastAsia" w:hAnsiTheme="minorEastAsia" w:hint="eastAsia"/>
                      <w:lang w:eastAsia="zh-CN"/>
                    </w:rPr>
                    <w:t>2025年第1季度</w:t>
                  </w:r>
                  <w:r w:rsidR="00CB5FC9" w:rsidRPr="001244F7">
                    <w:rPr>
                      <w:rFonts w:asciiTheme="minorEastAsia" w:hAnsiTheme="minorEastAsia" w:hint="eastAsia"/>
                      <w:lang w:eastAsia="zh-CN"/>
                    </w:rPr>
                    <w:t>，金砖四国经济增长总体延续上季度增长态势，印度经济保持稳步增长，巴西经济复苏动能继续转弱，南非经济增长依然疲弱，俄罗斯经济延续短期韧性。对华贸易方面，中国与金砖国家贸易增速较上季度进一步显著下降，占中国对外贸易比重小幅下降。其中，出口与进口同比增速均显著下滑。通胀方面，俄罗斯通胀继续上升，压力依然较大，南非通胀降至低位，印度通胀回落，巴西通胀进一步反弹，略超出目标区间。货币政策方面，俄罗斯央行按兵不动保持高利率，巴西央行大幅加息，印度央行小幅降息开启宽松进程，南非央行继续小幅降息。</w:t>
                  </w:r>
                </w:p>
                <w:p w14:paraId="7DF56D4C" w14:textId="77777777" w:rsidR="00CB5FC9" w:rsidRPr="009304E0" w:rsidRDefault="00CB5FC9" w:rsidP="00CB5FC9">
                  <w:pPr>
                    <w:ind w:firstLine="480"/>
                    <w:rPr>
                      <w:rFonts w:eastAsia="楷体"/>
                      <w:lang w:eastAsia="zh-CN"/>
                    </w:rPr>
                  </w:pPr>
                  <w:r w:rsidRPr="001244F7">
                    <w:rPr>
                      <w:rFonts w:asciiTheme="minorEastAsia" w:hAnsiTheme="minorEastAsia" w:hint="eastAsia"/>
                      <w:lang w:eastAsia="zh-CN"/>
                    </w:rPr>
                    <w:t>本次专题还聚焦特朗普对等关税对印度制造业的影响。在2</w:t>
                  </w:r>
                  <w:r w:rsidRPr="001244F7">
                    <w:rPr>
                      <w:rFonts w:asciiTheme="minorEastAsia" w:hAnsiTheme="minorEastAsia"/>
                      <w:lang w:eastAsia="zh-CN"/>
                    </w:rPr>
                    <w:t>018</w:t>
                  </w:r>
                  <w:r w:rsidRPr="001244F7">
                    <w:rPr>
                      <w:rFonts w:asciiTheme="minorEastAsia" w:hAnsiTheme="minorEastAsia" w:hint="eastAsia"/>
                      <w:lang w:eastAsia="zh-CN"/>
                    </w:rPr>
                    <w:t>年贸易战中，印度获得了一定的贸易转移收益，但程度非常有限。如果保持本轮对等关税，相对于2</w:t>
                  </w:r>
                  <w:r w:rsidRPr="001244F7">
                    <w:rPr>
                      <w:rFonts w:asciiTheme="minorEastAsia" w:hAnsiTheme="minorEastAsia"/>
                      <w:lang w:eastAsia="zh-CN"/>
                    </w:rPr>
                    <w:t>018</w:t>
                  </w:r>
                  <w:r w:rsidRPr="001244F7">
                    <w:rPr>
                      <w:rFonts w:asciiTheme="minorEastAsia" w:hAnsiTheme="minorEastAsia" w:hint="eastAsia"/>
                      <w:lang w:eastAsia="zh-CN"/>
                    </w:rPr>
                    <w:t>年，印度将显著获得更大的收益，其产业链配套近几年取得了明显进步，印度政府也会借机进一步解决制约制造业发展的结构性问题。但是，印度制造业仍高度依赖中间投入进口，同时相对于东南亚，印度制造业准备还有所不足</w:t>
                  </w:r>
                  <w:r w:rsidRPr="009304E0">
                    <w:rPr>
                      <w:rFonts w:eastAsia="楷体" w:hint="eastAsia"/>
                      <w:lang w:eastAsia="zh-CN"/>
                    </w:rPr>
                    <w:t>。</w:t>
                  </w:r>
                </w:p>
              </w:tc>
            </w:tr>
            <w:tr w:rsidR="00CB5FC9" w:rsidRPr="009304E0" w14:paraId="1335D59A" w14:textId="77777777" w:rsidTr="003A23F9">
              <w:trPr>
                <w:trHeight w:val="150"/>
                <w:jc w:val="center"/>
              </w:trPr>
              <w:tc>
                <w:tcPr>
                  <w:tcW w:w="2154" w:type="dxa"/>
                  <w:vAlign w:val="center"/>
                </w:tcPr>
                <w:p w14:paraId="7D3E79C9" w14:textId="77777777" w:rsidR="00CB5FC9" w:rsidRPr="009304E0" w:rsidRDefault="00CB5FC9" w:rsidP="00000FFC">
                  <w:pPr>
                    <w:ind w:firstLineChars="0" w:firstLine="0"/>
                    <w:rPr>
                      <w:rFonts w:eastAsia="楷体"/>
                      <w:b/>
                      <w:lang w:eastAsia="zh-CN"/>
                    </w:rPr>
                  </w:pPr>
                  <w:r w:rsidRPr="009304E0">
                    <w:rPr>
                      <w:rFonts w:eastAsia="楷体" w:hint="eastAsia"/>
                      <w:b/>
                      <w:lang w:eastAsia="zh-CN"/>
                    </w:rPr>
                    <w:t>俄罗斯经济短期韧性持续，景气度有所下降，印度经济继续稳步增长，巴西经济复苏动能转弱，南非经济依旧疲弱。</w:t>
                  </w:r>
                </w:p>
              </w:tc>
              <w:tc>
                <w:tcPr>
                  <w:tcW w:w="300" w:type="dxa"/>
                </w:tcPr>
                <w:p w14:paraId="60D31EEF" w14:textId="77777777" w:rsidR="00CB5FC9" w:rsidRPr="009304E0" w:rsidRDefault="00CB5FC9" w:rsidP="00CB5FC9">
                  <w:pPr>
                    <w:keepNext/>
                    <w:keepLines/>
                    <w:ind w:firstLine="480"/>
                    <w:rPr>
                      <w:rFonts w:eastAsia="楷体_GB2312"/>
                      <w:lang w:eastAsia="zh-CN"/>
                    </w:rPr>
                  </w:pPr>
                </w:p>
              </w:tc>
              <w:tc>
                <w:tcPr>
                  <w:tcW w:w="7183" w:type="dxa"/>
                </w:tcPr>
                <w:p w14:paraId="1E56AE0A" w14:textId="77777777" w:rsidR="00CB5FC9" w:rsidRPr="009304E0" w:rsidRDefault="00CB5FC9" w:rsidP="001244F7">
                  <w:pPr>
                    <w:ind w:firstLineChars="0" w:firstLine="0"/>
                    <w:rPr>
                      <w:rFonts w:eastAsia="宋体"/>
                      <w:b/>
                      <w:sz w:val="28"/>
                      <w:szCs w:val="28"/>
                      <w:lang w:eastAsia="zh-CN"/>
                    </w:rPr>
                  </w:pPr>
                  <w:r w:rsidRPr="009304E0">
                    <w:rPr>
                      <w:rFonts w:eastAsia="宋体"/>
                      <w:b/>
                      <w:sz w:val="28"/>
                      <w:szCs w:val="28"/>
                      <w:lang w:eastAsia="zh-CN"/>
                    </w:rPr>
                    <w:t>一、金砖国家</w:t>
                  </w:r>
                  <w:r w:rsidRPr="009304E0">
                    <w:rPr>
                      <w:rFonts w:eastAsia="宋体" w:hint="eastAsia"/>
                      <w:b/>
                      <w:sz w:val="28"/>
                      <w:szCs w:val="28"/>
                      <w:lang w:eastAsia="zh-CN"/>
                    </w:rPr>
                    <w:t>宏观</w:t>
                  </w:r>
                  <w:r w:rsidRPr="009304E0">
                    <w:rPr>
                      <w:rFonts w:eastAsia="宋体"/>
                      <w:b/>
                      <w:sz w:val="28"/>
                      <w:szCs w:val="28"/>
                      <w:lang w:eastAsia="zh-CN"/>
                    </w:rPr>
                    <w:t>经济</w:t>
                  </w:r>
                  <w:r w:rsidRPr="009304E0">
                    <w:rPr>
                      <w:rFonts w:eastAsia="宋体" w:hint="eastAsia"/>
                      <w:b/>
                      <w:sz w:val="28"/>
                      <w:szCs w:val="28"/>
                      <w:lang w:eastAsia="zh-CN"/>
                    </w:rPr>
                    <w:t>形势概览</w:t>
                  </w:r>
                </w:p>
                <w:p w14:paraId="7E5F68BB" w14:textId="77777777" w:rsidR="00CB5FC9" w:rsidRPr="009304E0" w:rsidRDefault="00CB5FC9" w:rsidP="00CB5FC9">
                  <w:pPr>
                    <w:ind w:firstLine="482"/>
                    <w:rPr>
                      <w:rFonts w:eastAsia="宋体"/>
                      <w:b/>
                      <w:lang w:eastAsia="zh-CN"/>
                    </w:rPr>
                  </w:pPr>
                  <w:r w:rsidRPr="009304E0">
                    <w:rPr>
                      <w:rFonts w:eastAsia="宋体" w:hint="eastAsia"/>
                      <w:b/>
                      <w:lang w:eastAsia="zh-CN"/>
                    </w:rPr>
                    <w:t>（一）经济增长方面</w:t>
                  </w:r>
                </w:p>
                <w:p w14:paraId="2D41C97E" w14:textId="77777777" w:rsidR="00CB5FC9" w:rsidRPr="009304E0" w:rsidRDefault="00CB5FC9" w:rsidP="00CB5FC9">
                  <w:pPr>
                    <w:ind w:firstLine="482"/>
                    <w:rPr>
                      <w:rFonts w:eastAsia="宋体"/>
                      <w:lang w:eastAsia="zh-CN"/>
                    </w:rPr>
                  </w:pPr>
                  <w:bookmarkStart w:id="57" w:name="OLE_LINK17"/>
                  <w:bookmarkStart w:id="58" w:name="OLE_LINK18"/>
                  <w:r w:rsidRPr="009304E0">
                    <w:rPr>
                      <w:rFonts w:eastAsia="宋体" w:hint="eastAsia"/>
                      <w:b/>
                      <w:lang w:eastAsia="zh-CN"/>
                    </w:rPr>
                    <w:t>俄罗斯经济短期韧性持续，景气度有所下降。</w:t>
                  </w:r>
                  <w:bookmarkEnd w:id="57"/>
                  <w:bookmarkEnd w:id="58"/>
                  <w:r w:rsidRPr="009304E0">
                    <w:rPr>
                      <w:rFonts w:eastAsia="宋体"/>
                      <w:lang w:eastAsia="zh-CN"/>
                    </w:rPr>
                    <w:t>俄罗斯</w:t>
                  </w:r>
                  <w:r w:rsidRPr="009304E0">
                    <w:rPr>
                      <w:rFonts w:eastAsia="宋体"/>
                      <w:lang w:eastAsia="zh-CN"/>
                    </w:rPr>
                    <w:t>2024</w:t>
                  </w:r>
                  <w:r w:rsidRPr="009304E0">
                    <w:rPr>
                      <w:rFonts w:eastAsia="宋体"/>
                      <w:lang w:eastAsia="zh-CN"/>
                    </w:rPr>
                    <w:t>年</w:t>
                  </w:r>
                  <w:r w:rsidRPr="009304E0">
                    <w:rPr>
                      <w:rFonts w:eastAsia="宋体" w:hint="eastAsia"/>
                      <w:lang w:eastAsia="zh-CN"/>
                    </w:rPr>
                    <w:t>全年</w:t>
                  </w:r>
                  <w:r w:rsidRPr="009304E0">
                    <w:rPr>
                      <w:rFonts w:eastAsia="宋体"/>
                      <w:lang w:eastAsia="zh-CN"/>
                    </w:rPr>
                    <w:t>经济增速为</w:t>
                  </w:r>
                  <w:r w:rsidRPr="009304E0">
                    <w:rPr>
                      <w:rFonts w:eastAsia="宋体"/>
                      <w:lang w:eastAsia="zh-CN"/>
                    </w:rPr>
                    <w:t>4.1%</w:t>
                  </w:r>
                  <w:r w:rsidRPr="009304E0">
                    <w:rPr>
                      <w:rFonts w:eastAsia="宋体"/>
                      <w:lang w:eastAsia="zh-CN"/>
                    </w:rPr>
                    <w:t>。</w:t>
                  </w:r>
                  <w:r w:rsidRPr="009304E0">
                    <w:rPr>
                      <w:rFonts w:eastAsia="宋体"/>
                      <w:lang w:eastAsia="zh-CN"/>
                    </w:rPr>
                    <w:t>4</w:t>
                  </w:r>
                  <w:r w:rsidRPr="009304E0">
                    <w:rPr>
                      <w:rFonts w:eastAsia="宋体" w:hint="eastAsia"/>
                      <w:lang w:eastAsia="zh-CN"/>
                    </w:rPr>
                    <w:t>季度</w:t>
                  </w:r>
                  <w:r w:rsidRPr="009304E0">
                    <w:rPr>
                      <w:rFonts w:eastAsia="宋体"/>
                      <w:lang w:eastAsia="zh-CN"/>
                    </w:rPr>
                    <w:t>，俄罗斯经济同比增速为</w:t>
                  </w:r>
                  <w:r w:rsidRPr="009304E0">
                    <w:rPr>
                      <w:rFonts w:eastAsia="宋体"/>
                      <w:lang w:eastAsia="zh-CN"/>
                    </w:rPr>
                    <w:t>3.8%</w:t>
                  </w:r>
                  <w:r w:rsidRPr="009304E0">
                    <w:rPr>
                      <w:rFonts w:eastAsia="宋体" w:hint="eastAsia"/>
                      <w:lang w:eastAsia="zh-CN"/>
                    </w:rPr>
                    <w:t>，高于上季度的</w:t>
                  </w:r>
                  <w:r w:rsidRPr="009304E0">
                    <w:rPr>
                      <w:rFonts w:eastAsia="宋体"/>
                      <w:lang w:eastAsia="zh-CN"/>
                    </w:rPr>
                    <w:t>3</w:t>
                  </w:r>
                  <w:r w:rsidRPr="009304E0">
                    <w:rPr>
                      <w:rFonts w:eastAsia="宋体" w:hint="eastAsia"/>
                      <w:lang w:eastAsia="zh-CN"/>
                    </w:rPr>
                    <w:t>.</w:t>
                  </w:r>
                  <w:r w:rsidRPr="009304E0">
                    <w:rPr>
                      <w:rFonts w:eastAsia="宋体"/>
                      <w:lang w:eastAsia="zh-CN"/>
                    </w:rPr>
                    <w:t>1</w:t>
                  </w:r>
                  <w:r w:rsidRPr="009304E0">
                    <w:rPr>
                      <w:rFonts w:eastAsia="宋体" w:hint="eastAsia"/>
                      <w:lang w:eastAsia="zh-CN"/>
                    </w:rPr>
                    <w:t>%</w:t>
                  </w:r>
                  <w:r w:rsidRPr="009304E0">
                    <w:rPr>
                      <w:rFonts w:eastAsia="宋体"/>
                      <w:lang w:eastAsia="zh-CN"/>
                    </w:rPr>
                    <w:t>。</w:t>
                  </w:r>
                  <w:r w:rsidRPr="009304E0">
                    <w:rPr>
                      <w:rFonts w:eastAsia="宋体" w:hint="eastAsia"/>
                      <w:lang w:eastAsia="zh-CN"/>
                    </w:rPr>
                    <w:t>分解来看，消费与投资增速分别达到</w:t>
                  </w:r>
                  <w:r w:rsidRPr="009304E0">
                    <w:rPr>
                      <w:rFonts w:eastAsia="宋体" w:hint="eastAsia"/>
                      <w:lang w:eastAsia="zh-CN"/>
                    </w:rPr>
                    <w:t>5.9%</w:t>
                  </w:r>
                  <w:r w:rsidRPr="009304E0">
                    <w:rPr>
                      <w:rFonts w:eastAsia="宋体" w:hint="eastAsia"/>
                      <w:lang w:eastAsia="zh-CN"/>
                    </w:rPr>
                    <w:t>和</w:t>
                  </w:r>
                  <w:r w:rsidRPr="009304E0">
                    <w:rPr>
                      <w:rFonts w:eastAsia="宋体" w:hint="eastAsia"/>
                      <w:lang w:eastAsia="zh-CN"/>
                    </w:rPr>
                    <w:t>6.4%</w:t>
                  </w:r>
                  <w:r w:rsidRPr="009304E0">
                    <w:rPr>
                      <w:rFonts w:eastAsia="宋体" w:hint="eastAsia"/>
                      <w:lang w:eastAsia="zh-CN"/>
                    </w:rPr>
                    <w:t>，较上季度显著提升，净出口同比高于上季度，显示四季度俄罗斯经济增长较为稳健。</w:t>
                  </w:r>
                  <w:r w:rsidRPr="009304E0">
                    <w:rPr>
                      <w:rFonts w:eastAsia="宋体" w:hint="eastAsia"/>
                      <w:lang w:eastAsia="zh-CN"/>
                    </w:rPr>
                    <w:t>2024</w:t>
                  </w:r>
                  <w:r w:rsidRPr="009304E0">
                    <w:rPr>
                      <w:rFonts w:eastAsia="宋体" w:hint="eastAsia"/>
                      <w:lang w:eastAsia="zh-CN"/>
                    </w:rPr>
                    <w:t>年</w:t>
                  </w:r>
                  <w:r w:rsidRPr="009304E0">
                    <w:rPr>
                      <w:rFonts w:eastAsia="宋体"/>
                      <w:lang w:eastAsia="zh-CN"/>
                    </w:rPr>
                    <w:t>11</w:t>
                  </w:r>
                  <w:r w:rsidRPr="009304E0">
                    <w:rPr>
                      <w:rFonts w:eastAsia="宋体" w:hint="eastAsia"/>
                      <w:lang w:eastAsia="zh-CN"/>
                    </w:rPr>
                    <w:t>月</w:t>
                  </w:r>
                  <w:r w:rsidRPr="009304E0">
                    <w:rPr>
                      <w:rFonts w:eastAsia="宋体" w:hint="eastAsia"/>
                      <w:lang w:eastAsia="zh-CN"/>
                    </w:rPr>
                    <w:t>-2025</w:t>
                  </w:r>
                  <w:r w:rsidRPr="009304E0">
                    <w:rPr>
                      <w:rFonts w:eastAsia="宋体" w:hint="eastAsia"/>
                      <w:lang w:eastAsia="zh-CN"/>
                    </w:rPr>
                    <w:t>年</w:t>
                  </w:r>
                  <w:r w:rsidRPr="009304E0">
                    <w:rPr>
                      <w:rFonts w:eastAsia="宋体" w:hint="eastAsia"/>
                      <w:lang w:eastAsia="zh-CN"/>
                    </w:rPr>
                    <w:t>1</w:t>
                  </w:r>
                  <w:r w:rsidRPr="009304E0">
                    <w:rPr>
                      <w:rFonts w:eastAsia="宋体" w:hint="eastAsia"/>
                      <w:lang w:eastAsia="zh-CN"/>
                    </w:rPr>
                    <w:t>月，俄罗斯商品贸易出口同比增速显著增加，贸易差额增速显著转正，从拖累增长转为支撑增长。</w:t>
                  </w:r>
                  <w:r w:rsidRPr="009304E0">
                    <w:rPr>
                      <w:rFonts w:eastAsia="宋体"/>
                      <w:lang w:eastAsia="zh-CN"/>
                    </w:rPr>
                    <w:t>2025</w:t>
                  </w:r>
                  <w:r w:rsidRPr="009304E0">
                    <w:rPr>
                      <w:rFonts w:eastAsia="宋体"/>
                      <w:lang w:eastAsia="zh-CN"/>
                    </w:rPr>
                    <w:t>年</w:t>
                  </w:r>
                  <w:r w:rsidRPr="009304E0">
                    <w:rPr>
                      <w:rFonts w:eastAsia="宋体"/>
                      <w:lang w:eastAsia="zh-CN"/>
                    </w:rPr>
                    <w:t>1-3</w:t>
                  </w:r>
                  <w:r w:rsidRPr="009304E0">
                    <w:rPr>
                      <w:rFonts w:eastAsia="宋体"/>
                      <w:lang w:eastAsia="zh-CN"/>
                    </w:rPr>
                    <w:t>月，俄罗斯综合</w:t>
                  </w:r>
                  <w:r w:rsidRPr="009304E0">
                    <w:rPr>
                      <w:rFonts w:eastAsia="宋体"/>
                      <w:lang w:eastAsia="zh-CN"/>
                    </w:rPr>
                    <w:t>PMI</w:t>
                  </w:r>
                  <w:r w:rsidRPr="009304E0">
                    <w:rPr>
                      <w:rFonts w:eastAsia="宋体"/>
                      <w:lang w:eastAsia="zh-CN"/>
                    </w:rPr>
                    <w:t>分别为</w:t>
                  </w:r>
                  <w:r w:rsidRPr="009304E0">
                    <w:rPr>
                      <w:rFonts w:eastAsia="宋体"/>
                      <w:lang w:eastAsia="zh-CN"/>
                    </w:rPr>
                    <w:t>54.7</w:t>
                  </w:r>
                  <w:r w:rsidRPr="009304E0">
                    <w:rPr>
                      <w:rFonts w:eastAsia="宋体"/>
                      <w:lang w:eastAsia="zh-CN"/>
                    </w:rPr>
                    <w:t>、</w:t>
                  </w:r>
                  <w:r w:rsidRPr="009304E0">
                    <w:rPr>
                      <w:rFonts w:eastAsia="宋体"/>
                      <w:lang w:eastAsia="zh-CN"/>
                    </w:rPr>
                    <w:t>50.4</w:t>
                  </w:r>
                  <w:r w:rsidRPr="009304E0">
                    <w:rPr>
                      <w:rFonts w:eastAsia="宋体"/>
                      <w:lang w:eastAsia="zh-CN"/>
                    </w:rPr>
                    <w:t>和</w:t>
                  </w:r>
                  <w:r w:rsidRPr="009304E0">
                    <w:rPr>
                      <w:rFonts w:eastAsia="宋体"/>
                      <w:lang w:eastAsia="zh-CN"/>
                    </w:rPr>
                    <w:t>49.1</w:t>
                  </w:r>
                  <w:r w:rsidRPr="009304E0">
                    <w:rPr>
                      <w:rFonts w:eastAsia="宋体"/>
                      <w:lang w:eastAsia="zh-CN"/>
                    </w:rPr>
                    <w:t>。制造业</w:t>
                  </w:r>
                  <w:r w:rsidRPr="009304E0">
                    <w:rPr>
                      <w:rFonts w:eastAsia="宋体"/>
                      <w:lang w:eastAsia="zh-CN"/>
                    </w:rPr>
                    <w:t>PMI</w:t>
                  </w:r>
                  <w:r w:rsidRPr="009304E0">
                    <w:rPr>
                      <w:rFonts w:eastAsia="宋体"/>
                      <w:lang w:eastAsia="zh-CN"/>
                    </w:rPr>
                    <w:t>分别为</w:t>
                  </w:r>
                  <w:r w:rsidRPr="009304E0">
                    <w:rPr>
                      <w:rFonts w:eastAsia="宋体"/>
                      <w:lang w:eastAsia="zh-CN"/>
                    </w:rPr>
                    <w:t>53.1</w:t>
                  </w:r>
                  <w:r w:rsidRPr="009304E0">
                    <w:rPr>
                      <w:rFonts w:eastAsia="宋体"/>
                      <w:lang w:eastAsia="zh-CN"/>
                    </w:rPr>
                    <w:t>、</w:t>
                  </w:r>
                  <w:r w:rsidRPr="009304E0">
                    <w:rPr>
                      <w:rFonts w:eastAsia="宋体"/>
                      <w:lang w:eastAsia="zh-CN"/>
                    </w:rPr>
                    <w:t>50</w:t>
                  </w:r>
                  <w:r w:rsidRPr="009304E0">
                    <w:rPr>
                      <w:rFonts w:eastAsia="宋体" w:hint="eastAsia"/>
                      <w:lang w:eastAsia="zh-CN"/>
                    </w:rPr>
                    <w:t>.</w:t>
                  </w:r>
                  <w:r w:rsidRPr="009304E0">
                    <w:rPr>
                      <w:rFonts w:eastAsia="宋体"/>
                      <w:lang w:eastAsia="zh-CN"/>
                    </w:rPr>
                    <w:t>2</w:t>
                  </w:r>
                  <w:r w:rsidRPr="009304E0">
                    <w:rPr>
                      <w:rFonts w:eastAsia="宋体"/>
                      <w:lang w:eastAsia="zh-CN"/>
                    </w:rPr>
                    <w:t>和</w:t>
                  </w:r>
                  <w:r w:rsidRPr="009304E0">
                    <w:rPr>
                      <w:rFonts w:eastAsia="宋体"/>
                      <w:lang w:eastAsia="zh-CN"/>
                    </w:rPr>
                    <w:t>48</w:t>
                  </w:r>
                  <w:r w:rsidRPr="009304E0">
                    <w:rPr>
                      <w:rFonts w:eastAsia="宋体" w:hint="eastAsia"/>
                      <w:lang w:eastAsia="zh-CN"/>
                    </w:rPr>
                    <w:t>.</w:t>
                  </w:r>
                  <w:r w:rsidRPr="009304E0">
                    <w:rPr>
                      <w:rFonts w:eastAsia="宋体"/>
                      <w:lang w:eastAsia="zh-CN"/>
                    </w:rPr>
                    <w:t>2</w:t>
                  </w:r>
                  <w:r w:rsidRPr="009304E0">
                    <w:rPr>
                      <w:rFonts w:eastAsia="宋体" w:hint="eastAsia"/>
                      <w:lang w:eastAsia="zh-CN"/>
                    </w:rPr>
                    <w:t>。</w:t>
                  </w:r>
                  <w:r w:rsidRPr="009304E0">
                    <w:rPr>
                      <w:rFonts w:eastAsia="宋体"/>
                      <w:lang w:eastAsia="zh-CN"/>
                    </w:rPr>
                    <w:t>服务业</w:t>
                  </w:r>
                  <w:r w:rsidRPr="009304E0">
                    <w:rPr>
                      <w:rFonts w:eastAsia="宋体"/>
                      <w:lang w:eastAsia="zh-CN"/>
                    </w:rPr>
                    <w:t>PMI</w:t>
                  </w:r>
                  <w:r w:rsidRPr="009304E0">
                    <w:rPr>
                      <w:rFonts w:eastAsia="宋体"/>
                      <w:lang w:eastAsia="zh-CN"/>
                    </w:rPr>
                    <w:t>分别为</w:t>
                  </w:r>
                  <w:r w:rsidRPr="009304E0">
                    <w:rPr>
                      <w:rFonts w:eastAsia="宋体"/>
                      <w:lang w:eastAsia="zh-CN"/>
                    </w:rPr>
                    <w:t>54.6</w:t>
                  </w:r>
                  <w:r w:rsidRPr="009304E0">
                    <w:rPr>
                      <w:rFonts w:eastAsia="宋体"/>
                      <w:lang w:eastAsia="zh-CN"/>
                    </w:rPr>
                    <w:t>、</w:t>
                  </w:r>
                  <w:r w:rsidRPr="009304E0">
                    <w:rPr>
                      <w:rFonts w:eastAsia="宋体" w:hint="eastAsia"/>
                      <w:lang w:eastAsia="zh-CN"/>
                    </w:rPr>
                    <w:t>5</w:t>
                  </w:r>
                  <w:r w:rsidRPr="009304E0">
                    <w:rPr>
                      <w:rFonts w:eastAsia="宋体"/>
                      <w:lang w:eastAsia="zh-CN"/>
                    </w:rPr>
                    <w:t>0.5</w:t>
                  </w:r>
                  <w:r w:rsidRPr="009304E0">
                    <w:rPr>
                      <w:rFonts w:eastAsia="宋体"/>
                      <w:lang w:eastAsia="zh-CN"/>
                    </w:rPr>
                    <w:t>和</w:t>
                  </w:r>
                  <w:r w:rsidRPr="009304E0">
                    <w:rPr>
                      <w:rFonts w:eastAsia="宋体"/>
                      <w:lang w:eastAsia="zh-CN"/>
                    </w:rPr>
                    <w:t>50</w:t>
                  </w:r>
                  <w:r w:rsidRPr="009304E0">
                    <w:rPr>
                      <w:rFonts w:eastAsia="宋体" w:hint="eastAsia"/>
                      <w:lang w:eastAsia="zh-CN"/>
                    </w:rPr>
                    <w:t>.</w:t>
                  </w:r>
                  <w:r w:rsidRPr="009304E0">
                    <w:rPr>
                      <w:rFonts w:eastAsia="宋体"/>
                      <w:lang w:eastAsia="zh-CN"/>
                    </w:rPr>
                    <w:t>1</w:t>
                  </w:r>
                  <w:r w:rsidRPr="009304E0">
                    <w:rPr>
                      <w:rFonts w:eastAsia="宋体"/>
                      <w:lang w:eastAsia="zh-CN"/>
                    </w:rPr>
                    <w:t>，</w:t>
                  </w:r>
                  <w:r w:rsidRPr="009304E0">
                    <w:rPr>
                      <w:rFonts w:eastAsia="宋体" w:hint="eastAsia"/>
                      <w:lang w:eastAsia="zh-CN"/>
                    </w:rPr>
                    <w:t>均较</w:t>
                  </w:r>
                  <w:r w:rsidRPr="009304E0">
                    <w:rPr>
                      <w:rFonts w:eastAsia="宋体" w:hint="eastAsia"/>
                      <w:lang w:eastAsia="zh-CN"/>
                    </w:rPr>
                    <w:t>3</w:t>
                  </w:r>
                  <w:r w:rsidRPr="009304E0">
                    <w:rPr>
                      <w:rFonts w:eastAsia="宋体" w:hint="eastAsia"/>
                      <w:lang w:eastAsia="zh-CN"/>
                    </w:rPr>
                    <w:t>季度小幅下降，且呈现出明显下降态势</w:t>
                  </w:r>
                  <w:r w:rsidRPr="009304E0">
                    <w:rPr>
                      <w:rFonts w:eastAsia="宋体"/>
                      <w:lang w:eastAsia="zh-CN"/>
                    </w:rPr>
                    <w:t>。</w:t>
                  </w:r>
                  <w:r w:rsidRPr="009304E0">
                    <w:rPr>
                      <w:rFonts w:eastAsia="宋体" w:hint="eastAsia"/>
                      <w:lang w:eastAsia="zh-CN"/>
                    </w:rPr>
                    <w:t>2024</w:t>
                  </w:r>
                  <w:r w:rsidRPr="009304E0">
                    <w:rPr>
                      <w:rFonts w:eastAsia="宋体" w:hint="eastAsia"/>
                      <w:lang w:eastAsia="zh-CN"/>
                    </w:rPr>
                    <w:t>年</w:t>
                  </w:r>
                  <w:r w:rsidRPr="009304E0">
                    <w:rPr>
                      <w:rFonts w:eastAsia="宋体" w:hint="eastAsia"/>
                      <w:lang w:eastAsia="zh-CN"/>
                    </w:rPr>
                    <w:t>1-</w:t>
                  </w:r>
                  <w:r w:rsidRPr="009304E0">
                    <w:rPr>
                      <w:rFonts w:eastAsia="宋体"/>
                      <w:lang w:eastAsia="zh-CN"/>
                    </w:rPr>
                    <w:t>12</w:t>
                  </w:r>
                  <w:r w:rsidRPr="009304E0">
                    <w:rPr>
                      <w:rFonts w:eastAsia="宋体" w:hint="eastAsia"/>
                      <w:lang w:eastAsia="zh-CN"/>
                    </w:rPr>
                    <w:t>月俄罗斯财政收入</w:t>
                  </w:r>
                  <w:r w:rsidRPr="009304E0">
                    <w:rPr>
                      <w:rFonts w:eastAsia="宋体"/>
                      <w:lang w:eastAsia="zh-CN"/>
                    </w:rPr>
                    <w:t>36</w:t>
                  </w:r>
                  <w:r w:rsidRPr="009304E0">
                    <w:rPr>
                      <w:rFonts w:eastAsia="宋体" w:hint="eastAsia"/>
                      <w:lang w:eastAsia="zh-CN"/>
                    </w:rPr>
                    <w:t>.</w:t>
                  </w:r>
                  <w:r w:rsidRPr="009304E0">
                    <w:rPr>
                      <w:rFonts w:eastAsia="宋体"/>
                      <w:lang w:eastAsia="zh-CN"/>
                    </w:rPr>
                    <w:t>7</w:t>
                  </w:r>
                  <w:r w:rsidRPr="009304E0">
                    <w:rPr>
                      <w:rFonts w:eastAsia="宋体" w:hint="eastAsia"/>
                      <w:lang w:eastAsia="zh-CN"/>
                    </w:rPr>
                    <w:t>万亿卢布，同比增长</w:t>
                  </w:r>
                  <w:r w:rsidRPr="009304E0">
                    <w:rPr>
                      <w:rFonts w:eastAsia="宋体"/>
                      <w:lang w:eastAsia="zh-CN"/>
                    </w:rPr>
                    <w:t>41.4</w:t>
                  </w:r>
                  <w:r w:rsidRPr="009304E0">
                    <w:rPr>
                      <w:rFonts w:eastAsia="宋体" w:hint="eastAsia"/>
                      <w:lang w:eastAsia="zh-CN"/>
                    </w:rPr>
                    <w:t>%</w:t>
                  </w:r>
                  <w:r w:rsidRPr="009304E0">
                    <w:rPr>
                      <w:rFonts w:eastAsia="宋体" w:hint="eastAsia"/>
                      <w:lang w:eastAsia="zh-CN"/>
                    </w:rPr>
                    <w:t>，财政支出</w:t>
                  </w:r>
                  <w:r w:rsidRPr="009304E0">
                    <w:rPr>
                      <w:rFonts w:eastAsia="宋体"/>
                      <w:lang w:eastAsia="zh-CN"/>
                    </w:rPr>
                    <w:t>40.2</w:t>
                  </w:r>
                  <w:r w:rsidRPr="009304E0">
                    <w:rPr>
                      <w:rFonts w:eastAsia="宋体" w:hint="eastAsia"/>
                      <w:lang w:eastAsia="zh-CN"/>
                    </w:rPr>
                    <w:t>万亿卢布，同比增长</w:t>
                  </w:r>
                  <w:r w:rsidRPr="009304E0">
                    <w:rPr>
                      <w:rFonts w:eastAsia="宋体"/>
                      <w:lang w:eastAsia="zh-CN"/>
                    </w:rPr>
                    <w:t>49.7</w:t>
                  </w:r>
                  <w:r w:rsidRPr="009304E0">
                    <w:rPr>
                      <w:rFonts w:eastAsia="宋体" w:hint="eastAsia"/>
                      <w:lang w:eastAsia="zh-CN"/>
                    </w:rPr>
                    <w:t>%</w:t>
                  </w:r>
                  <w:r w:rsidRPr="009304E0">
                    <w:rPr>
                      <w:rFonts w:eastAsia="宋体" w:hint="eastAsia"/>
                      <w:lang w:eastAsia="zh-CN"/>
                    </w:rPr>
                    <w:t>，再次出现较大财政赤字。</w:t>
                  </w:r>
                  <w:r w:rsidRPr="009304E0">
                    <w:rPr>
                      <w:rFonts w:eastAsia="宋体"/>
                      <w:lang w:eastAsia="zh-CN"/>
                    </w:rPr>
                    <w:t>2025</w:t>
                  </w:r>
                  <w:r w:rsidRPr="009304E0">
                    <w:rPr>
                      <w:rFonts w:eastAsia="宋体"/>
                      <w:lang w:eastAsia="zh-CN"/>
                    </w:rPr>
                    <w:t>年</w:t>
                  </w:r>
                  <w:r w:rsidRPr="009304E0">
                    <w:rPr>
                      <w:rFonts w:eastAsia="宋体"/>
                      <w:lang w:eastAsia="zh-CN"/>
                    </w:rPr>
                    <w:t>1-2</w:t>
                  </w:r>
                  <w:r w:rsidRPr="009304E0">
                    <w:rPr>
                      <w:rFonts w:eastAsia="宋体"/>
                      <w:lang w:eastAsia="zh-CN"/>
                    </w:rPr>
                    <w:t>月俄罗斯失业率</w:t>
                  </w:r>
                  <w:r w:rsidRPr="009304E0">
                    <w:rPr>
                      <w:rFonts w:eastAsia="宋体" w:hint="eastAsia"/>
                      <w:lang w:eastAsia="zh-CN"/>
                    </w:rPr>
                    <w:t>从</w:t>
                  </w:r>
                  <w:r w:rsidRPr="009304E0">
                    <w:rPr>
                      <w:rFonts w:eastAsia="宋体"/>
                      <w:lang w:eastAsia="zh-CN"/>
                    </w:rPr>
                    <w:t>2.3%</w:t>
                  </w:r>
                  <w:r w:rsidRPr="009304E0">
                    <w:rPr>
                      <w:rFonts w:eastAsia="宋体" w:hint="eastAsia"/>
                      <w:lang w:eastAsia="zh-CN"/>
                    </w:rPr>
                    <w:t>小幅升至</w:t>
                  </w:r>
                  <w:r w:rsidRPr="009304E0">
                    <w:rPr>
                      <w:rFonts w:eastAsia="宋体" w:hint="eastAsia"/>
                      <w:lang w:eastAsia="zh-CN"/>
                    </w:rPr>
                    <w:t>2.4%</w:t>
                  </w:r>
                  <w:r w:rsidRPr="009304E0">
                    <w:rPr>
                      <w:rFonts w:eastAsia="宋体" w:hint="eastAsia"/>
                      <w:lang w:eastAsia="zh-CN"/>
                    </w:rPr>
                    <w:t>。</w:t>
                  </w:r>
                  <w:r w:rsidRPr="009304E0">
                    <w:rPr>
                      <w:rFonts w:eastAsia="宋体"/>
                      <w:lang w:eastAsia="zh-CN"/>
                    </w:rPr>
                    <w:t>国际货币基金组织</w:t>
                  </w:r>
                  <w:r w:rsidRPr="009304E0">
                    <w:rPr>
                      <w:rFonts w:eastAsia="宋体"/>
                      <w:lang w:eastAsia="zh-CN"/>
                    </w:rPr>
                    <w:t>2025</w:t>
                  </w:r>
                  <w:r w:rsidRPr="009304E0">
                    <w:rPr>
                      <w:rFonts w:eastAsia="宋体"/>
                      <w:lang w:eastAsia="zh-CN"/>
                    </w:rPr>
                    <w:t>年</w:t>
                  </w:r>
                  <w:r w:rsidRPr="009304E0">
                    <w:rPr>
                      <w:rFonts w:eastAsia="宋体"/>
                      <w:lang w:eastAsia="zh-CN"/>
                    </w:rPr>
                    <w:t>1</w:t>
                  </w:r>
                  <w:r w:rsidRPr="009304E0">
                    <w:rPr>
                      <w:rFonts w:eastAsia="宋体"/>
                      <w:lang w:eastAsia="zh-CN"/>
                    </w:rPr>
                    <w:t>月报告预测，</w:t>
                  </w:r>
                  <w:r w:rsidRPr="009304E0">
                    <w:rPr>
                      <w:rFonts w:eastAsia="宋体" w:hint="eastAsia"/>
                      <w:lang w:eastAsia="zh-CN"/>
                    </w:rPr>
                    <w:t>俄罗斯</w:t>
                  </w:r>
                  <w:r w:rsidRPr="009304E0">
                    <w:rPr>
                      <w:rFonts w:eastAsia="宋体" w:hint="eastAsia"/>
                      <w:lang w:eastAsia="zh-CN"/>
                    </w:rPr>
                    <w:t>2025</w:t>
                  </w:r>
                  <w:r w:rsidRPr="009304E0">
                    <w:rPr>
                      <w:rFonts w:eastAsia="宋体" w:hint="eastAsia"/>
                      <w:lang w:eastAsia="zh-CN"/>
                    </w:rPr>
                    <w:t>年增速将为</w:t>
                  </w:r>
                  <w:r w:rsidRPr="009304E0">
                    <w:rPr>
                      <w:rFonts w:eastAsia="宋体" w:hint="eastAsia"/>
                      <w:lang w:eastAsia="zh-CN"/>
                    </w:rPr>
                    <w:lastRenderedPageBreak/>
                    <w:t>1.</w:t>
                  </w:r>
                  <w:r w:rsidRPr="009304E0">
                    <w:rPr>
                      <w:rFonts w:eastAsia="宋体"/>
                      <w:lang w:eastAsia="zh-CN"/>
                    </w:rPr>
                    <w:t>4</w:t>
                  </w:r>
                  <w:r w:rsidRPr="009304E0">
                    <w:rPr>
                      <w:rFonts w:eastAsia="宋体" w:hint="eastAsia"/>
                      <w:lang w:eastAsia="zh-CN"/>
                    </w:rPr>
                    <w:t>%</w:t>
                  </w:r>
                  <w:r w:rsidRPr="009304E0">
                    <w:rPr>
                      <w:rFonts w:eastAsia="宋体" w:hint="eastAsia"/>
                      <w:lang w:eastAsia="zh-CN"/>
                    </w:rPr>
                    <w:t>。</w:t>
                  </w:r>
                </w:p>
                <w:p w14:paraId="4FDBAE7B" w14:textId="621FB39F" w:rsidR="00CB5FC9" w:rsidRPr="009304E0" w:rsidRDefault="00CB5FC9" w:rsidP="00CB5FC9">
                  <w:pPr>
                    <w:ind w:firstLine="482"/>
                    <w:rPr>
                      <w:rFonts w:eastAsia="宋体"/>
                      <w:lang w:eastAsia="zh-CN"/>
                    </w:rPr>
                  </w:pPr>
                  <w:r w:rsidRPr="009304E0">
                    <w:rPr>
                      <w:rFonts w:eastAsia="宋体" w:hint="eastAsia"/>
                      <w:b/>
                      <w:lang w:eastAsia="zh-CN"/>
                    </w:rPr>
                    <w:t>印度经济继续稳步增长，货物贸易逆差同比扩大</w:t>
                  </w:r>
                  <w:r w:rsidRPr="009304E0">
                    <w:rPr>
                      <w:rFonts w:eastAsia="宋体"/>
                      <w:lang w:eastAsia="zh-CN"/>
                    </w:rPr>
                    <w:t>。</w:t>
                  </w:r>
                  <w:r w:rsidRPr="009304E0">
                    <w:rPr>
                      <w:rFonts w:eastAsia="宋体"/>
                      <w:lang w:eastAsia="zh-CN"/>
                    </w:rPr>
                    <w:t>4</w:t>
                  </w:r>
                  <w:r w:rsidRPr="009304E0">
                    <w:rPr>
                      <w:rFonts w:eastAsia="宋体"/>
                      <w:lang w:eastAsia="zh-CN"/>
                    </w:rPr>
                    <w:t>季</w:t>
                  </w:r>
                  <w:r w:rsidRPr="009304E0">
                    <w:rPr>
                      <w:rFonts w:eastAsia="宋体" w:hint="eastAsia"/>
                      <w:lang w:eastAsia="zh-CN"/>
                    </w:rPr>
                    <w:t>度，印度经济同比增长</w:t>
                  </w:r>
                  <w:r w:rsidRPr="009304E0">
                    <w:rPr>
                      <w:rFonts w:eastAsia="宋体"/>
                      <w:lang w:eastAsia="zh-CN"/>
                    </w:rPr>
                    <w:t>6</w:t>
                  </w:r>
                  <w:r w:rsidRPr="009304E0">
                    <w:rPr>
                      <w:rFonts w:eastAsia="宋体" w:hint="eastAsia"/>
                      <w:lang w:eastAsia="zh-CN"/>
                    </w:rPr>
                    <w:t>.</w:t>
                  </w:r>
                  <w:r w:rsidRPr="009304E0">
                    <w:rPr>
                      <w:rFonts w:eastAsia="宋体"/>
                      <w:lang w:eastAsia="zh-CN"/>
                    </w:rPr>
                    <w:t>2</w:t>
                  </w:r>
                  <w:r w:rsidRPr="009304E0">
                    <w:rPr>
                      <w:rFonts w:eastAsia="宋体" w:hint="eastAsia"/>
                      <w:lang w:eastAsia="zh-CN"/>
                    </w:rPr>
                    <w:t>%</w:t>
                  </w:r>
                  <w:r w:rsidRPr="009304E0">
                    <w:rPr>
                      <w:rFonts w:eastAsia="宋体" w:hint="eastAsia"/>
                      <w:lang w:eastAsia="zh-CN"/>
                    </w:rPr>
                    <w:t>，高于</w:t>
                  </w:r>
                  <w:r w:rsidRPr="009304E0">
                    <w:rPr>
                      <w:rFonts w:eastAsia="宋体"/>
                      <w:lang w:eastAsia="zh-CN"/>
                    </w:rPr>
                    <w:t>3</w:t>
                  </w:r>
                  <w:r w:rsidRPr="009304E0">
                    <w:rPr>
                      <w:rFonts w:eastAsia="宋体" w:hint="eastAsia"/>
                      <w:lang w:eastAsia="zh-CN"/>
                    </w:rPr>
                    <w:t>季度的同比</w:t>
                  </w:r>
                  <w:r w:rsidRPr="009304E0">
                    <w:rPr>
                      <w:rFonts w:eastAsia="宋体"/>
                      <w:lang w:eastAsia="zh-CN"/>
                    </w:rPr>
                    <w:t>5</w:t>
                  </w:r>
                  <w:r w:rsidRPr="009304E0">
                    <w:rPr>
                      <w:rFonts w:eastAsia="宋体" w:hint="eastAsia"/>
                      <w:lang w:eastAsia="zh-CN"/>
                    </w:rPr>
                    <w:t>.</w:t>
                  </w:r>
                  <w:r w:rsidRPr="009304E0">
                    <w:rPr>
                      <w:rFonts w:eastAsia="宋体"/>
                      <w:lang w:eastAsia="zh-CN"/>
                    </w:rPr>
                    <w:t>6</w:t>
                  </w:r>
                  <w:r w:rsidRPr="009304E0">
                    <w:rPr>
                      <w:rFonts w:eastAsia="宋体" w:hint="eastAsia"/>
                      <w:lang w:eastAsia="zh-CN"/>
                    </w:rPr>
                    <w:t>%</w:t>
                  </w:r>
                  <w:r w:rsidRPr="009304E0">
                    <w:rPr>
                      <w:rFonts w:eastAsia="宋体" w:hint="eastAsia"/>
                      <w:lang w:eastAsia="zh-CN"/>
                    </w:rPr>
                    <w:t>。分项来看，私人消费与投资分别同比增长</w:t>
                  </w:r>
                  <w:r w:rsidRPr="009304E0">
                    <w:rPr>
                      <w:rFonts w:eastAsia="宋体"/>
                      <w:lang w:eastAsia="zh-CN"/>
                    </w:rPr>
                    <w:t>6</w:t>
                  </w:r>
                  <w:r w:rsidRPr="009304E0">
                    <w:rPr>
                      <w:rFonts w:eastAsia="宋体" w:hint="eastAsia"/>
                      <w:lang w:eastAsia="zh-CN"/>
                    </w:rPr>
                    <w:t>.</w:t>
                  </w:r>
                  <w:r w:rsidRPr="009304E0">
                    <w:rPr>
                      <w:rFonts w:eastAsia="宋体"/>
                      <w:lang w:eastAsia="zh-CN"/>
                    </w:rPr>
                    <w:t>9</w:t>
                  </w:r>
                  <w:r w:rsidRPr="009304E0">
                    <w:rPr>
                      <w:rFonts w:eastAsia="宋体" w:hint="eastAsia"/>
                      <w:lang w:eastAsia="zh-CN"/>
                    </w:rPr>
                    <w:t>%</w:t>
                  </w:r>
                  <w:r w:rsidRPr="009304E0">
                    <w:rPr>
                      <w:rFonts w:eastAsia="宋体" w:hint="eastAsia"/>
                      <w:lang w:eastAsia="zh-CN"/>
                    </w:rPr>
                    <w:t>和</w:t>
                  </w:r>
                  <w:r w:rsidRPr="009304E0">
                    <w:rPr>
                      <w:rFonts w:eastAsia="宋体"/>
                      <w:lang w:eastAsia="zh-CN"/>
                    </w:rPr>
                    <w:t>5</w:t>
                  </w:r>
                  <w:r w:rsidRPr="009304E0">
                    <w:rPr>
                      <w:rFonts w:eastAsia="宋体" w:hint="eastAsia"/>
                      <w:lang w:eastAsia="zh-CN"/>
                    </w:rPr>
                    <w:t>.</w:t>
                  </w:r>
                  <w:r w:rsidRPr="009304E0">
                    <w:rPr>
                      <w:rFonts w:eastAsia="宋体"/>
                      <w:lang w:eastAsia="zh-CN"/>
                    </w:rPr>
                    <w:t>7</w:t>
                  </w:r>
                  <w:r w:rsidRPr="009304E0">
                    <w:rPr>
                      <w:rFonts w:eastAsia="宋体" w:hint="eastAsia"/>
                      <w:lang w:eastAsia="zh-CN"/>
                    </w:rPr>
                    <w:t>%</w:t>
                  </w:r>
                  <w:r w:rsidRPr="009304E0">
                    <w:rPr>
                      <w:rFonts w:eastAsia="宋体" w:hint="eastAsia"/>
                      <w:lang w:eastAsia="zh-CN"/>
                    </w:rPr>
                    <w:t>，均较上季度有所上升。</w:t>
                  </w:r>
                  <w:r w:rsidRPr="009304E0">
                    <w:rPr>
                      <w:rFonts w:eastAsia="宋体"/>
                      <w:lang w:eastAsia="zh-CN"/>
                    </w:rPr>
                    <w:t>2025</w:t>
                  </w:r>
                  <w:r w:rsidRPr="009304E0">
                    <w:rPr>
                      <w:rFonts w:eastAsia="宋体"/>
                      <w:lang w:eastAsia="zh-CN"/>
                    </w:rPr>
                    <w:t>年</w:t>
                  </w:r>
                  <w:r w:rsidRPr="009304E0">
                    <w:rPr>
                      <w:rFonts w:eastAsia="宋体"/>
                      <w:lang w:eastAsia="zh-CN"/>
                    </w:rPr>
                    <w:t>1-3</w:t>
                  </w:r>
                  <w:r w:rsidRPr="009304E0">
                    <w:rPr>
                      <w:rFonts w:eastAsia="宋体"/>
                      <w:lang w:eastAsia="zh-CN"/>
                    </w:rPr>
                    <w:t>月，</w:t>
                  </w:r>
                  <w:r w:rsidRPr="009304E0">
                    <w:rPr>
                      <w:rFonts w:eastAsia="宋体" w:hint="eastAsia"/>
                      <w:lang w:eastAsia="zh-CN"/>
                    </w:rPr>
                    <w:t>印度</w:t>
                  </w:r>
                  <w:r w:rsidRPr="009304E0">
                    <w:rPr>
                      <w:rFonts w:eastAsia="宋体"/>
                      <w:lang w:eastAsia="zh-CN"/>
                    </w:rPr>
                    <w:t>综合</w:t>
                  </w:r>
                  <w:r w:rsidRPr="009304E0">
                    <w:rPr>
                      <w:rFonts w:eastAsia="宋体"/>
                      <w:lang w:eastAsia="zh-CN"/>
                    </w:rPr>
                    <w:t>PMI</w:t>
                  </w:r>
                  <w:r w:rsidRPr="009304E0">
                    <w:rPr>
                      <w:rFonts w:eastAsia="宋体"/>
                      <w:lang w:eastAsia="zh-CN"/>
                    </w:rPr>
                    <w:t>分别为</w:t>
                  </w:r>
                  <w:r w:rsidRPr="009304E0">
                    <w:rPr>
                      <w:rFonts w:eastAsia="宋体"/>
                      <w:lang w:eastAsia="zh-CN"/>
                    </w:rPr>
                    <w:t>57.7</w:t>
                  </w:r>
                  <w:r w:rsidRPr="009304E0">
                    <w:rPr>
                      <w:rFonts w:eastAsia="宋体"/>
                      <w:lang w:eastAsia="zh-CN"/>
                    </w:rPr>
                    <w:t>、</w:t>
                  </w:r>
                  <w:r w:rsidRPr="009304E0">
                    <w:rPr>
                      <w:rFonts w:eastAsia="宋体"/>
                      <w:lang w:eastAsia="zh-CN"/>
                    </w:rPr>
                    <w:t>60.6</w:t>
                  </w:r>
                  <w:r w:rsidRPr="009304E0">
                    <w:rPr>
                      <w:rFonts w:eastAsia="宋体" w:hint="eastAsia"/>
                      <w:lang w:eastAsia="zh-CN"/>
                    </w:rPr>
                    <w:t>、</w:t>
                  </w:r>
                  <w:r w:rsidRPr="009304E0">
                    <w:rPr>
                      <w:rFonts w:eastAsia="宋体" w:hint="eastAsia"/>
                      <w:lang w:eastAsia="zh-CN"/>
                    </w:rPr>
                    <w:t>58.6</w:t>
                  </w:r>
                  <w:r w:rsidRPr="009304E0">
                    <w:rPr>
                      <w:rFonts w:eastAsia="宋体" w:hint="eastAsia"/>
                      <w:lang w:eastAsia="zh-CN"/>
                    </w:rPr>
                    <w:t>，</w:t>
                  </w:r>
                  <w:r w:rsidRPr="009304E0">
                    <w:rPr>
                      <w:rFonts w:eastAsia="宋体"/>
                      <w:lang w:eastAsia="zh-CN"/>
                    </w:rPr>
                    <w:t>制造业</w:t>
                  </w:r>
                  <w:r w:rsidRPr="009304E0">
                    <w:rPr>
                      <w:rFonts w:eastAsia="宋体"/>
                      <w:lang w:eastAsia="zh-CN"/>
                    </w:rPr>
                    <w:t>PMI</w:t>
                  </w:r>
                  <w:r w:rsidRPr="009304E0">
                    <w:rPr>
                      <w:rFonts w:eastAsia="宋体"/>
                      <w:lang w:eastAsia="zh-CN"/>
                    </w:rPr>
                    <w:t>分别为</w:t>
                  </w:r>
                  <w:r w:rsidRPr="009304E0">
                    <w:rPr>
                      <w:rFonts w:eastAsia="宋体"/>
                      <w:lang w:eastAsia="zh-CN"/>
                    </w:rPr>
                    <w:t>57.7</w:t>
                  </w:r>
                  <w:r w:rsidRPr="009304E0">
                    <w:rPr>
                      <w:rFonts w:eastAsia="宋体" w:hint="eastAsia"/>
                      <w:lang w:eastAsia="zh-CN"/>
                    </w:rPr>
                    <w:t>、</w:t>
                  </w:r>
                  <w:r w:rsidRPr="009304E0">
                    <w:rPr>
                      <w:rFonts w:eastAsia="宋体"/>
                      <w:lang w:eastAsia="zh-CN"/>
                    </w:rPr>
                    <w:t>59.5</w:t>
                  </w:r>
                  <w:r w:rsidRPr="009304E0">
                    <w:rPr>
                      <w:rFonts w:eastAsia="宋体" w:hint="eastAsia"/>
                      <w:lang w:eastAsia="zh-CN"/>
                    </w:rPr>
                    <w:t>、</w:t>
                  </w:r>
                  <w:r w:rsidRPr="009304E0">
                    <w:rPr>
                      <w:rFonts w:eastAsia="宋体" w:hint="eastAsia"/>
                      <w:lang w:eastAsia="zh-CN"/>
                    </w:rPr>
                    <w:t>57.6</w:t>
                  </w:r>
                  <w:r w:rsidRPr="009304E0">
                    <w:rPr>
                      <w:rFonts w:eastAsia="宋体"/>
                      <w:lang w:eastAsia="zh-CN"/>
                    </w:rPr>
                    <w:t>，服务业</w:t>
                  </w:r>
                  <w:r w:rsidRPr="009304E0">
                    <w:rPr>
                      <w:rFonts w:eastAsia="宋体"/>
                      <w:lang w:eastAsia="zh-CN"/>
                    </w:rPr>
                    <w:t>PMI</w:t>
                  </w:r>
                  <w:r w:rsidRPr="009304E0">
                    <w:rPr>
                      <w:rFonts w:eastAsia="宋体"/>
                      <w:lang w:eastAsia="zh-CN"/>
                    </w:rPr>
                    <w:t>分别为</w:t>
                  </w:r>
                  <w:r w:rsidRPr="009304E0">
                    <w:rPr>
                      <w:rFonts w:eastAsia="宋体"/>
                      <w:lang w:eastAsia="zh-CN"/>
                    </w:rPr>
                    <w:t>56.5</w:t>
                  </w:r>
                  <w:r w:rsidRPr="009304E0">
                    <w:rPr>
                      <w:rFonts w:eastAsia="宋体"/>
                      <w:lang w:eastAsia="zh-CN"/>
                    </w:rPr>
                    <w:t>、</w:t>
                  </w:r>
                  <w:r w:rsidRPr="009304E0">
                    <w:rPr>
                      <w:rFonts w:eastAsia="宋体"/>
                      <w:lang w:eastAsia="zh-CN"/>
                    </w:rPr>
                    <w:t>61.1</w:t>
                  </w:r>
                  <w:r w:rsidRPr="009304E0">
                    <w:rPr>
                      <w:rFonts w:eastAsia="宋体" w:hint="eastAsia"/>
                      <w:lang w:eastAsia="zh-CN"/>
                    </w:rPr>
                    <w:t>、</w:t>
                  </w:r>
                  <w:r w:rsidRPr="009304E0">
                    <w:rPr>
                      <w:rFonts w:eastAsia="宋体" w:hint="eastAsia"/>
                      <w:lang w:eastAsia="zh-CN"/>
                    </w:rPr>
                    <w:t>57.7</w:t>
                  </w:r>
                  <w:r w:rsidRPr="009304E0">
                    <w:rPr>
                      <w:rFonts w:eastAsia="宋体" w:hint="eastAsia"/>
                      <w:lang w:eastAsia="zh-CN"/>
                    </w:rPr>
                    <w:t>，显示印度经济景气度仍然较高</w:t>
                  </w:r>
                  <w:r w:rsidRPr="009304E0">
                    <w:rPr>
                      <w:rFonts w:eastAsia="宋体"/>
                      <w:lang w:eastAsia="zh-CN"/>
                    </w:rPr>
                    <w:t>。</w:t>
                  </w:r>
                  <w:r w:rsidRPr="009304E0">
                    <w:rPr>
                      <w:rFonts w:eastAsia="宋体"/>
                      <w:lang w:eastAsia="zh-CN"/>
                    </w:rPr>
                    <w:t>2024</w:t>
                  </w:r>
                  <w:r w:rsidRPr="009304E0">
                    <w:rPr>
                      <w:rFonts w:eastAsia="宋体"/>
                      <w:lang w:eastAsia="zh-CN"/>
                    </w:rPr>
                    <w:t>年</w:t>
                  </w:r>
                  <w:r w:rsidRPr="009304E0">
                    <w:rPr>
                      <w:rFonts w:eastAsia="宋体"/>
                      <w:lang w:eastAsia="zh-CN"/>
                    </w:rPr>
                    <w:t>12</w:t>
                  </w:r>
                  <w:r w:rsidRPr="009304E0">
                    <w:rPr>
                      <w:rFonts w:eastAsia="宋体"/>
                      <w:lang w:eastAsia="zh-CN"/>
                    </w:rPr>
                    <w:t>月</w:t>
                  </w:r>
                  <w:r w:rsidRPr="009304E0">
                    <w:rPr>
                      <w:rFonts w:eastAsia="宋体"/>
                      <w:lang w:eastAsia="zh-CN"/>
                    </w:rPr>
                    <w:t>-2025</w:t>
                  </w:r>
                  <w:r w:rsidRPr="009304E0">
                    <w:rPr>
                      <w:rFonts w:eastAsia="宋体"/>
                      <w:lang w:eastAsia="zh-CN"/>
                    </w:rPr>
                    <w:t>年</w:t>
                  </w:r>
                  <w:r w:rsidRPr="009304E0">
                    <w:rPr>
                      <w:rFonts w:eastAsia="宋体"/>
                      <w:lang w:eastAsia="zh-CN"/>
                    </w:rPr>
                    <w:t>2</w:t>
                  </w:r>
                  <w:r w:rsidRPr="009304E0">
                    <w:rPr>
                      <w:rFonts w:eastAsia="宋体"/>
                      <w:lang w:eastAsia="zh-CN"/>
                    </w:rPr>
                    <w:t>月，</w:t>
                  </w:r>
                  <w:r w:rsidRPr="009304E0">
                    <w:rPr>
                      <w:rFonts w:eastAsia="宋体" w:hint="eastAsia"/>
                      <w:lang w:eastAsia="zh-CN"/>
                    </w:rPr>
                    <w:t>印度商品出口同比增速分别为</w:t>
                  </w:r>
                  <w:r w:rsidRPr="009304E0">
                    <w:rPr>
                      <w:rFonts w:eastAsia="宋体"/>
                      <w:lang w:eastAsia="zh-CN"/>
                    </w:rPr>
                    <w:t>-1%</w:t>
                  </w:r>
                  <w:r w:rsidRPr="009304E0">
                    <w:rPr>
                      <w:rFonts w:eastAsia="宋体" w:hint="eastAsia"/>
                      <w:lang w:eastAsia="zh-CN"/>
                    </w:rPr>
                    <w:t>、</w:t>
                  </w:r>
                  <w:r w:rsidRPr="009304E0">
                    <w:rPr>
                      <w:rFonts w:eastAsia="宋体" w:hint="eastAsia"/>
                      <w:lang w:eastAsia="zh-CN"/>
                    </w:rPr>
                    <w:t>-2.4%</w:t>
                  </w:r>
                  <w:r w:rsidRPr="009304E0">
                    <w:rPr>
                      <w:rFonts w:eastAsia="宋体" w:hint="eastAsia"/>
                      <w:lang w:eastAsia="zh-CN"/>
                    </w:rPr>
                    <w:t>和</w:t>
                  </w:r>
                  <w:r w:rsidRPr="009304E0">
                    <w:rPr>
                      <w:rFonts w:eastAsia="宋体" w:hint="eastAsia"/>
                      <w:lang w:eastAsia="zh-CN"/>
                    </w:rPr>
                    <w:t>-</w:t>
                  </w:r>
                  <w:r w:rsidRPr="009304E0">
                    <w:rPr>
                      <w:rFonts w:eastAsia="宋体"/>
                      <w:lang w:eastAsia="zh-CN"/>
                    </w:rPr>
                    <w:t>10.9%</w:t>
                  </w:r>
                  <w:r w:rsidRPr="009304E0">
                    <w:rPr>
                      <w:rFonts w:eastAsia="宋体" w:hint="eastAsia"/>
                      <w:lang w:eastAsia="zh-CN"/>
                    </w:rPr>
                    <w:t>，进口同比分别为</w:t>
                  </w:r>
                  <w:r w:rsidRPr="009304E0">
                    <w:rPr>
                      <w:rFonts w:eastAsia="宋体"/>
                      <w:lang w:eastAsia="zh-CN"/>
                    </w:rPr>
                    <w:t>4</w:t>
                  </w:r>
                  <w:r w:rsidRPr="009304E0">
                    <w:rPr>
                      <w:rFonts w:eastAsia="宋体" w:hint="eastAsia"/>
                      <w:lang w:eastAsia="zh-CN"/>
                    </w:rPr>
                    <w:t>.9%</w:t>
                  </w:r>
                  <w:r w:rsidRPr="009304E0">
                    <w:rPr>
                      <w:rFonts w:eastAsia="宋体" w:hint="eastAsia"/>
                      <w:lang w:eastAsia="zh-CN"/>
                    </w:rPr>
                    <w:t>、</w:t>
                  </w:r>
                  <w:r w:rsidRPr="009304E0">
                    <w:rPr>
                      <w:rFonts w:eastAsia="宋体" w:hint="eastAsia"/>
                      <w:lang w:eastAsia="zh-CN"/>
                    </w:rPr>
                    <w:t>10.3%</w:t>
                  </w:r>
                  <w:r w:rsidRPr="009304E0">
                    <w:rPr>
                      <w:rFonts w:eastAsia="宋体" w:hint="eastAsia"/>
                      <w:lang w:eastAsia="zh-CN"/>
                    </w:rPr>
                    <w:t>和</w:t>
                  </w:r>
                  <w:r w:rsidRPr="009304E0">
                    <w:rPr>
                      <w:rFonts w:eastAsia="宋体"/>
                      <w:lang w:eastAsia="zh-CN"/>
                    </w:rPr>
                    <w:t>-16.3%</w:t>
                  </w:r>
                  <w:r w:rsidRPr="009304E0">
                    <w:rPr>
                      <w:rFonts w:eastAsia="宋体" w:hint="eastAsia"/>
                      <w:lang w:eastAsia="zh-CN"/>
                    </w:rPr>
                    <w:t>，仍然呈现出内需主导的格局。</w:t>
                  </w:r>
                  <w:r w:rsidRPr="009304E0">
                    <w:rPr>
                      <w:rFonts w:eastAsia="宋体"/>
                      <w:lang w:eastAsia="zh-CN"/>
                    </w:rPr>
                    <w:t>2024</w:t>
                  </w:r>
                  <w:r w:rsidRPr="009304E0">
                    <w:rPr>
                      <w:rFonts w:eastAsia="宋体"/>
                      <w:lang w:eastAsia="zh-CN"/>
                    </w:rPr>
                    <w:t>年</w:t>
                  </w:r>
                  <w:r w:rsidRPr="009304E0">
                    <w:rPr>
                      <w:rFonts w:eastAsia="宋体"/>
                      <w:lang w:eastAsia="zh-CN"/>
                    </w:rPr>
                    <w:t>12</w:t>
                  </w:r>
                  <w:r w:rsidRPr="009304E0">
                    <w:rPr>
                      <w:rFonts w:eastAsia="宋体"/>
                      <w:lang w:eastAsia="zh-CN"/>
                    </w:rPr>
                    <w:t>月</w:t>
                  </w:r>
                  <w:r w:rsidRPr="009304E0">
                    <w:rPr>
                      <w:rFonts w:eastAsia="宋体"/>
                      <w:lang w:eastAsia="zh-CN"/>
                    </w:rPr>
                    <w:t>-2025</w:t>
                  </w:r>
                  <w:r w:rsidRPr="009304E0">
                    <w:rPr>
                      <w:rFonts w:eastAsia="宋体"/>
                      <w:lang w:eastAsia="zh-CN"/>
                    </w:rPr>
                    <w:t>年</w:t>
                  </w:r>
                  <w:r w:rsidRPr="009304E0">
                    <w:rPr>
                      <w:rFonts w:eastAsia="宋体"/>
                      <w:lang w:eastAsia="zh-CN"/>
                    </w:rPr>
                    <w:t>1</w:t>
                  </w:r>
                  <w:r w:rsidRPr="009304E0">
                    <w:rPr>
                      <w:rFonts w:eastAsia="宋体"/>
                      <w:lang w:eastAsia="zh-CN"/>
                    </w:rPr>
                    <w:t>月，</w:t>
                  </w:r>
                  <w:r w:rsidRPr="009304E0">
                    <w:rPr>
                      <w:rFonts w:eastAsia="宋体" w:hint="eastAsia"/>
                      <w:lang w:eastAsia="zh-CN"/>
                    </w:rPr>
                    <w:t>印度失业率分别为</w:t>
                  </w:r>
                  <w:r w:rsidRPr="009304E0">
                    <w:rPr>
                      <w:rFonts w:eastAsia="宋体"/>
                      <w:lang w:eastAsia="zh-CN"/>
                    </w:rPr>
                    <w:t>8</w:t>
                  </w:r>
                  <w:r w:rsidRPr="009304E0">
                    <w:rPr>
                      <w:rFonts w:eastAsia="宋体" w:hint="eastAsia"/>
                      <w:lang w:eastAsia="zh-CN"/>
                    </w:rPr>
                    <w:t>.</w:t>
                  </w:r>
                  <w:r w:rsidRPr="009304E0">
                    <w:rPr>
                      <w:rFonts w:eastAsia="宋体"/>
                      <w:lang w:eastAsia="zh-CN"/>
                    </w:rPr>
                    <w:t>3</w:t>
                  </w:r>
                  <w:r w:rsidRPr="009304E0">
                    <w:rPr>
                      <w:rFonts w:eastAsia="宋体" w:hint="eastAsia"/>
                      <w:lang w:eastAsia="zh-CN"/>
                    </w:rPr>
                    <w:t>%</w:t>
                  </w:r>
                  <w:r w:rsidRPr="009304E0">
                    <w:rPr>
                      <w:rFonts w:eastAsia="宋体" w:hint="eastAsia"/>
                      <w:lang w:eastAsia="zh-CN"/>
                    </w:rPr>
                    <w:t>、</w:t>
                  </w:r>
                  <w:r w:rsidRPr="009304E0">
                    <w:rPr>
                      <w:rFonts w:eastAsia="宋体"/>
                      <w:lang w:eastAsia="zh-CN"/>
                    </w:rPr>
                    <w:t>8</w:t>
                  </w:r>
                  <w:r w:rsidRPr="009304E0">
                    <w:rPr>
                      <w:rFonts w:eastAsia="宋体" w:hint="eastAsia"/>
                      <w:lang w:eastAsia="zh-CN"/>
                    </w:rPr>
                    <w:t>.</w:t>
                  </w:r>
                  <w:r w:rsidRPr="009304E0">
                    <w:rPr>
                      <w:rFonts w:eastAsia="宋体"/>
                      <w:lang w:eastAsia="zh-CN"/>
                    </w:rPr>
                    <w:t>2</w:t>
                  </w:r>
                  <w:r w:rsidRPr="009304E0">
                    <w:rPr>
                      <w:rFonts w:eastAsia="宋体" w:hint="eastAsia"/>
                      <w:lang w:eastAsia="zh-CN"/>
                    </w:rPr>
                    <w:t>%</w:t>
                  </w:r>
                  <w:r w:rsidRPr="009304E0">
                    <w:rPr>
                      <w:rFonts w:eastAsia="宋体" w:hint="eastAsia"/>
                      <w:lang w:eastAsia="zh-CN"/>
                    </w:rPr>
                    <w:t>。国际货币基金组织</w:t>
                  </w:r>
                  <w:r w:rsidRPr="009304E0">
                    <w:rPr>
                      <w:rFonts w:eastAsia="宋体"/>
                      <w:lang w:eastAsia="zh-CN"/>
                    </w:rPr>
                    <w:t>2025</w:t>
                  </w:r>
                  <w:r w:rsidRPr="009304E0">
                    <w:rPr>
                      <w:rFonts w:eastAsia="宋体"/>
                      <w:lang w:eastAsia="zh-CN"/>
                    </w:rPr>
                    <w:t>年</w:t>
                  </w:r>
                  <w:r w:rsidRPr="009304E0">
                    <w:rPr>
                      <w:rFonts w:eastAsia="宋体"/>
                      <w:lang w:eastAsia="zh-CN"/>
                    </w:rPr>
                    <w:t>1</w:t>
                  </w:r>
                  <w:r w:rsidRPr="009304E0">
                    <w:rPr>
                      <w:rFonts w:eastAsia="宋体"/>
                      <w:lang w:eastAsia="zh-CN"/>
                    </w:rPr>
                    <w:t>月报告预测，</w:t>
                  </w:r>
                  <w:r w:rsidRPr="009304E0">
                    <w:rPr>
                      <w:rFonts w:eastAsia="宋体" w:hint="eastAsia"/>
                      <w:lang w:eastAsia="zh-CN"/>
                    </w:rPr>
                    <w:t>印度</w:t>
                  </w:r>
                  <w:r w:rsidRPr="009304E0">
                    <w:rPr>
                      <w:rFonts w:eastAsia="宋体"/>
                      <w:lang w:eastAsia="zh-CN"/>
                    </w:rPr>
                    <w:t>2025</w:t>
                  </w:r>
                  <w:r w:rsidRPr="009304E0">
                    <w:rPr>
                      <w:rFonts w:eastAsia="宋体"/>
                      <w:lang w:eastAsia="zh-CN"/>
                    </w:rPr>
                    <w:t>年增速将为</w:t>
                  </w:r>
                  <w:r w:rsidRPr="009304E0">
                    <w:rPr>
                      <w:rFonts w:eastAsia="宋体"/>
                      <w:lang w:eastAsia="zh-CN"/>
                    </w:rPr>
                    <w:t>6.5%</w:t>
                  </w:r>
                  <w:r w:rsidRPr="009304E0">
                    <w:rPr>
                      <w:rFonts w:eastAsia="宋体"/>
                      <w:lang w:eastAsia="zh-CN"/>
                    </w:rPr>
                    <w:t>。</w:t>
                  </w:r>
                </w:p>
                <w:p w14:paraId="39C17801" w14:textId="77777777" w:rsidR="00CB5FC9" w:rsidRPr="009304E0" w:rsidRDefault="00CB5FC9" w:rsidP="00CB5FC9">
                  <w:pPr>
                    <w:ind w:firstLine="482"/>
                    <w:rPr>
                      <w:rFonts w:eastAsia="宋体"/>
                      <w:lang w:eastAsia="zh-CN"/>
                    </w:rPr>
                  </w:pPr>
                  <w:r w:rsidRPr="009304E0">
                    <w:rPr>
                      <w:rFonts w:eastAsia="宋体" w:hint="eastAsia"/>
                      <w:b/>
                      <w:lang w:eastAsia="zh-CN"/>
                    </w:rPr>
                    <w:t>巴西经济复苏动能转弱，净出口显著拖累增长</w:t>
                  </w:r>
                  <w:r w:rsidRPr="009304E0">
                    <w:rPr>
                      <w:rFonts w:eastAsia="宋体" w:hint="eastAsia"/>
                      <w:lang w:eastAsia="zh-CN"/>
                    </w:rPr>
                    <w:t>。</w:t>
                  </w:r>
                  <w:r w:rsidRPr="009304E0">
                    <w:rPr>
                      <w:rFonts w:eastAsia="宋体" w:hint="eastAsia"/>
                      <w:lang w:eastAsia="zh-CN"/>
                    </w:rPr>
                    <w:t>2024</w:t>
                  </w:r>
                  <w:r w:rsidRPr="009304E0">
                    <w:rPr>
                      <w:rFonts w:eastAsia="宋体" w:hint="eastAsia"/>
                      <w:lang w:eastAsia="zh-CN"/>
                    </w:rPr>
                    <w:t>年，巴西经济增长率为</w:t>
                  </w:r>
                  <w:r w:rsidRPr="009304E0">
                    <w:rPr>
                      <w:rFonts w:eastAsia="宋体" w:hint="eastAsia"/>
                      <w:lang w:eastAsia="zh-CN"/>
                    </w:rPr>
                    <w:t>3.4%</w:t>
                  </w:r>
                  <w:r w:rsidRPr="009304E0">
                    <w:rPr>
                      <w:rFonts w:eastAsia="宋体" w:hint="eastAsia"/>
                      <w:lang w:eastAsia="zh-CN"/>
                    </w:rPr>
                    <w:t>。</w:t>
                  </w:r>
                  <w:r w:rsidRPr="009304E0">
                    <w:rPr>
                      <w:rFonts w:eastAsia="宋体"/>
                      <w:lang w:eastAsia="zh-CN"/>
                    </w:rPr>
                    <w:t>4</w:t>
                  </w:r>
                  <w:r w:rsidRPr="009304E0">
                    <w:rPr>
                      <w:rFonts w:eastAsia="宋体"/>
                      <w:lang w:eastAsia="zh-CN"/>
                    </w:rPr>
                    <w:t>季度，巴西实际</w:t>
                  </w:r>
                  <w:r w:rsidRPr="009304E0">
                    <w:rPr>
                      <w:rFonts w:eastAsia="宋体"/>
                      <w:lang w:eastAsia="zh-CN"/>
                    </w:rPr>
                    <w:t>GDP</w:t>
                  </w:r>
                  <w:r w:rsidRPr="009304E0">
                    <w:rPr>
                      <w:rFonts w:eastAsia="宋体"/>
                      <w:lang w:eastAsia="zh-CN"/>
                    </w:rPr>
                    <w:t>同比增速为</w:t>
                  </w:r>
                  <w:r w:rsidRPr="009304E0">
                    <w:rPr>
                      <w:rFonts w:eastAsia="宋体"/>
                      <w:lang w:eastAsia="zh-CN"/>
                    </w:rPr>
                    <w:t>3.6%</w:t>
                  </w:r>
                  <w:r w:rsidRPr="009304E0">
                    <w:rPr>
                      <w:rFonts w:eastAsia="宋体"/>
                      <w:lang w:eastAsia="zh-CN"/>
                    </w:rPr>
                    <w:t>，环比增长</w:t>
                  </w:r>
                  <w:r w:rsidRPr="009304E0">
                    <w:rPr>
                      <w:rFonts w:eastAsia="宋体"/>
                      <w:lang w:eastAsia="zh-CN"/>
                    </w:rPr>
                    <w:t>0.2%</w:t>
                  </w:r>
                  <w:r w:rsidRPr="009304E0">
                    <w:rPr>
                      <w:rFonts w:eastAsia="宋体"/>
                      <w:lang w:eastAsia="zh-CN"/>
                    </w:rPr>
                    <w:t>，</w:t>
                  </w:r>
                  <w:r w:rsidRPr="009304E0">
                    <w:rPr>
                      <w:rFonts w:eastAsia="宋体" w:hint="eastAsia"/>
                      <w:lang w:eastAsia="zh-CN"/>
                    </w:rPr>
                    <w:t>均较上季度有所下降</w:t>
                  </w:r>
                  <w:r w:rsidRPr="009304E0">
                    <w:rPr>
                      <w:rFonts w:eastAsia="宋体"/>
                      <w:lang w:eastAsia="zh-CN"/>
                    </w:rPr>
                    <w:t>。分解来看，</w:t>
                  </w:r>
                  <w:r w:rsidRPr="009304E0">
                    <w:rPr>
                      <w:rFonts w:eastAsia="宋体" w:hint="eastAsia"/>
                      <w:lang w:eastAsia="zh-CN"/>
                    </w:rPr>
                    <w:t>私人消费同比增长</w:t>
                  </w:r>
                  <w:r w:rsidRPr="009304E0">
                    <w:rPr>
                      <w:rFonts w:eastAsia="宋体"/>
                      <w:lang w:eastAsia="zh-CN"/>
                    </w:rPr>
                    <w:t>3</w:t>
                  </w:r>
                  <w:r w:rsidRPr="009304E0">
                    <w:rPr>
                      <w:rFonts w:eastAsia="宋体" w:hint="eastAsia"/>
                      <w:lang w:eastAsia="zh-CN"/>
                    </w:rPr>
                    <w:t>.</w:t>
                  </w:r>
                  <w:r w:rsidRPr="009304E0">
                    <w:rPr>
                      <w:rFonts w:eastAsia="宋体"/>
                      <w:lang w:eastAsia="zh-CN"/>
                    </w:rPr>
                    <w:t>8</w:t>
                  </w:r>
                  <w:r w:rsidRPr="009304E0">
                    <w:rPr>
                      <w:rFonts w:eastAsia="宋体" w:hint="eastAsia"/>
                      <w:lang w:eastAsia="zh-CN"/>
                    </w:rPr>
                    <w:t>%</w:t>
                  </w:r>
                  <w:r w:rsidRPr="009304E0">
                    <w:rPr>
                      <w:rFonts w:eastAsia="宋体" w:hint="eastAsia"/>
                      <w:lang w:eastAsia="zh-CN"/>
                    </w:rPr>
                    <w:t>，固定资产投资增长</w:t>
                  </w:r>
                  <w:r w:rsidRPr="009304E0">
                    <w:rPr>
                      <w:rFonts w:eastAsia="宋体"/>
                      <w:lang w:eastAsia="zh-CN"/>
                    </w:rPr>
                    <w:t>9</w:t>
                  </w:r>
                  <w:r w:rsidRPr="009304E0">
                    <w:rPr>
                      <w:rFonts w:eastAsia="宋体" w:hint="eastAsia"/>
                      <w:lang w:eastAsia="zh-CN"/>
                    </w:rPr>
                    <w:t>.</w:t>
                  </w:r>
                  <w:r w:rsidRPr="009304E0">
                    <w:rPr>
                      <w:rFonts w:eastAsia="宋体"/>
                      <w:lang w:eastAsia="zh-CN"/>
                    </w:rPr>
                    <w:t>6</w:t>
                  </w:r>
                  <w:r w:rsidRPr="009304E0">
                    <w:rPr>
                      <w:rFonts w:eastAsia="宋体" w:hint="eastAsia"/>
                      <w:lang w:eastAsia="zh-CN"/>
                    </w:rPr>
                    <w:t>%</w:t>
                  </w:r>
                  <w:r w:rsidRPr="009304E0">
                    <w:rPr>
                      <w:rFonts w:eastAsia="宋体" w:hint="eastAsia"/>
                      <w:lang w:eastAsia="zh-CN"/>
                    </w:rPr>
                    <w:t>，增速较上季度小幅下降，净出口同比大幅负增长，拖累经济增长。</w:t>
                  </w:r>
                  <w:r w:rsidRPr="009304E0">
                    <w:rPr>
                      <w:rFonts w:eastAsia="宋体"/>
                      <w:lang w:eastAsia="zh-CN"/>
                    </w:rPr>
                    <w:t>2025</w:t>
                  </w:r>
                  <w:r w:rsidRPr="009304E0">
                    <w:rPr>
                      <w:rFonts w:eastAsia="宋体"/>
                      <w:lang w:eastAsia="zh-CN"/>
                    </w:rPr>
                    <w:t>年</w:t>
                  </w:r>
                  <w:r w:rsidRPr="009304E0">
                    <w:rPr>
                      <w:rFonts w:eastAsia="宋体"/>
                      <w:lang w:eastAsia="zh-CN"/>
                    </w:rPr>
                    <w:t>1-3</w:t>
                  </w:r>
                  <w:r w:rsidRPr="009304E0">
                    <w:rPr>
                      <w:rFonts w:eastAsia="宋体"/>
                      <w:lang w:eastAsia="zh-CN"/>
                    </w:rPr>
                    <w:t>月，巴西制造业</w:t>
                  </w:r>
                  <w:r w:rsidRPr="009304E0">
                    <w:rPr>
                      <w:rFonts w:eastAsia="宋体"/>
                      <w:lang w:eastAsia="zh-CN"/>
                    </w:rPr>
                    <w:t>PMI</w:t>
                  </w:r>
                  <w:r w:rsidRPr="009304E0">
                    <w:rPr>
                      <w:rFonts w:eastAsia="宋体"/>
                      <w:lang w:eastAsia="zh-CN"/>
                    </w:rPr>
                    <w:t>分别为</w:t>
                  </w:r>
                  <w:r w:rsidRPr="009304E0">
                    <w:rPr>
                      <w:rFonts w:eastAsia="宋体"/>
                      <w:lang w:eastAsia="zh-CN"/>
                    </w:rPr>
                    <w:t>50.7</w:t>
                  </w:r>
                  <w:r w:rsidRPr="009304E0">
                    <w:rPr>
                      <w:rFonts w:eastAsia="宋体"/>
                      <w:lang w:eastAsia="zh-CN"/>
                    </w:rPr>
                    <w:t>、</w:t>
                  </w:r>
                  <w:r w:rsidRPr="009304E0">
                    <w:rPr>
                      <w:rFonts w:eastAsia="宋体"/>
                      <w:lang w:eastAsia="zh-CN"/>
                    </w:rPr>
                    <w:t>53.0</w:t>
                  </w:r>
                  <w:r w:rsidRPr="009304E0">
                    <w:rPr>
                      <w:rFonts w:eastAsia="宋体"/>
                      <w:lang w:eastAsia="zh-CN"/>
                    </w:rPr>
                    <w:t>和</w:t>
                  </w:r>
                  <w:r w:rsidRPr="009304E0">
                    <w:rPr>
                      <w:rFonts w:eastAsia="宋体" w:hint="eastAsia"/>
                      <w:lang w:eastAsia="zh-CN"/>
                    </w:rPr>
                    <w:t>5</w:t>
                  </w:r>
                  <w:r w:rsidRPr="009304E0">
                    <w:rPr>
                      <w:rFonts w:eastAsia="宋体"/>
                      <w:lang w:eastAsia="zh-CN"/>
                    </w:rPr>
                    <w:t>1.8</w:t>
                  </w:r>
                  <w:r w:rsidRPr="009304E0">
                    <w:rPr>
                      <w:rFonts w:eastAsia="宋体"/>
                      <w:lang w:eastAsia="zh-CN"/>
                    </w:rPr>
                    <w:t>，</w:t>
                  </w:r>
                  <w:r w:rsidRPr="009304E0">
                    <w:rPr>
                      <w:rFonts w:eastAsia="宋体" w:hint="eastAsia"/>
                      <w:lang w:eastAsia="zh-CN"/>
                    </w:rPr>
                    <w:t>与上季度基本持平。</w:t>
                  </w:r>
                  <w:r w:rsidRPr="009304E0">
                    <w:rPr>
                      <w:rFonts w:eastAsia="宋体"/>
                      <w:lang w:eastAsia="zh-CN"/>
                    </w:rPr>
                    <w:t>服务业</w:t>
                  </w:r>
                  <w:r w:rsidRPr="009304E0">
                    <w:rPr>
                      <w:rFonts w:eastAsia="宋体"/>
                      <w:lang w:eastAsia="zh-CN"/>
                    </w:rPr>
                    <w:t>PMI</w:t>
                  </w:r>
                  <w:r w:rsidRPr="009304E0">
                    <w:rPr>
                      <w:rFonts w:eastAsia="宋体"/>
                      <w:lang w:eastAsia="zh-CN"/>
                    </w:rPr>
                    <w:t>分别为</w:t>
                  </w:r>
                  <w:r w:rsidRPr="009304E0">
                    <w:rPr>
                      <w:rFonts w:eastAsia="宋体"/>
                      <w:lang w:eastAsia="zh-CN"/>
                    </w:rPr>
                    <w:t>47.6</w:t>
                  </w:r>
                  <w:r w:rsidRPr="009304E0">
                    <w:rPr>
                      <w:rFonts w:eastAsia="宋体"/>
                      <w:lang w:eastAsia="zh-CN"/>
                    </w:rPr>
                    <w:t>、</w:t>
                  </w:r>
                  <w:r w:rsidRPr="009304E0">
                    <w:rPr>
                      <w:rFonts w:eastAsia="宋体"/>
                      <w:lang w:eastAsia="zh-CN"/>
                    </w:rPr>
                    <w:t>50.6</w:t>
                  </w:r>
                  <w:r w:rsidRPr="009304E0">
                    <w:rPr>
                      <w:rFonts w:eastAsia="宋体"/>
                      <w:lang w:eastAsia="zh-CN"/>
                    </w:rPr>
                    <w:t>和</w:t>
                  </w:r>
                  <w:r w:rsidRPr="009304E0">
                    <w:rPr>
                      <w:rFonts w:eastAsia="宋体" w:hint="eastAsia"/>
                      <w:lang w:eastAsia="zh-CN"/>
                    </w:rPr>
                    <w:t>5</w:t>
                  </w:r>
                  <w:r w:rsidRPr="009304E0">
                    <w:rPr>
                      <w:rFonts w:eastAsia="宋体"/>
                      <w:lang w:eastAsia="zh-CN"/>
                    </w:rPr>
                    <w:t>2.5</w:t>
                  </w:r>
                  <w:r w:rsidRPr="009304E0">
                    <w:rPr>
                      <w:rFonts w:eastAsia="宋体"/>
                      <w:lang w:eastAsia="zh-CN"/>
                    </w:rPr>
                    <w:t>，</w:t>
                  </w:r>
                  <w:r w:rsidRPr="009304E0">
                    <w:rPr>
                      <w:rFonts w:eastAsia="宋体" w:hint="eastAsia"/>
                      <w:lang w:eastAsia="zh-CN"/>
                    </w:rPr>
                    <w:t>较上季度有所下降</w:t>
                  </w:r>
                  <w:r w:rsidRPr="009304E0">
                    <w:rPr>
                      <w:rFonts w:eastAsia="宋体"/>
                      <w:lang w:eastAsia="zh-CN"/>
                    </w:rPr>
                    <w:t>。根据巴西国家地理与统计局的调查数据，</w:t>
                  </w:r>
                  <w:r w:rsidRPr="009304E0">
                    <w:rPr>
                      <w:rFonts w:eastAsia="宋体"/>
                      <w:lang w:eastAsia="zh-CN"/>
                    </w:rPr>
                    <w:t>2024</w:t>
                  </w:r>
                  <w:r w:rsidRPr="009304E0">
                    <w:rPr>
                      <w:rFonts w:eastAsia="宋体"/>
                      <w:lang w:eastAsia="zh-CN"/>
                    </w:rPr>
                    <w:t>年</w:t>
                  </w:r>
                  <w:r w:rsidRPr="009304E0">
                    <w:rPr>
                      <w:rFonts w:eastAsia="宋体"/>
                      <w:lang w:eastAsia="zh-CN"/>
                    </w:rPr>
                    <w:t>12</w:t>
                  </w:r>
                  <w:r w:rsidRPr="009304E0">
                    <w:rPr>
                      <w:rFonts w:eastAsia="宋体"/>
                      <w:lang w:eastAsia="zh-CN"/>
                    </w:rPr>
                    <w:t>月</w:t>
                  </w:r>
                  <w:r w:rsidRPr="009304E0">
                    <w:rPr>
                      <w:rFonts w:eastAsia="宋体"/>
                      <w:lang w:eastAsia="zh-CN"/>
                    </w:rPr>
                    <w:t>-2025</w:t>
                  </w:r>
                  <w:r w:rsidRPr="009304E0">
                    <w:rPr>
                      <w:rFonts w:eastAsia="宋体"/>
                      <w:lang w:eastAsia="zh-CN"/>
                    </w:rPr>
                    <w:t>年</w:t>
                  </w:r>
                  <w:r w:rsidRPr="009304E0">
                    <w:rPr>
                      <w:rFonts w:eastAsia="宋体"/>
                      <w:lang w:eastAsia="zh-CN"/>
                    </w:rPr>
                    <w:t>2</w:t>
                  </w:r>
                  <w:r w:rsidRPr="009304E0">
                    <w:rPr>
                      <w:rFonts w:eastAsia="宋体"/>
                      <w:lang w:eastAsia="zh-CN"/>
                    </w:rPr>
                    <w:t>月，巴西失业率分别为</w:t>
                  </w:r>
                  <w:r w:rsidRPr="009304E0">
                    <w:rPr>
                      <w:rFonts w:eastAsia="宋体"/>
                      <w:lang w:eastAsia="zh-CN"/>
                    </w:rPr>
                    <w:t>6.2%</w:t>
                  </w:r>
                  <w:r w:rsidRPr="009304E0">
                    <w:rPr>
                      <w:rFonts w:eastAsia="宋体"/>
                      <w:lang w:eastAsia="zh-CN"/>
                    </w:rPr>
                    <w:t>、</w:t>
                  </w:r>
                  <w:r w:rsidRPr="009304E0">
                    <w:rPr>
                      <w:rFonts w:eastAsia="宋体"/>
                      <w:lang w:eastAsia="zh-CN"/>
                    </w:rPr>
                    <w:t>6.5%</w:t>
                  </w:r>
                  <w:r w:rsidRPr="009304E0">
                    <w:rPr>
                      <w:rFonts w:eastAsia="宋体"/>
                      <w:lang w:eastAsia="zh-CN"/>
                    </w:rPr>
                    <w:t>、</w:t>
                  </w:r>
                  <w:r w:rsidRPr="009304E0">
                    <w:rPr>
                      <w:rFonts w:eastAsia="宋体"/>
                      <w:lang w:eastAsia="zh-CN"/>
                    </w:rPr>
                    <w:t>6.8</w:t>
                  </w:r>
                  <w:r w:rsidRPr="009304E0">
                    <w:rPr>
                      <w:rFonts w:eastAsia="宋体" w:hint="eastAsia"/>
                      <w:lang w:eastAsia="zh-CN"/>
                    </w:rPr>
                    <w:t>%</w:t>
                  </w:r>
                  <w:r w:rsidRPr="009304E0">
                    <w:rPr>
                      <w:rFonts w:eastAsia="宋体"/>
                      <w:lang w:eastAsia="zh-CN"/>
                    </w:rPr>
                    <w:t>，</w:t>
                  </w:r>
                  <w:r w:rsidRPr="009304E0">
                    <w:rPr>
                      <w:rFonts w:eastAsia="宋体" w:hint="eastAsia"/>
                      <w:lang w:eastAsia="zh-CN"/>
                    </w:rPr>
                    <w:t>较此前小幅抬升</w:t>
                  </w:r>
                  <w:r w:rsidRPr="009304E0">
                    <w:rPr>
                      <w:rFonts w:eastAsia="宋体"/>
                      <w:lang w:eastAsia="zh-CN"/>
                    </w:rPr>
                    <w:t>。</w:t>
                  </w:r>
                  <w:r w:rsidRPr="009304E0">
                    <w:rPr>
                      <w:rFonts w:eastAsia="宋体" w:hint="eastAsia"/>
                      <w:lang w:eastAsia="zh-CN"/>
                    </w:rPr>
                    <w:t>国际货币基金组织</w:t>
                  </w:r>
                  <w:r w:rsidRPr="009304E0">
                    <w:rPr>
                      <w:rFonts w:eastAsia="宋体"/>
                      <w:lang w:eastAsia="zh-CN"/>
                    </w:rPr>
                    <w:t>2025</w:t>
                  </w:r>
                  <w:r w:rsidRPr="009304E0">
                    <w:rPr>
                      <w:rFonts w:eastAsia="宋体"/>
                      <w:lang w:eastAsia="zh-CN"/>
                    </w:rPr>
                    <w:t>年</w:t>
                  </w:r>
                  <w:r w:rsidRPr="009304E0">
                    <w:rPr>
                      <w:rFonts w:eastAsia="宋体"/>
                      <w:lang w:eastAsia="zh-CN"/>
                    </w:rPr>
                    <w:t>1</w:t>
                  </w:r>
                  <w:r w:rsidRPr="009304E0">
                    <w:rPr>
                      <w:rFonts w:eastAsia="宋体"/>
                      <w:lang w:eastAsia="zh-CN"/>
                    </w:rPr>
                    <w:t>月报告预测，</w:t>
                  </w:r>
                  <w:r w:rsidRPr="009304E0">
                    <w:rPr>
                      <w:rFonts w:eastAsia="宋体" w:hint="eastAsia"/>
                      <w:lang w:eastAsia="zh-CN"/>
                    </w:rPr>
                    <w:t>巴西</w:t>
                  </w:r>
                  <w:r w:rsidRPr="009304E0">
                    <w:rPr>
                      <w:rFonts w:eastAsia="宋体"/>
                      <w:lang w:eastAsia="zh-CN"/>
                    </w:rPr>
                    <w:t>2025</w:t>
                  </w:r>
                  <w:r w:rsidRPr="009304E0">
                    <w:rPr>
                      <w:rFonts w:eastAsia="宋体"/>
                      <w:lang w:eastAsia="zh-CN"/>
                    </w:rPr>
                    <w:t>年增速将为</w:t>
                  </w:r>
                  <w:r w:rsidRPr="009304E0">
                    <w:rPr>
                      <w:rFonts w:eastAsia="宋体"/>
                      <w:lang w:eastAsia="zh-CN"/>
                    </w:rPr>
                    <w:t>2.2%</w:t>
                  </w:r>
                  <w:r w:rsidRPr="009304E0">
                    <w:rPr>
                      <w:rFonts w:eastAsia="宋体"/>
                      <w:lang w:eastAsia="zh-CN"/>
                    </w:rPr>
                    <w:t>。</w:t>
                  </w:r>
                </w:p>
                <w:p w14:paraId="4E25979A" w14:textId="77777777" w:rsidR="00CB5FC9" w:rsidRPr="009304E0" w:rsidRDefault="00CB5FC9" w:rsidP="00CB5FC9">
                  <w:pPr>
                    <w:ind w:firstLine="482"/>
                    <w:rPr>
                      <w:rFonts w:eastAsia="宋体"/>
                      <w:lang w:eastAsia="zh-CN"/>
                    </w:rPr>
                  </w:pPr>
                  <w:r w:rsidRPr="009304E0">
                    <w:rPr>
                      <w:rFonts w:eastAsia="宋体" w:hint="eastAsia"/>
                      <w:b/>
                      <w:lang w:eastAsia="zh-CN"/>
                    </w:rPr>
                    <w:t>南非经济继续缓慢复苏</w:t>
                  </w:r>
                  <w:r w:rsidRPr="009304E0">
                    <w:rPr>
                      <w:rFonts w:eastAsia="宋体" w:hint="eastAsia"/>
                      <w:lang w:eastAsia="zh-CN"/>
                    </w:rPr>
                    <w:t>。</w:t>
                  </w:r>
                  <w:r w:rsidRPr="009304E0">
                    <w:rPr>
                      <w:rFonts w:eastAsia="宋体"/>
                      <w:lang w:eastAsia="zh-CN"/>
                    </w:rPr>
                    <w:t>4</w:t>
                  </w:r>
                  <w:r w:rsidRPr="009304E0">
                    <w:rPr>
                      <w:rFonts w:eastAsia="宋体"/>
                      <w:lang w:eastAsia="zh-CN"/>
                    </w:rPr>
                    <w:t>季度，</w:t>
                  </w:r>
                  <w:r w:rsidRPr="009304E0">
                    <w:rPr>
                      <w:rFonts w:eastAsia="宋体" w:hint="eastAsia"/>
                      <w:lang w:eastAsia="zh-CN"/>
                    </w:rPr>
                    <w:t>南非</w:t>
                  </w:r>
                  <w:r w:rsidRPr="009304E0">
                    <w:rPr>
                      <w:rFonts w:eastAsia="宋体"/>
                      <w:lang w:eastAsia="zh-CN"/>
                    </w:rPr>
                    <w:t>实际</w:t>
                  </w:r>
                  <w:r w:rsidRPr="009304E0">
                    <w:rPr>
                      <w:rFonts w:eastAsia="宋体"/>
                      <w:lang w:eastAsia="zh-CN"/>
                    </w:rPr>
                    <w:t>GDP</w:t>
                  </w:r>
                  <w:r w:rsidRPr="009304E0">
                    <w:rPr>
                      <w:rFonts w:eastAsia="宋体"/>
                      <w:lang w:eastAsia="zh-CN"/>
                    </w:rPr>
                    <w:t>同比增速为</w:t>
                  </w:r>
                  <w:r w:rsidRPr="009304E0">
                    <w:rPr>
                      <w:rFonts w:eastAsia="宋体"/>
                      <w:lang w:eastAsia="zh-CN"/>
                    </w:rPr>
                    <w:t>0.9%</w:t>
                  </w:r>
                  <w:r w:rsidRPr="009304E0">
                    <w:rPr>
                      <w:rFonts w:eastAsia="宋体"/>
                      <w:lang w:eastAsia="zh-CN"/>
                    </w:rPr>
                    <w:t>，</w:t>
                  </w:r>
                  <w:r w:rsidRPr="009304E0">
                    <w:rPr>
                      <w:rFonts w:eastAsia="宋体" w:hint="eastAsia"/>
                      <w:lang w:eastAsia="zh-CN"/>
                    </w:rPr>
                    <w:t>显著高于上季度，复苏动能增强，但增速仍然非常缓慢</w:t>
                  </w:r>
                  <w:r w:rsidRPr="009304E0">
                    <w:rPr>
                      <w:rFonts w:eastAsia="宋体"/>
                      <w:lang w:eastAsia="zh-CN"/>
                    </w:rPr>
                    <w:t>。</w:t>
                  </w:r>
                  <w:r w:rsidRPr="009304E0">
                    <w:rPr>
                      <w:rFonts w:eastAsia="宋体" w:hint="eastAsia"/>
                      <w:lang w:eastAsia="zh-CN"/>
                    </w:rPr>
                    <w:t>2024</w:t>
                  </w:r>
                  <w:r w:rsidRPr="009304E0">
                    <w:rPr>
                      <w:rFonts w:eastAsia="宋体" w:hint="eastAsia"/>
                      <w:lang w:eastAsia="zh-CN"/>
                    </w:rPr>
                    <w:t>年，南非经济增长率为</w:t>
                  </w:r>
                  <w:r w:rsidRPr="009304E0">
                    <w:rPr>
                      <w:rFonts w:eastAsia="宋体" w:hint="eastAsia"/>
                      <w:lang w:eastAsia="zh-CN"/>
                    </w:rPr>
                    <w:t>0.6%</w:t>
                  </w:r>
                  <w:r w:rsidRPr="009304E0">
                    <w:rPr>
                      <w:rFonts w:eastAsia="宋体" w:hint="eastAsia"/>
                      <w:lang w:eastAsia="zh-CN"/>
                    </w:rPr>
                    <w:t>。</w:t>
                  </w:r>
                  <w:r w:rsidRPr="009304E0">
                    <w:rPr>
                      <w:rFonts w:eastAsia="宋体"/>
                      <w:color w:val="000000" w:themeColor="text1"/>
                      <w:lang w:eastAsia="zh-CN"/>
                    </w:rPr>
                    <w:t>2025</w:t>
                  </w:r>
                  <w:r w:rsidRPr="009304E0">
                    <w:rPr>
                      <w:rFonts w:eastAsia="宋体"/>
                      <w:color w:val="000000" w:themeColor="text1"/>
                      <w:lang w:eastAsia="zh-CN"/>
                    </w:rPr>
                    <w:t>年</w:t>
                  </w:r>
                  <w:r w:rsidRPr="009304E0">
                    <w:rPr>
                      <w:rFonts w:eastAsia="宋体"/>
                      <w:color w:val="000000" w:themeColor="text1"/>
                      <w:lang w:eastAsia="zh-CN"/>
                    </w:rPr>
                    <w:t>1-2</w:t>
                  </w:r>
                  <w:r w:rsidRPr="009304E0">
                    <w:rPr>
                      <w:rFonts w:eastAsia="宋体"/>
                      <w:color w:val="000000" w:themeColor="text1"/>
                      <w:lang w:eastAsia="zh-CN"/>
                    </w:rPr>
                    <w:t>月，</w:t>
                  </w:r>
                  <w:r w:rsidRPr="009304E0">
                    <w:rPr>
                      <w:rFonts w:eastAsia="宋体" w:hint="eastAsia"/>
                      <w:color w:val="000000" w:themeColor="text1"/>
                      <w:lang w:eastAsia="zh-CN"/>
                    </w:rPr>
                    <w:t>南非季调后的制造业</w:t>
                  </w:r>
                  <w:r w:rsidRPr="009304E0">
                    <w:rPr>
                      <w:rFonts w:eastAsia="宋体" w:hint="eastAsia"/>
                      <w:color w:val="000000" w:themeColor="text1"/>
                      <w:lang w:eastAsia="zh-CN"/>
                    </w:rPr>
                    <w:t>PMI</w:t>
                  </w:r>
                  <w:r w:rsidRPr="009304E0">
                    <w:rPr>
                      <w:rFonts w:eastAsia="宋体" w:hint="eastAsia"/>
                      <w:color w:val="000000" w:themeColor="text1"/>
                      <w:lang w:eastAsia="zh-CN"/>
                    </w:rPr>
                    <w:t>分别为</w:t>
                  </w:r>
                  <w:r w:rsidRPr="009304E0">
                    <w:rPr>
                      <w:rFonts w:eastAsia="宋体"/>
                      <w:color w:val="000000" w:themeColor="text1"/>
                      <w:lang w:eastAsia="zh-CN"/>
                    </w:rPr>
                    <w:t>42</w:t>
                  </w:r>
                  <w:r w:rsidRPr="009304E0">
                    <w:rPr>
                      <w:rFonts w:eastAsia="宋体" w:hint="eastAsia"/>
                      <w:color w:val="000000" w:themeColor="text1"/>
                      <w:lang w:eastAsia="zh-CN"/>
                    </w:rPr>
                    <w:t>.</w:t>
                  </w:r>
                  <w:r w:rsidRPr="009304E0">
                    <w:rPr>
                      <w:rFonts w:eastAsia="宋体"/>
                      <w:color w:val="000000" w:themeColor="text1"/>
                      <w:lang w:eastAsia="zh-CN"/>
                    </w:rPr>
                    <w:t>5</w:t>
                  </w:r>
                  <w:r w:rsidRPr="009304E0">
                    <w:rPr>
                      <w:rFonts w:eastAsia="宋体" w:hint="eastAsia"/>
                      <w:color w:val="000000" w:themeColor="text1"/>
                      <w:lang w:eastAsia="zh-CN"/>
                    </w:rPr>
                    <w:t>、</w:t>
                  </w:r>
                  <w:r w:rsidRPr="009304E0">
                    <w:rPr>
                      <w:rFonts w:eastAsia="宋体"/>
                      <w:color w:val="000000" w:themeColor="text1"/>
                      <w:lang w:eastAsia="zh-CN"/>
                    </w:rPr>
                    <w:t>46</w:t>
                  </w:r>
                  <w:r w:rsidRPr="009304E0">
                    <w:rPr>
                      <w:rFonts w:eastAsia="宋体" w:hint="eastAsia"/>
                      <w:color w:val="000000" w:themeColor="text1"/>
                      <w:lang w:eastAsia="zh-CN"/>
                    </w:rPr>
                    <w:t>.0</w:t>
                  </w:r>
                  <w:r w:rsidRPr="009304E0">
                    <w:rPr>
                      <w:rFonts w:eastAsia="宋体"/>
                      <w:color w:val="000000" w:themeColor="text1"/>
                      <w:lang w:eastAsia="zh-CN"/>
                    </w:rPr>
                    <w:t>%</w:t>
                  </w:r>
                  <w:r w:rsidRPr="009304E0">
                    <w:rPr>
                      <w:rFonts w:eastAsia="宋体" w:hint="eastAsia"/>
                      <w:color w:val="000000" w:themeColor="text1"/>
                      <w:lang w:eastAsia="zh-CN"/>
                    </w:rPr>
                    <w:t>，</w:t>
                  </w:r>
                  <w:r w:rsidRPr="009304E0">
                    <w:rPr>
                      <w:rFonts w:eastAsia="宋体" w:hint="eastAsia"/>
                      <w:lang w:eastAsia="zh-CN"/>
                    </w:rPr>
                    <w:t>景气度依然较低。</w:t>
                  </w:r>
                  <w:r w:rsidRPr="009304E0">
                    <w:rPr>
                      <w:rFonts w:eastAsia="宋体"/>
                      <w:lang w:eastAsia="zh-CN"/>
                    </w:rPr>
                    <w:t>3</w:t>
                  </w:r>
                  <w:r w:rsidRPr="009304E0">
                    <w:rPr>
                      <w:rFonts w:eastAsia="宋体" w:hint="eastAsia"/>
                      <w:lang w:eastAsia="zh-CN"/>
                    </w:rPr>
                    <w:t>季度南非劳动力参与率略微上升至</w:t>
                  </w:r>
                  <w:r w:rsidRPr="009304E0">
                    <w:rPr>
                      <w:rFonts w:eastAsia="宋体" w:hint="eastAsia"/>
                      <w:lang w:eastAsia="zh-CN"/>
                    </w:rPr>
                    <w:t>60.</w:t>
                  </w:r>
                  <w:r w:rsidRPr="009304E0">
                    <w:rPr>
                      <w:rFonts w:eastAsia="宋体"/>
                      <w:lang w:eastAsia="zh-CN"/>
                    </w:rPr>
                    <w:t>3</w:t>
                  </w:r>
                  <w:r w:rsidRPr="009304E0">
                    <w:rPr>
                      <w:rFonts w:eastAsia="宋体" w:hint="eastAsia"/>
                      <w:lang w:eastAsia="zh-CN"/>
                    </w:rPr>
                    <w:t>%</w:t>
                  </w:r>
                  <w:r w:rsidRPr="009304E0">
                    <w:rPr>
                      <w:rFonts w:eastAsia="宋体" w:hint="eastAsia"/>
                      <w:lang w:eastAsia="zh-CN"/>
                    </w:rPr>
                    <w:t>，失业率较上季度下降</w:t>
                  </w:r>
                  <w:r w:rsidRPr="009304E0">
                    <w:rPr>
                      <w:rFonts w:eastAsia="宋体"/>
                      <w:lang w:eastAsia="zh-CN"/>
                    </w:rPr>
                    <w:t>0.2</w:t>
                  </w:r>
                  <w:r w:rsidRPr="009304E0">
                    <w:rPr>
                      <w:rFonts w:eastAsia="宋体" w:hint="eastAsia"/>
                      <w:lang w:eastAsia="zh-CN"/>
                    </w:rPr>
                    <w:t>个百分点至</w:t>
                  </w:r>
                  <w:r w:rsidRPr="009304E0">
                    <w:rPr>
                      <w:rFonts w:eastAsia="宋体" w:hint="eastAsia"/>
                      <w:lang w:eastAsia="zh-CN"/>
                    </w:rPr>
                    <w:t>3</w:t>
                  </w:r>
                  <w:r w:rsidRPr="009304E0">
                    <w:rPr>
                      <w:rFonts w:eastAsia="宋体"/>
                      <w:lang w:eastAsia="zh-CN"/>
                    </w:rPr>
                    <w:t>1</w:t>
                  </w:r>
                  <w:r w:rsidRPr="009304E0">
                    <w:rPr>
                      <w:rFonts w:eastAsia="宋体" w:hint="eastAsia"/>
                      <w:lang w:eastAsia="zh-CN"/>
                    </w:rPr>
                    <w:t>.</w:t>
                  </w:r>
                  <w:r w:rsidRPr="009304E0">
                    <w:rPr>
                      <w:rFonts w:eastAsia="宋体"/>
                      <w:lang w:eastAsia="zh-CN"/>
                    </w:rPr>
                    <w:t>9</w:t>
                  </w:r>
                  <w:r w:rsidRPr="009304E0">
                    <w:rPr>
                      <w:rFonts w:eastAsia="宋体" w:hint="eastAsia"/>
                      <w:lang w:eastAsia="zh-CN"/>
                    </w:rPr>
                    <w:t>%</w:t>
                  </w:r>
                  <w:r w:rsidRPr="009304E0">
                    <w:rPr>
                      <w:rFonts w:eastAsia="宋体" w:hint="eastAsia"/>
                      <w:lang w:eastAsia="zh-CN"/>
                    </w:rPr>
                    <w:t>。国际货</w:t>
                  </w:r>
                  <w:r w:rsidRPr="009304E0">
                    <w:rPr>
                      <w:rFonts w:eastAsia="宋体"/>
                      <w:lang w:eastAsia="zh-CN"/>
                    </w:rPr>
                    <w:t>币基金组织</w:t>
                  </w:r>
                  <w:r w:rsidRPr="009304E0">
                    <w:rPr>
                      <w:rFonts w:eastAsia="宋体"/>
                      <w:lang w:eastAsia="zh-CN"/>
                    </w:rPr>
                    <w:t>1</w:t>
                  </w:r>
                  <w:r w:rsidRPr="009304E0">
                    <w:rPr>
                      <w:rFonts w:eastAsia="宋体"/>
                      <w:lang w:eastAsia="zh-CN"/>
                    </w:rPr>
                    <w:t>月最新报告预测，</w:t>
                  </w:r>
                  <w:r w:rsidRPr="009304E0">
                    <w:rPr>
                      <w:rFonts w:eastAsia="宋体" w:hint="eastAsia"/>
                      <w:lang w:eastAsia="zh-CN"/>
                    </w:rPr>
                    <w:t>南非</w:t>
                  </w:r>
                  <w:r w:rsidRPr="009304E0">
                    <w:rPr>
                      <w:rFonts w:eastAsia="宋体"/>
                      <w:lang w:eastAsia="zh-CN"/>
                    </w:rPr>
                    <w:t>2025</w:t>
                  </w:r>
                  <w:r w:rsidRPr="009304E0">
                    <w:rPr>
                      <w:rFonts w:eastAsia="宋体"/>
                      <w:lang w:eastAsia="zh-CN"/>
                    </w:rPr>
                    <w:t>年经济增速为</w:t>
                  </w:r>
                  <w:r w:rsidRPr="009304E0">
                    <w:rPr>
                      <w:rFonts w:eastAsia="宋体"/>
                      <w:lang w:eastAsia="zh-CN"/>
                    </w:rPr>
                    <w:t>1.5%</w:t>
                  </w:r>
                  <w:r w:rsidRPr="009304E0">
                    <w:rPr>
                      <w:rFonts w:eastAsia="宋体"/>
                      <w:lang w:eastAsia="zh-CN"/>
                    </w:rPr>
                    <w:t>。</w:t>
                  </w:r>
                </w:p>
              </w:tc>
            </w:tr>
            <w:tr w:rsidR="00CB5FC9" w:rsidRPr="009304E0" w14:paraId="24A994EF" w14:textId="77777777" w:rsidTr="003A23F9">
              <w:trPr>
                <w:trHeight w:val="150"/>
                <w:jc w:val="center"/>
              </w:trPr>
              <w:tc>
                <w:tcPr>
                  <w:tcW w:w="2154" w:type="dxa"/>
                  <w:vAlign w:val="center"/>
                </w:tcPr>
                <w:p w14:paraId="13502294" w14:textId="77777777" w:rsidR="00CB5FC9" w:rsidRPr="009304E0" w:rsidRDefault="00CB5FC9" w:rsidP="00000FFC">
                  <w:pPr>
                    <w:ind w:firstLineChars="0" w:firstLine="0"/>
                    <w:rPr>
                      <w:rFonts w:eastAsia="楷体"/>
                      <w:b/>
                      <w:lang w:eastAsia="zh-CN"/>
                    </w:rPr>
                  </w:pPr>
                  <w:r w:rsidRPr="009304E0">
                    <w:rPr>
                      <w:rFonts w:eastAsia="楷体" w:hint="eastAsia"/>
                      <w:b/>
                      <w:lang w:eastAsia="zh-CN"/>
                    </w:rPr>
                    <w:lastRenderedPageBreak/>
                    <w:t>俄罗斯通胀仍在上</w:t>
                  </w:r>
                  <w:r w:rsidRPr="009304E0">
                    <w:rPr>
                      <w:rFonts w:eastAsia="楷体" w:hint="eastAsia"/>
                      <w:b/>
                      <w:lang w:eastAsia="zh-CN"/>
                    </w:rPr>
                    <w:lastRenderedPageBreak/>
                    <w:t>升，印度通胀回落，巴西通胀继续回升，略超出通胀目标区间，南非通胀继续下降，处于央行目标区间底部。</w:t>
                  </w:r>
                </w:p>
                <w:p w14:paraId="044B52FF" w14:textId="77777777" w:rsidR="00CB5FC9" w:rsidRPr="009304E0" w:rsidRDefault="00CB5FC9" w:rsidP="00CB5FC9">
                  <w:pPr>
                    <w:ind w:firstLine="482"/>
                    <w:rPr>
                      <w:rFonts w:eastAsia="楷体"/>
                      <w:b/>
                      <w:lang w:eastAsia="zh-CN"/>
                    </w:rPr>
                  </w:pPr>
                </w:p>
                <w:p w14:paraId="58BBC233" w14:textId="77777777" w:rsidR="00CB5FC9" w:rsidRPr="009304E0" w:rsidRDefault="00CB5FC9" w:rsidP="00000FFC">
                  <w:pPr>
                    <w:ind w:firstLineChars="0" w:firstLine="0"/>
                    <w:rPr>
                      <w:rFonts w:eastAsia="楷体"/>
                      <w:b/>
                      <w:lang w:eastAsia="zh-CN"/>
                    </w:rPr>
                  </w:pPr>
                  <w:r w:rsidRPr="009304E0">
                    <w:rPr>
                      <w:rFonts w:eastAsia="楷体" w:hint="eastAsia"/>
                      <w:b/>
                      <w:lang w:eastAsia="zh-CN"/>
                    </w:rPr>
                    <w:t>俄罗斯央行保持高利率按兵不动，巴西央行大幅加息，印度央行小幅降息开启宽松进程，南非央行继续小幅降息。</w:t>
                  </w:r>
                </w:p>
              </w:tc>
              <w:tc>
                <w:tcPr>
                  <w:tcW w:w="300" w:type="dxa"/>
                </w:tcPr>
                <w:p w14:paraId="3615F5E5" w14:textId="77777777" w:rsidR="00CB5FC9" w:rsidRPr="009304E0" w:rsidRDefault="00CB5FC9" w:rsidP="00CB5FC9">
                  <w:pPr>
                    <w:keepNext/>
                    <w:keepLines/>
                    <w:ind w:firstLine="480"/>
                    <w:rPr>
                      <w:rFonts w:eastAsia="楷体_GB2312"/>
                      <w:lang w:eastAsia="zh-CN"/>
                    </w:rPr>
                  </w:pPr>
                </w:p>
              </w:tc>
              <w:tc>
                <w:tcPr>
                  <w:tcW w:w="7185" w:type="dxa"/>
                </w:tcPr>
                <w:p w14:paraId="03872418" w14:textId="77777777" w:rsidR="00CB5FC9" w:rsidRPr="009304E0" w:rsidRDefault="00CB5FC9" w:rsidP="00CB5FC9">
                  <w:pPr>
                    <w:ind w:firstLine="482"/>
                    <w:rPr>
                      <w:rFonts w:eastAsia="宋体"/>
                      <w:b/>
                      <w:lang w:eastAsia="zh-CN"/>
                    </w:rPr>
                  </w:pPr>
                  <w:r w:rsidRPr="009304E0">
                    <w:rPr>
                      <w:rFonts w:eastAsia="宋体" w:hint="eastAsia"/>
                      <w:b/>
                      <w:lang w:eastAsia="zh-CN"/>
                    </w:rPr>
                    <w:t>（二）通胀与货币政策方面</w:t>
                  </w:r>
                </w:p>
                <w:p w14:paraId="72804E49" w14:textId="77777777" w:rsidR="00CB5FC9" w:rsidRPr="009304E0" w:rsidRDefault="00CB5FC9" w:rsidP="00CB5FC9">
                  <w:pPr>
                    <w:ind w:firstLine="482"/>
                    <w:rPr>
                      <w:rFonts w:eastAsia="宋体"/>
                      <w:bCs/>
                      <w:lang w:eastAsia="zh-CN"/>
                    </w:rPr>
                  </w:pPr>
                  <w:r w:rsidRPr="009304E0">
                    <w:rPr>
                      <w:rFonts w:eastAsia="宋体" w:hint="eastAsia"/>
                      <w:b/>
                      <w:bCs/>
                      <w:lang w:eastAsia="zh-CN"/>
                    </w:rPr>
                    <w:lastRenderedPageBreak/>
                    <w:t>俄罗斯通胀继续上升，央行按兵不动。</w:t>
                  </w:r>
                  <w:r w:rsidRPr="009304E0">
                    <w:rPr>
                      <w:rFonts w:eastAsia="宋体" w:hint="eastAsia"/>
                      <w:bCs/>
                      <w:lang w:eastAsia="zh-CN"/>
                    </w:rPr>
                    <w:t>根据俄罗斯统计局数据，</w:t>
                  </w:r>
                  <w:r w:rsidRPr="009304E0">
                    <w:rPr>
                      <w:rFonts w:eastAsia="宋体"/>
                      <w:bCs/>
                      <w:kern w:val="0"/>
                      <w:lang w:eastAsia="zh-CN"/>
                    </w:rPr>
                    <w:t>2024</w:t>
                  </w:r>
                  <w:r w:rsidRPr="009304E0">
                    <w:rPr>
                      <w:rFonts w:eastAsia="宋体" w:hint="eastAsia"/>
                      <w:bCs/>
                      <w:kern w:val="0"/>
                      <w:lang w:eastAsia="zh-CN"/>
                    </w:rPr>
                    <w:t>年</w:t>
                  </w:r>
                  <w:r w:rsidRPr="009304E0">
                    <w:rPr>
                      <w:rFonts w:eastAsia="宋体"/>
                      <w:bCs/>
                      <w:kern w:val="0"/>
                      <w:lang w:eastAsia="zh-CN"/>
                    </w:rPr>
                    <w:t>12</w:t>
                  </w:r>
                  <w:r w:rsidRPr="009304E0">
                    <w:rPr>
                      <w:rFonts w:eastAsia="宋体" w:hint="eastAsia"/>
                      <w:bCs/>
                      <w:kern w:val="0"/>
                      <w:lang w:eastAsia="zh-CN"/>
                    </w:rPr>
                    <w:t>月</w:t>
                  </w:r>
                  <w:r w:rsidRPr="009304E0">
                    <w:rPr>
                      <w:rFonts w:eastAsia="宋体"/>
                      <w:bCs/>
                      <w:kern w:val="0"/>
                      <w:lang w:eastAsia="zh-CN"/>
                    </w:rPr>
                    <w:t>-2025</w:t>
                  </w:r>
                  <w:r w:rsidRPr="009304E0">
                    <w:rPr>
                      <w:rFonts w:eastAsia="宋体" w:hint="eastAsia"/>
                      <w:bCs/>
                      <w:kern w:val="0"/>
                      <w:lang w:eastAsia="zh-CN"/>
                    </w:rPr>
                    <w:t>年</w:t>
                  </w:r>
                  <w:r w:rsidRPr="009304E0">
                    <w:rPr>
                      <w:rFonts w:eastAsia="宋体"/>
                      <w:bCs/>
                      <w:kern w:val="0"/>
                      <w:lang w:eastAsia="zh-CN"/>
                    </w:rPr>
                    <w:t>2</w:t>
                  </w:r>
                  <w:r w:rsidRPr="009304E0">
                    <w:rPr>
                      <w:rFonts w:eastAsia="宋体" w:hint="eastAsia"/>
                      <w:bCs/>
                      <w:kern w:val="0"/>
                      <w:lang w:eastAsia="zh-CN"/>
                    </w:rPr>
                    <w:t>月，</w:t>
                  </w:r>
                  <w:r w:rsidRPr="009304E0">
                    <w:rPr>
                      <w:rFonts w:eastAsia="宋体"/>
                      <w:bCs/>
                      <w:lang w:eastAsia="zh-CN"/>
                    </w:rPr>
                    <w:t>俄罗斯</w:t>
                  </w:r>
                  <w:r w:rsidRPr="009304E0">
                    <w:rPr>
                      <w:rFonts w:eastAsia="宋体"/>
                      <w:bCs/>
                      <w:lang w:eastAsia="zh-CN"/>
                    </w:rPr>
                    <w:t>CPI</w:t>
                  </w:r>
                  <w:r w:rsidRPr="009304E0">
                    <w:rPr>
                      <w:rFonts w:eastAsia="宋体"/>
                      <w:bCs/>
                      <w:lang w:eastAsia="zh-CN"/>
                    </w:rPr>
                    <w:t>同比增速分别为</w:t>
                  </w:r>
                  <w:r w:rsidRPr="009304E0">
                    <w:rPr>
                      <w:rFonts w:eastAsia="宋体"/>
                      <w:bCs/>
                      <w:lang w:eastAsia="zh-CN"/>
                    </w:rPr>
                    <w:t>9.5%</w:t>
                  </w:r>
                  <w:r w:rsidRPr="009304E0">
                    <w:rPr>
                      <w:rFonts w:eastAsia="宋体"/>
                      <w:bCs/>
                      <w:lang w:eastAsia="zh-CN"/>
                    </w:rPr>
                    <w:t>、</w:t>
                  </w:r>
                  <w:r w:rsidRPr="009304E0">
                    <w:rPr>
                      <w:rFonts w:eastAsia="宋体"/>
                      <w:bCs/>
                      <w:lang w:eastAsia="zh-CN"/>
                    </w:rPr>
                    <w:t>9.9%</w:t>
                  </w:r>
                  <w:r w:rsidRPr="009304E0">
                    <w:rPr>
                      <w:rFonts w:eastAsia="宋体"/>
                      <w:bCs/>
                      <w:lang w:eastAsia="zh-CN"/>
                    </w:rPr>
                    <w:t>和</w:t>
                  </w:r>
                  <w:r w:rsidRPr="009304E0">
                    <w:rPr>
                      <w:rFonts w:eastAsia="宋体"/>
                      <w:bCs/>
                      <w:lang w:eastAsia="zh-CN"/>
                    </w:rPr>
                    <w:t>10.1%</w:t>
                  </w:r>
                  <w:r w:rsidRPr="009304E0">
                    <w:rPr>
                      <w:rFonts w:eastAsia="宋体"/>
                      <w:bCs/>
                      <w:lang w:eastAsia="zh-CN"/>
                    </w:rPr>
                    <w:t>，</w:t>
                  </w:r>
                  <w:r w:rsidRPr="009304E0">
                    <w:rPr>
                      <w:rFonts w:eastAsia="宋体" w:hint="eastAsia"/>
                      <w:bCs/>
                      <w:lang w:eastAsia="zh-CN"/>
                    </w:rPr>
                    <w:t>较此前继续上升</w:t>
                  </w:r>
                  <w:r w:rsidRPr="009304E0">
                    <w:rPr>
                      <w:rFonts w:eastAsia="宋体"/>
                      <w:bCs/>
                      <w:lang w:eastAsia="zh-CN"/>
                    </w:rPr>
                    <w:t>，明显超出俄罗斯</w:t>
                  </w:r>
                  <w:r w:rsidRPr="009304E0">
                    <w:rPr>
                      <w:rFonts w:eastAsia="宋体"/>
                      <w:bCs/>
                      <w:lang w:eastAsia="zh-CN"/>
                    </w:rPr>
                    <w:t>4%</w:t>
                  </w:r>
                  <w:r w:rsidRPr="009304E0">
                    <w:rPr>
                      <w:rFonts w:eastAsia="宋体"/>
                      <w:bCs/>
                      <w:lang w:eastAsia="zh-CN"/>
                    </w:rPr>
                    <w:t>的通胀目标，显示俄罗斯通胀压力依然较大。</w:t>
                  </w:r>
                  <w:r w:rsidRPr="009304E0">
                    <w:rPr>
                      <w:rFonts w:eastAsia="宋体" w:hint="eastAsia"/>
                      <w:bCs/>
                      <w:lang w:eastAsia="zh-CN"/>
                    </w:rPr>
                    <w:t>1</w:t>
                  </w:r>
                  <w:r w:rsidRPr="009304E0">
                    <w:rPr>
                      <w:rFonts w:eastAsia="宋体" w:hint="eastAsia"/>
                      <w:bCs/>
                      <w:lang w:eastAsia="zh-CN"/>
                    </w:rPr>
                    <w:t>季度</w:t>
                  </w:r>
                  <w:r w:rsidRPr="009304E0">
                    <w:rPr>
                      <w:rFonts w:eastAsia="宋体"/>
                      <w:bCs/>
                      <w:lang w:eastAsia="zh-CN"/>
                    </w:rPr>
                    <w:t>俄罗斯央行</w:t>
                  </w:r>
                  <w:r w:rsidRPr="009304E0">
                    <w:rPr>
                      <w:rFonts w:eastAsia="宋体" w:hint="eastAsia"/>
                      <w:bCs/>
                      <w:lang w:eastAsia="zh-CN"/>
                    </w:rPr>
                    <w:t>按兵不动，将关键利率维持在</w:t>
                  </w:r>
                  <w:r w:rsidRPr="009304E0">
                    <w:rPr>
                      <w:rFonts w:eastAsia="宋体" w:hint="eastAsia"/>
                      <w:bCs/>
                      <w:lang w:eastAsia="zh-CN"/>
                    </w:rPr>
                    <w:t>21%</w:t>
                  </w:r>
                  <w:r w:rsidRPr="009304E0">
                    <w:rPr>
                      <w:rFonts w:eastAsia="宋体" w:hint="eastAsia"/>
                      <w:bCs/>
                      <w:lang w:eastAsia="zh-CN"/>
                    </w:rPr>
                    <w:t>的历史高位</w:t>
                  </w:r>
                  <w:r w:rsidRPr="009304E0">
                    <w:rPr>
                      <w:rFonts w:eastAsia="宋体"/>
                      <w:bCs/>
                      <w:lang w:eastAsia="zh-CN"/>
                    </w:rPr>
                    <w:t>。</w:t>
                  </w:r>
                  <w:r w:rsidRPr="009304E0">
                    <w:rPr>
                      <w:rFonts w:eastAsia="宋体" w:hint="eastAsia"/>
                      <w:bCs/>
                      <w:lang w:eastAsia="zh-CN"/>
                    </w:rPr>
                    <w:t>1</w:t>
                  </w:r>
                  <w:r w:rsidRPr="009304E0">
                    <w:rPr>
                      <w:rFonts w:eastAsia="宋体" w:hint="eastAsia"/>
                      <w:bCs/>
                      <w:lang w:eastAsia="zh-CN"/>
                    </w:rPr>
                    <w:t>季度卢布兑美元汇率继续显著升值，从</w:t>
                  </w:r>
                  <w:r w:rsidRPr="009304E0">
                    <w:rPr>
                      <w:rFonts w:eastAsia="宋体" w:hint="eastAsia"/>
                      <w:bCs/>
                      <w:lang w:eastAsia="zh-CN"/>
                    </w:rPr>
                    <w:t>2</w:t>
                  </w:r>
                  <w:r w:rsidRPr="009304E0">
                    <w:rPr>
                      <w:rFonts w:eastAsia="宋体"/>
                      <w:bCs/>
                      <w:lang w:eastAsia="zh-CN"/>
                    </w:rPr>
                    <w:t>024</w:t>
                  </w:r>
                  <w:r w:rsidRPr="009304E0">
                    <w:rPr>
                      <w:rFonts w:eastAsia="宋体" w:hint="eastAsia"/>
                      <w:bCs/>
                      <w:lang w:eastAsia="zh-CN"/>
                    </w:rPr>
                    <w:t>年末的</w:t>
                  </w:r>
                  <w:r w:rsidRPr="009304E0">
                    <w:rPr>
                      <w:rFonts w:eastAsia="宋体"/>
                      <w:bCs/>
                      <w:lang w:eastAsia="zh-CN"/>
                    </w:rPr>
                    <w:t>101.7</w:t>
                  </w:r>
                  <w:r w:rsidRPr="009304E0">
                    <w:rPr>
                      <w:rFonts w:eastAsia="宋体" w:hint="eastAsia"/>
                      <w:bCs/>
                      <w:lang w:eastAsia="zh-CN"/>
                    </w:rPr>
                    <w:t>卢布</w:t>
                  </w:r>
                  <w:r w:rsidRPr="009304E0">
                    <w:rPr>
                      <w:rFonts w:eastAsia="宋体" w:hint="eastAsia"/>
                      <w:bCs/>
                      <w:lang w:eastAsia="zh-CN"/>
                    </w:rPr>
                    <w:t>/</w:t>
                  </w:r>
                  <w:r w:rsidRPr="009304E0">
                    <w:rPr>
                      <w:rFonts w:eastAsia="宋体" w:hint="eastAsia"/>
                      <w:bCs/>
                      <w:lang w:eastAsia="zh-CN"/>
                    </w:rPr>
                    <w:t>美元升值至季末的</w:t>
                  </w:r>
                  <w:r w:rsidRPr="009304E0">
                    <w:rPr>
                      <w:rFonts w:eastAsia="宋体"/>
                      <w:bCs/>
                      <w:lang w:eastAsia="zh-CN"/>
                    </w:rPr>
                    <w:t>83.7</w:t>
                  </w:r>
                  <w:r w:rsidRPr="009304E0">
                    <w:rPr>
                      <w:rFonts w:eastAsia="宋体" w:hint="eastAsia"/>
                      <w:bCs/>
                      <w:lang w:eastAsia="zh-CN"/>
                    </w:rPr>
                    <w:t>卢布</w:t>
                  </w:r>
                  <w:r w:rsidRPr="009304E0">
                    <w:rPr>
                      <w:rFonts w:eastAsia="宋体" w:hint="eastAsia"/>
                      <w:bCs/>
                      <w:lang w:eastAsia="zh-CN"/>
                    </w:rPr>
                    <w:t>/</w:t>
                  </w:r>
                  <w:r w:rsidRPr="009304E0">
                    <w:rPr>
                      <w:rFonts w:eastAsia="宋体" w:hint="eastAsia"/>
                      <w:bCs/>
                      <w:lang w:eastAsia="zh-CN"/>
                    </w:rPr>
                    <w:t>美元。</w:t>
                  </w:r>
                </w:p>
                <w:p w14:paraId="3F482EBF" w14:textId="77777777" w:rsidR="00CB5FC9" w:rsidRPr="009304E0" w:rsidRDefault="00CB5FC9" w:rsidP="00CB5FC9">
                  <w:pPr>
                    <w:ind w:firstLine="482"/>
                    <w:rPr>
                      <w:rFonts w:eastAsia="宋体"/>
                      <w:bCs/>
                      <w:lang w:eastAsia="zh-CN"/>
                    </w:rPr>
                  </w:pPr>
                  <w:r w:rsidRPr="009304E0">
                    <w:rPr>
                      <w:rFonts w:eastAsia="宋体" w:hint="eastAsia"/>
                      <w:b/>
                      <w:bCs/>
                      <w:lang w:eastAsia="zh-CN"/>
                    </w:rPr>
                    <w:t>印度通胀回落，央行小幅降息。</w:t>
                  </w:r>
                  <w:bookmarkStart w:id="59" w:name="OLE_LINK5"/>
                  <w:bookmarkStart w:id="60" w:name="OLE_LINK6"/>
                  <w:bookmarkStart w:id="61" w:name="OLE_LINK7"/>
                  <w:bookmarkStart w:id="62" w:name="OLE_LINK4"/>
                  <w:r w:rsidRPr="009304E0">
                    <w:rPr>
                      <w:rFonts w:eastAsia="宋体"/>
                      <w:bCs/>
                      <w:lang w:eastAsia="zh-CN"/>
                    </w:rPr>
                    <w:t>2024</w:t>
                  </w:r>
                  <w:r w:rsidRPr="009304E0">
                    <w:rPr>
                      <w:rFonts w:eastAsia="宋体"/>
                      <w:bCs/>
                      <w:lang w:eastAsia="zh-CN"/>
                    </w:rPr>
                    <w:t>年</w:t>
                  </w:r>
                  <w:r w:rsidRPr="009304E0">
                    <w:rPr>
                      <w:rFonts w:eastAsia="宋体"/>
                      <w:bCs/>
                      <w:lang w:eastAsia="zh-CN"/>
                    </w:rPr>
                    <w:t>12</w:t>
                  </w:r>
                  <w:r w:rsidRPr="009304E0">
                    <w:rPr>
                      <w:rFonts w:eastAsia="宋体"/>
                      <w:bCs/>
                      <w:lang w:eastAsia="zh-CN"/>
                    </w:rPr>
                    <w:t>月</w:t>
                  </w:r>
                  <w:r w:rsidRPr="009304E0">
                    <w:rPr>
                      <w:rFonts w:eastAsia="宋体"/>
                      <w:bCs/>
                      <w:lang w:eastAsia="zh-CN"/>
                    </w:rPr>
                    <w:t>-2025</w:t>
                  </w:r>
                  <w:r w:rsidRPr="009304E0">
                    <w:rPr>
                      <w:rFonts w:eastAsia="宋体"/>
                      <w:bCs/>
                      <w:lang w:eastAsia="zh-CN"/>
                    </w:rPr>
                    <w:t>年</w:t>
                  </w:r>
                  <w:r w:rsidRPr="009304E0">
                    <w:rPr>
                      <w:rFonts w:eastAsia="宋体"/>
                      <w:bCs/>
                      <w:lang w:eastAsia="zh-CN"/>
                    </w:rPr>
                    <w:t>2</w:t>
                  </w:r>
                  <w:r w:rsidRPr="009304E0">
                    <w:rPr>
                      <w:rFonts w:eastAsia="宋体"/>
                      <w:bCs/>
                      <w:lang w:eastAsia="zh-CN"/>
                    </w:rPr>
                    <w:t>月，</w:t>
                  </w:r>
                  <w:bookmarkEnd w:id="59"/>
                  <w:bookmarkEnd w:id="60"/>
                  <w:bookmarkEnd w:id="61"/>
                  <w:r w:rsidRPr="009304E0">
                    <w:rPr>
                      <w:rFonts w:eastAsia="宋体"/>
                      <w:bCs/>
                      <w:lang w:eastAsia="zh-CN"/>
                    </w:rPr>
                    <w:t>印度</w:t>
                  </w:r>
                  <w:r w:rsidRPr="009304E0">
                    <w:rPr>
                      <w:rFonts w:eastAsia="宋体"/>
                      <w:bCs/>
                      <w:lang w:eastAsia="zh-CN"/>
                    </w:rPr>
                    <w:t>CPI</w:t>
                  </w:r>
                  <w:r w:rsidRPr="009304E0">
                    <w:rPr>
                      <w:rFonts w:eastAsia="宋体"/>
                      <w:bCs/>
                      <w:lang w:eastAsia="zh-CN"/>
                    </w:rPr>
                    <w:t>同比增速分别为</w:t>
                  </w:r>
                  <w:r w:rsidRPr="009304E0">
                    <w:rPr>
                      <w:rFonts w:eastAsia="宋体"/>
                      <w:bCs/>
                      <w:lang w:eastAsia="zh-CN"/>
                    </w:rPr>
                    <w:t>5.2%</w:t>
                  </w:r>
                  <w:r w:rsidRPr="009304E0">
                    <w:rPr>
                      <w:rFonts w:eastAsia="宋体"/>
                      <w:bCs/>
                      <w:lang w:eastAsia="zh-CN"/>
                    </w:rPr>
                    <w:t>、</w:t>
                  </w:r>
                  <w:r w:rsidRPr="009304E0">
                    <w:rPr>
                      <w:rFonts w:eastAsia="宋体"/>
                      <w:bCs/>
                      <w:lang w:eastAsia="zh-CN"/>
                    </w:rPr>
                    <w:t>4.3%</w:t>
                  </w:r>
                  <w:r w:rsidRPr="009304E0">
                    <w:rPr>
                      <w:rFonts w:eastAsia="宋体"/>
                      <w:bCs/>
                      <w:lang w:eastAsia="zh-CN"/>
                    </w:rPr>
                    <w:t>和</w:t>
                  </w:r>
                  <w:r w:rsidRPr="009304E0">
                    <w:rPr>
                      <w:rFonts w:eastAsia="宋体"/>
                      <w:bCs/>
                      <w:lang w:eastAsia="zh-CN"/>
                    </w:rPr>
                    <w:t>3.6%</w:t>
                  </w:r>
                  <w:r w:rsidRPr="009304E0">
                    <w:rPr>
                      <w:rFonts w:eastAsia="宋体" w:hint="eastAsia"/>
                      <w:bCs/>
                      <w:lang w:eastAsia="zh-CN"/>
                    </w:rPr>
                    <w:t>，总体</w:t>
                  </w:r>
                  <w:r w:rsidRPr="009304E0">
                    <w:rPr>
                      <w:rFonts w:eastAsia="宋体"/>
                      <w:bCs/>
                      <w:lang w:eastAsia="zh-CN"/>
                    </w:rPr>
                    <w:t>呈现下降趋势</w:t>
                  </w:r>
                  <w:r w:rsidRPr="009304E0">
                    <w:rPr>
                      <w:rFonts w:eastAsia="宋体" w:hint="eastAsia"/>
                      <w:bCs/>
                      <w:lang w:eastAsia="zh-CN"/>
                    </w:rPr>
                    <w:t>，回落至央行设定的</w:t>
                  </w:r>
                  <w:r w:rsidRPr="009304E0">
                    <w:rPr>
                      <w:rFonts w:eastAsia="宋体"/>
                      <w:bCs/>
                      <w:lang w:eastAsia="zh-CN"/>
                    </w:rPr>
                    <w:t>2%-6%</w:t>
                  </w:r>
                  <w:r w:rsidRPr="009304E0">
                    <w:rPr>
                      <w:rFonts w:eastAsia="宋体"/>
                      <w:bCs/>
                      <w:lang w:eastAsia="zh-CN"/>
                    </w:rPr>
                    <w:t>的通胀</w:t>
                  </w:r>
                  <w:r w:rsidRPr="009304E0">
                    <w:rPr>
                      <w:rFonts w:eastAsia="宋体" w:hint="eastAsia"/>
                      <w:bCs/>
                      <w:lang w:eastAsia="zh-CN"/>
                    </w:rPr>
                    <w:t>目标区间中部。分解来看，食品饮料价格的下降是</w:t>
                  </w:r>
                  <w:r w:rsidRPr="009304E0">
                    <w:rPr>
                      <w:rFonts w:eastAsia="宋体" w:hint="eastAsia"/>
                      <w:bCs/>
                      <w:lang w:eastAsia="zh-CN"/>
                    </w:rPr>
                    <w:t>CPI</w:t>
                  </w:r>
                  <w:r w:rsidRPr="009304E0">
                    <w:rPr>
                      <w:rFonts w:eastAsia="宋体" w:hint="eastAsia"/>
                      <w:bCs/>
                      <w:lang w:eastAsia="zh-CN"/>
                    </w:rPr>
                    <w:t>回落的主要因素。</w:t>
                  </w:r>
                  <w:r w:rsidRPr="009304E0">
                    <w:rPr>
                      <w:rFonts w:eastAsia="宋体" w:hint="eastAsia"/>
                      <w:bCs/>
                      <w:lang w:eastAsia="zh-CN"/>
                    </w:rPr>
                    <w:t>1</w:t>
                  </w:r>
                  <w:r w:rsidRPr="009304E0">
                    <w:rPr>
                      <w:rFonts w:eastAsia="宋体" w:hint="eastAsia"/>
                      <w:bCs/>
                      <w:lang w:eastAsia="zh-CN"/>
                    </w:rPr>
                    <w:t>季度</w:t>
                  </w:r>
                  <w:r w:rsidRPr="009304E0">
                    <w:rPr>
                      <w:rFonts w:eastAsia="宋体"/>
                      <w:lang w:eastAsia="zh-CN"/>
                    </w:rPr>
                    <w:t>印度央行</w:t>
                  </w:r>
                  <w:r w:rsidRPr="009304E0">
                    <w:rPr>
                      <w:rFonts w:eastAsia="宋体" w:hint="eastAsia"/>
                      <w:lang w:eastAsia="zh-CN"/>
                    </w:rPr>
                    <w:t>小幅降息</w:t>
                  </w:r>
                  <w:r w:rsidRPr="009304E0">
                    <w:rPr>
                      <w:rFonts w:eastAsia="宋体" w:hint="eastAsia"/>
                      <w:lang w:eastAsia="zh-CN"/>
                    </w:rPr>
                    <w:t>25</w:t>
                  </w:r>
                  <w:r w:rsidRPr="009304E0">
                    <w:rPr>
                      <w:rFonts w:eastAsia="宋体" w:hint="eastAsia"/>
                      <w:lang w:eastAsia="zh-CN"/>
                    </w:rPr>
                    <w:t>个基点</w:t>
                  </w:r>
                  <w:r w:rsidRPr="009304E0">
                    <w:rPr>
                      <w:rFonts w:eastAsia="宋体"/>
                      <w:lang w:eastAsia="zh-CN"/>
                    </w:rPr>
                    <w:t>，</w:t>
                  </w:r>
                  <w:r w:rsidRPr="009304E0">
                    <w:rPr>
                      <w:rFonts w:eastAsia="宋体" w:hint="eastAsia"/>
                      <w:lang w:eastAsia="zh-CN"/>
                    </w:rPr>
                    <w:t>将</w:t>
                  </w:r>
                  <w:r w:rsidRPr="009304E0">
                    <w:rPr>
                      <w:rFonts w:eastAsia="宋体"/>
                      <w:lang w:eastAsia="zh-CN"/>
                    </w:rPr>
                    <w:t>政策回购利率</w:t>
                  </w:r>
                  <w:r w:rsidRPr="009304E0">
                    <w:rPr>
                      <w:rFonts w:eastAsia="宋体" w:hint="eastAsia"/>
                      <w:lang w:eastAsia="zh-CN"/>
                    </w:rPr>
                    <w:t>从</w:t>
                  </w:r>
                  <w:r w:rsidRPr="009304E0">
                    <w:rPr>
                      <w:rFonts w:eastAsia="宋体"/>
                      <w:lang w:eastAsia="zh-CN"/>
                    </w:rPr>
                    <w:t>6.5%</w:t>
                  </w:r>
                  <w:r w:rsidRPr="009304E0">
                    <w:rPr>
                      <w:rFonts w:eastAsia="宋体" w:hint="eastAsia"/>
                      <w:lang w:eastAsia="zh-CN"/>
                    </w:rPr>
                    <w:t>降至</w:t>
                  </w:r>
                  <w:r w:rsidRPr="009304E0">
                    <w:rPr>
                      <w:rFonts w:eastAsia="宋体" w:hint="eastAsia"/>
                      <w:lang w:eastAsia="zh-CN"/>
                    </w:rPr>
                    <w:t>6.24%</w:t>
                  </w:r>
                  <w:r w:rsidRPr="009304E0">
                    <w:rPr>
                      <w:rFonts w:eastAsia="宋体" w:hint="eastAsia"/>
                      <w:lang w:eastAsia="zh-CN"/>
                    </w:rPr>
                    <w:t>，开启自</w:t>
                  </w:r>
                  <w:r w:rsidRPr="009304E0">
                    <w:rPr>
                      <w:rFonts w:eastAsia="宋体"/>
                      <w:lang w:eastAsia="zh-CN"/>
                    </w:rPr>
                    <w:t>2023</w:t>
                  </w:r>
                  <w:r w:rsidRPr="009304E0">
                    <w:rPr>
                      <w:rFonts w:eastAsia="宋体"/>
                      <w:lang w:eastAsia="zh-CN"/>
                    </w:rPr>
                    <w:t>年</w:t>
                  </w:r>
                  <w:r w:rsidRPr="009304E0">
                    <w:rPr>
                      <w:rFonts w:eastAsia="宋体"/>
                      <w:lang w:eastAsia="zh-CN"/>
                    </w:rPr>
                    <w:t>2</w:t>
                  </w:r>
                  <w:r w:rsidRPr="009304E0">
                    <w:rPr>
                      <w:rFonts w:eastAsia="宋体"/>
                      <w:lang w:eastAsia="zh-CN"/>
                    </w:rPr>
                    <w:t>月以来</w:t>
                  </w:r>
                  <w:r w:rsidRPr="009304E0">
                    <w:rPr>
                      <w:rFonts w:eastAsia="宋体" w:hint="eastAsia"/>
                      <w:lang w:eastAsia="zh-CN"/>
                    </w:rPr>
                    <w:t>的首次降息</w:t>
                  </w:r>
                  <w:r w:rsidRPr="009304E0">
                    <w:rPr>
                      <w:rFonts w:eastAsia="宋体"/>
                      <w:lang w:eastAsia="zh-CN"/>
                    </w:rPr>
                    <w:t>。</w:t>
                  </w:r>
                  <w:r w:rsidRPr="009304E0">
                    <w:rPr>
                      <w:rFonts w:eastAsia="宋体" w:hint="eastAsia"/>
                      <w:lang w:eastAsia="zh-CN"/>
                    </w:rPr>
                    <w:t>1</w:t>
                  </w:r>
                  <w:r w:rsidRPr="009304E0">
                    <w:rPr>
                      <w:rFonts w:eastAsia="宋体" w:hint="eastAsia"/>
                      <w:lang w:eastAsia="zh-CN"/>
                    </w:rPr>
                    <w:t>季度印度卢比兑美元汇率保持稳定，大体在</w:t>
                  </w:r>
                  <w:r w:rsidRPr="009304E0">
                    <w:rPr>
                      <w:rFonts w:eastAsia="宋体" w:hint="eastAsia"/>
                      <w:lang w:eastAsia="zh-CN"/>
                    </w:rPr>
                    <w:t>85-87</w:t>
                  </w:r>
                  <w:r w:rsidRPr="009304E0">
                    <w:rPr>
                      <w:rFonts w:eastAsia="宋体" w:hint="eastAsia"/>
                      <w:lang w:eastAsia="zh-CN"/>
                    </w:rPr>
                    <w:t>卢比</w:t>
                  </w:r>
                  <w:r w:rsidRPr="009304E0">
                    <w:rPr>
                      <w:rFonts w:eastAsia="宋体" w:hint="eastAsia"/>
                      <w:lang w:eastAsia="zh-CN"/>
                    </w:rPr>
                    <w:t>/</w:t>
                  </w:r>
                  <w:r w:rsidRPr="009304E0">
                    <w:rPr>
                      <w:rFonts w:eastAsia="宋体" w:hint="eastAsia"/>
                      <w:lang w:eastAsia="zh-CN"/>
                    </w:rPr>
                    <w:t>美元范围内小幅波动。</w:t>
                  </w:r>
                  <w:bookmarkEnd w:id="62"/>
                </w:p>
                <w:p w14:paraId="4F362256" w14:textId="77777777" w:rsidR="00CB5FC9" w:rsidRPr="009304E0" w:rsidRDefault="00CB5FC9" w:rsidP="00CB5FC9">
                  <w:pPr>
                    <w:ind w:firstLine="482"/>
                    <w:rPr>
                      <w:rFonts w:eastAsia="宋体"/>
                      <w:bCs/>
                      <w:lang w:eastAsia="zh-CN"/>
                    </w:rPr>
                  </w:pPr>
                  <w:r w:rsidRPr="009304E0">
                    <w:rPr>
                      <w:rFonts w:eastAsia="宋体" w:hint="eastAsia"/>
                      <w:b/>
                      <w:bCs/>
                      <w:lang w:eastAsia="zh-CN"/>
                    </w:rPr>
                    <w:t>巴西通胀继续反弹，央行再次大幅加息。</w:t>
                  </w:r>
                  <w:bookmarkStart w:id="63" w:name="OLE_LINK9"/>
                  <w:r w:rsidRPr="009304E0">
                    <w:rPr>
                      <w:rFonts w:eastAsia="宋体"/>
                      <w:bCs/>
                      <w:kern w:val="0"/>
                      <w:lang w:eastAsia="zh-CN"/>
                    </w:rPr>
                    <w:t>2024</w:t>
                  </w:r>
                  <w:r w:rsidRPr="009304E0">
                    <w:rPr>
                      <w:rFonts w:eastAsia="宋体" w:hint="eastAsia"/>
                      <w:bCs/>
                      <w:kern w:val="0"/>
                      <w:lang w:eastAsia="zh-CN"/>
                    </w:rPr>
                    <w:t>年</w:t>
                  </w:r>
                  <w:r w:rsidRPr="009304E0">
                    <w:rPr>
                      <w:rFonts w:eastAsia="宋体"/>
                      <w:bCs/>
                      <w:kern w:val="0"/>
                      <w:lang w:eastAsia="zh-CN"/>
                    </w:rPr>
                    <w:t>12</w:t>
                  </w:r>
                  <w:r w:rsidRPr="009304E0">
                    <w:rPr>
                      <w:rFonts w:eastAsia="宋体" w:hint="eastAsia"/>
                      <w:bCs/>
                      <w:kern w:val="0"/>
                      <w:lang w:eastAsia="zh-CN"/>
                    </w:rPr>
                    <w:t>月</w:t>
                  </w:r>
                  <w:r w:rsidRPr="009304E0">
                    <w:rPr>
                      <w:rFonts w:eastAsia="宋体"/>
                      <w:bCs/>
                      <w:kern w:val="0"/>
                      <w:lang w:eastAsia="zh-CN"/>
                    </w:rPr>
                    <w:t>-2025</w:t>
                  </w:r>
                  <w:r w:rsidRPr="009304E0">
                    <w:rPr>
                      <w:rFonts w:eastAsia="宋体" w:hint="eastAsia"/>
                      <w:bCs/>
                      <w:kern w:val="0"/>
                      <w:lang w:eastAsia="zh-CN"/>
                    </w:rPr>
                    <w:t>年</w:t>
                  </w:r>
                  <w:r w:rsidRPr="009304E0">
                    <w:rPr>
                      <w:rFonts w:eastAsia="宋体"/>
                      <w:bCs/>
                      <w:kern w:val="0"/>
                      <w:lang w:eastAsia="zh-CN"/>
                    </w:rPr>
                    <w:t>2</w:t>
                  </w:r>
                  <w:r w:rsidRPr="009304E0">
                    <w:rPr>
                      <w:rFonts w:eastAsia="宋体" w:hint="eastAsia"/>
                      <w:bCs/>
                      <w:kern w:val="0"/>
                      <w:lang w:eastAsia="zh-CN"/>
                    </w:rPr>
                    <w:t>月，</w:t>
                  </w:r>
                  <w:bookmarkEnd w:id="63"/>
                  <w:r w:rsidRPr="009304E0">
                    <w:rPr>
                      <w:rFonts w:eastAsia="宋体" w:hint="eastAsia"/>
                      <w:bCs/>
                      <w:lang w:eastAsia="zh-CN"/>
                    </w:rPr>
                    <w:t>巴西</w:t>
                  </w:r>
                  <w:r w:rsidRPr="009304E0">
                    <w:rPr>
                      <w:rFonts w:eastAsia="宋体"/>
                      <w:bCs/>
                      <w:lang w:eastAsia="zh-CN"/>
                    </w:rPr>
                    <w:t>CPI</w:t>
                  </w:r>
                  <w:r w:rsidRPr="009304E0">
                    <w:rPr>
                      <w:rFonts w:eastAsia="宋体"/>
                      <w:bCs/>
                      <w:lang w:eastAsia="zh-CN"/>
                    </w:rPr>
                    <w:t>同比增速分别为</w:t>
                  </w:r>
                  <w:r w:rsidRPr="009304E0">
                    <w:rPr>
                      <w:rFonts w:eastAsia="宋体" w:hint="eastAsia"/>
                      <w:bCs/>
                      <w:lang w:eastAsia="zh-CN"/>
                    </w:rPr>
                    <w:t>4.</w:t>
                  </w:r>
                  <w:r w:rsidRPr="009304E0">
                    <w:rPr>
                      <w:rFonts w:eastAsia="宋体"/>
                      <w:bCs/>
                      <w:lang w:eastAsia="zh-CN"/>
                    </w:rPr>
                    <w:t>8</w:t>
                  </w:r>
                  <w:r w:rsidRPr="009304E0">
                    <w:rPr>
                      <w:rFonts w:eastAsia="宋体" w:hint="eastAsia"/>
                      <w:bCs/>
                      <w:lang w:eastAsia="zh-CN"/>
                    </w:rPr>
                    <w:t>%</w:t>
                  </w:r>
                  <w:r w:rsidRPr="009304E0">
                    <w:rPr>
                      <w:rFonts w:eastAsia="宋体" w:hint="eastAsia"/>
                      <w:bCs/>
                      <w:lang w:eastAsia="zh-CN"/>
                    </w:rPr>
                    <w:t>、</w:t>
                  </w:r>
                  <w:r w:rsidRPr="009304E0">
                    <w:rPr>
                      <w:rFonts w:eastAsia="宋体"/>
                      <w:bCs/>
                      <w:lang w:eastAsia="zh-CN"/>
                    </w:rPr>
                    <w:t>4</w:t>
                  </w:r>
                  <w:r w:rsidRPr="009304E0">
                    <w:rPr>
                      <w:rFonts w:eastAsia="宋体" w:hint="eastAsia"/>
                      <w:bCs/>
                      <w:lang w:eastAsia="zh-CN"/>
                    </w:rPr>
                    <w:t>.</w:t>
                  </w:r>
                  <w:r w:rsidRPr="009304E0">
                    <w:rPr>
                      <w:rFonts w:eastAsia="宋体"/>
                      <w:bCs/>
                      <w:lang w:eastAsia="zh-CN"/>
                    </w:rPr>
                    <w:t>6</w:t>
                  </w:r>
                  <w:r w:rsidRPr="009304E0">
                    <w:rPr>
                      <w:rFonts w:eastAsia="宋体" w:hint="eastAsia"/>
                      <w:bCs/>
                      <w:lang w:eastAsia="zh-CN"/>
                    </w:rPr>
                    <w:t>%</w:t>
                  </w:r>
                  <w:r w:rsidRPr="009304E0">
                    <w:rPr>
                      <w:rFonts w:eastAsia="宋体" w:hint="eastAsia"/>
                      <w:bCs/>
                      <w:lang w:eastAsia="zh-CN"/>
                    </w:rPr>
                    <w:t>、</w:t>
                  </w:r>
                  <w:r w:rsidRPr="009304E0">
                    <w:rPr>
                      <w:rFonts w:eastAsia="宋体"/>
                      <w:bCs/>
                      <w:lang w:eastAsia="zh-CN"/>
                    </w:rPr>
                    <w:t>5</w:t>
                  </w:r>
                  <w:r w:rsidRPr="009304E0">
                    <w:rPr>
                      <w:rFonts w:eastAsia="宋体" w:hint="eastAsia"/>
                      <w:bCs/>
                      <w:lang w:eastAsia="zh-CN"/>
                    </w:rPr>
                    <w:t>.</w:t>
                  </w:r>
                  <w:r w:rsidRPr="009304E0">
                    <w:rPr>
                      <w:rFonts w:eastAsia="宋体"/>
                      <w:bCs/>
                      <w:lang w:eastAsia="zh-CN"/>
                    </w:rPr>
                    <w:t>1</w:t>
                  </w:r>
                  <w:r w:rsidRPr="009304E0">
                    <w:rPr>
                      <w:rFonts w:eastAsia="宋体" w:hint="eastAsia"/>
                      <w:bCs/>
                      <w:lang w:eastAsia="zh-CN"/>
                    </w:rPr>
                    <w:t>%</w:t>
                  </w:r>
                  <w:r w:rsidRPr="009304E0">
                    <w:rPr>
                      <w:rFonts w:eastAsia="宋体" w:hint="eastAsia"/>
                      <w:bCs/>
                      <w:lang w:eastAsia="zh-CN"/>
                    </w:rPr>
                    <w:t>，较此前三个月进一步回升，小幅超出央行确定的</w:t>
                  </w:r>
                  <w:r w:rsidRPr="009304E0">
                    <w:rPr>
                      <w:rFonts w:eastAsia="宋体"/>
                      <w:bCs/>
                      <w:lang w:eastAsia="zh-CN"/>
                    </w:rPr>
                    <w:t>3%</w:t>
                  </w:r>
                  <w:r w:rsidRPr="009304E0">
                    <w:rPr>
                      <w:rFonts w:eastAsia="宋体"/>
                      <w:bCs/>
                      <w:lang w:eastAsia="zh-CN"/>
                    </w:rPr>
                    <w:t>（</w:t>
                  </w:r>
                  <w:r w:rsidRPr="009304E0">
                    <w:rPr>
                      <w:rFonts w:eastAsia="宋体"/>
                      <w:bCs/>
                      <w:lang w:eastAsia="zh-CN"/>
                    </w:rPr>
                    <w:t>+/-1.5</w:t>
                  </w:r>
                  <w:r w:rsidRPr="009304E0">
                    <w:rPr>
                      <w:rFonts w:eastAsia="宋体"/>
                      <w:bCs/>
                      <w:lang w:eastAsia="zh-CN"/>
                    </w:rPr>
                    <w:t>个百分点）的通胀目标区间</w:t>
                  </w:r>
                  <w:r w:rsidRPr="009304E0">
                    <w:rPr>
                      <w:rFonts w:eastAsia="宋体" w:hint="eastAsia"/>
                      <w:bCs/>
                      <w:lang w:eastAsia="zh-CN"/>
                    </w:rPr>
                    <w:t>上限</w:t>
                  </w:r>
                  <w:r w:rsidRPr="009304E0">
                    <w:rPr>
                      <w:rFonts w:eastAsia="宋体"/>
                      <w:bCs/>
                      <w:lang w:eastAsia="zh-CN"/>
                    </w:rPr>
                    <w:t>。</w:t>
                  </w:r>
                  <w:r w:rsidRPr="009304E0">
                    <w:rPr>
                      <w:rFonts w:eastAsia="宋体" w:hint="eastAsia"/>
                      <w:bCs/>
                      <w:lang w:eastAsia="zh-CN"/>
                    </w:rPr>
                    <w:t>这进一步验证，过去一年连续</w:t>
                  </w:r>
                  <w:r w:rsidRPr="009304E0">
                    <w:rPr>
                      <w:rFonts w:eastAsia="宋体" w:hint="eastAsia"/>
                      <w:bCs/>
                      <w:lang w:eastAsia="zh-CN"/>
                    </w:rPr>
                    <w:t>7</w:t>
                  </w:r>
                  <w:r w:rsidRPr="009304E0">
                    <w:rPr>
                      <w:rFonts w:eastAsia="宋体" w:hint="eastAsia"/>
                      <w:bCs/>
                      <w:lang w:eastAsia="zh-CN"/>
                    </w:rPr>
                    <w:t>次降息作用有所显现，此后通胀走势仍值得进一步关注。</w:t>
                  </w:r>
                  <w:r w:rsidRPr="009304E0">
                    <w:rPr>
                      <w:rFonts w:eastAsia="宋体" w:hint="eastAsia"/>
                      <w:bCs/>
                      <w:lang w:eastAsia="zh-CN"/>
                    </w:rPr>
                    <w:t>202</w:t>
                  </w:r>
                  <w:r w:rsidRPr="009304E0">
                    <w:rPr>
                      <w:rFonts w:eastAsia="宋体"/>
                      <w:bCs/>
                      <w:lang w:eastAsia="zh-CN"/>
                    </w:rPr>
                    <w:t>5</w:t>
                  </w:r>
                  <w:r w:rsidRPr="009304E0">
                    <w:rPr>
                      <w:rFonts w:eastAsia="宋体" w:hint="eastAsia"/>
                      <w:bCs/>
                      <w:lang w:eastAsia="zh-CN"/>
                    </w:rPr>
                    <w:t>年</w:t>
                  </w:r>
                  <w:r w:rsidRPr="009304E0">
                    <w:rPr>
                      <w:rFonts w:eastAsia="宋体"/>
                      <w:bCs/>
                      <w:lang w:eastAsia="zh-CN"/>
                    </w:rPr>
                    <w:t>1</w:t>
                  </w:r>
                  <w:r w:rsidRPr="009304E0">
                    <w:rPr>
                      <w:rFonts w:eastAsia="宋体" w:hint="eastAsia"/>
                      <w:bCs/>
                      <w:lang w:eastAsia="zh-CN"/>
                    </w:rPr>
                    <w:t>月、</w:t>
                  </w:r>
                  <w:r w:rsidRPr="009304E0">
                    <w:rPr>
                      <w:rFonts w:eastAsia="宋体"/>
                      <w:bCs/>
                      <w:lang w:eastAsia="zh-CN"/>
                    </w:rPr>
                    <w:t>3</w:t>
                  </w:r>
                  <w:r w:rsidRPr="009304E0">
                    <w:rPr>
                      <w:rFonts w:eastAsia="宋体" w:hint="eastAsia"/>
                      <w:bCs/>
                      <w:lang w:eastAsia="zh-CN"/>
                    </w:rPr>
                    <w:t>月，巴西央行再次连续两次加息，均加息</w:t>
                  </w:r>
                  <w:r w:rsidRPr="009304E0">
                    <w:rPr>
                      <w:rFonts w:eastAsia="宋体" w:hint="eastAsia"/>
                      <w:bCs/>
                      <w:lang w:eastAsia="zh-CN"/>
                    </w:rPr>
                    <w:t>100</w:t>
                  </w:r>
                  <w:r w:rsidRPr="009304E0">
                    <w:rPr>
                      <w:rFonts w:eastAsia="宋体" w:hint="eastAsia"/>
                      <w:bCs/>
                      <w:lang w:eastAsia="zh-CN"/>
                    </w:rPr>
                    <w:t>个基点，将隔夜利率</w:t>
                  </w:r>
                  <w:r w:rsidRPr="009304E0">
                    <w:rPr>
                      <w:rFonts w:eastAsia="宋体"/>
                      <w:bCs/>
                      <w:lang w:eastAsia="zh-CN"/>
                    </w:rPr>
                    <w:t>12.25%</w:t>
                  </w:r>
                  <w:r w:rsidRPr="009304E0">
                    <w:rPr>
                      <w:rFonts w:eastAsia="宋体" w:hint="eastAsia"/>
                      <w:bCs/>
                      <w:lang w:eastAsia="zh-CN"/>
                    </w:rPr>
                    <w:t>升</w:t>
                  </w:r>
                  <w:r w:rsidRPr="009304E0">
                    <w:rPr>
                      <w:rFonts w:eastAsia="宋体"/>
                      <w:bCs/>
                      <w:lang w:eastAsia="zh-CN"/>
                    </w:rPr>
                    <w:t>至</w:t>
                  </w:r>
                  <w:r w:rsidRPr="009304E0">
                    <w:rPr>
                      <w:rFonts w:eastAsia="宋体" w:hint="eastAsia"/>
                      <w:bCs/>
                      <w:lang w:eastAsia="zh-CN"/>
                    </w:rPr>
                    <w:t>14.25%</w:t>
                  </w:r>
                  <w:r w:rsidRPr="009304E0">
                    <w:rPr>
                      <w:rFonts w:eastAsia="宋体"/>
                      <w:bCs/>
                      <w:lang w:eastAsia="zh-CN"/>
                    </w:rPr>
                    <w:t>。</w:t>
                  </w:r>
                  <w:r w:rsidRPr="009304E0">
                    <w:rPr>
                      <w:rFonts w:eastAsia="宋体" w:hint="eastAsia"/>
                      <w:bCs/>
                      <w:lang w:eastAsia="zh-CN"/>
                    </w:rPr>
                    <w:t>巴西雷亚尔汇率显著反弹，大约从四季度末的</w:t>
                  </w:r>
                  <w:r w:rsidRPr="009304E0">
                    <w:rPr>
                      <w:rFonts w:eastAsia="宋体"/>
                      <w:bCs/>
                      <w:lang w:eastAsia="zh-CN"/>
                    </w:rPr>
                    <w:t>6</w:t>
                  </w:r>
                  <w:r w:rsidRPr="009304E0">
                    <w:rPr>
                      <w:rFonts w:eastAsia="宋体" w:hint="eastAsia"/>
                      <w:bCs/>
                      <w:lang w:eastAsia="zh-CN"/>
                    </w:rPr>
                    <w:t>.</w:t>
                  </w:r>
                  <w:r w:rsidRPr="009304E0">
                    <w:rPr>
                      <w:rFonts w:eastAsia="宋体"/>
                      <w:bCs/>
                      <w:lang w:eastAsia="zh-CN"/>
                    </w:rPr>
                    <w:t>2</w:t>
                  </w:r>
                  <w:r w:rsidRPr="009304E0">
                    <w:rPr>
                      <w:rFonts w:eastAsia="宋体" w:hint="eastAsia"/>
                      <w:bCs/>
                      <w:lang w:eastAsia="zh-CN"/>
                    </w:rPr>
                    <w:t>巴西雷亚尔</w:t>
                  </w:r>
                  <w:r w:rsidRPr="009304E0">
                    <w:rPr>
                      <w:rFonts w:eastAsia="宋体" w:hint="eastAsia"/>
                      <w:bCs/>
                      <w:lang w:eastAsia="zh-CN"/>
                    </w:rPr>
                    <w:t>/</w:t>
                  </w:r>
                  <w:r w:rsidRPr="009304E0">
                    <w:rPr>
                      <w:rFonts w:eastAsia="宋体" w:hint="eastAsia"/>
                      <w:bCs/>
                      <w:lang w:eastAsia="zh-CN"/>
                    </w:rPr>
                    <w:t>美元升至</w:t>
                  </w:r>
                  <w:r w:rsidRPr="009304E0">
                    <w:rPr>
                      <w:rFonts w:eastAsia="宋体"/>
                      <w:bCs/>
                      <w:lang w:eastAsia="zh-CN"/>
                    </w:rPr>
                    <w:t>5</w:t>
                  </w:r>
                  <w:r w:rsidRPr="009304E0">
                    <w:rPr>
                      <w:rFonts w:eastAsia="宋体" w:hint="eastAsia"/>
                      <w:bCs/>
                      <w:lang w:eastAsia="zh-CN"/>
                    </w:rPr>
                    <w:t>.</w:t>
                  </w:r>
                  <w:r w:rsidRPr="009304E0">
                    <w:rPr>
                      <w:rFonts w:eastAsia="宋体"/>
                      <w:bCs/>
                      <w:lang w:eastAsia="zh-CN"/>
                    </w:rPr>
                    <w:t>7</w:t>
                  </w:r>
                  <w:r w:rsidRPr="009304E0">
                    <w:rPr>
                      <w:rFonts w:eastAsia="宋体" w:hint="eastAsia"/>
                      <w:bCs/>
                      <w:lang w:eastAsia="zh-CN"/>
                    </w:rPr>
                    <w:t>巴西雷亚尔</w:t>
                  </w:r>
                  <w:r w:rsidRPr="009304E0">
                    <w:rPr>
                      <w:rFonts w:eastAsia="宋体"/>
                      <w:bCs/>
                      <w:lang w:eastAsia="zh-CN"/>
                    </w:rPr>
                    <w:t>/</w:t>
                  </w:r>
                  <w:r w:rsidRPr="009304E0">
                    <w:rPr>
                      <w:rFonts w:eastAsia="宋体"/>
                      <w:bCs/>
                      <w:lang w:eastAsia="zh-CN"/>
                    </w:rPr>
                    <w:t>美元</w:t>
                  </w:r>
                  <w:r w:rsidRPr="009304E0">
                    <w:rPr>
                      <w:rFonts w:eastAsia="宋体" w:hint="eastAsia"/>
                      <w:bCs/>
                      <w:lang w:eastAsia="zh-CN"/>
                    </w:rPr>
                    <w:t>。</w:t>
                  </w:r>
                </w:p>
                <w:p w14:paraId="6AD02BFC" w14:textId="77777777" w:rsidR="00CB5FC9" w:rsidRPr="009304E0" w:rsidRDefault="00CB5FC9" w:rsidP="00CB5FC9">
                  <w:pPr>
                    <w:ind w:firstLine="482"/>
                    <w:rPr>
                      <w:rFonts w:eastAsia="宋体"/>
                      <w:bCs/>
                    </w:rPr>
                  </w:pPr>
                  <w:r w:rsidRPr="009304E0">
                    <w:rPr>
                      <w:rFonts w:eastAsia="宋体" w:hint="eastAsia"/>
                      <w:b/>
                      <w:bCs/>
                      <w:lang w:eastAsia="zh-CN"/>
                    </w:rPr>
                    <w:t>南非通胀低位略有回升，央行再次小幅降息。</w:t>
                  </w:r>
                  <w:bookmarkStart w:id="64" w:name="OLE_LINK10"/>
                  <w:r w:rsidRPr="009304E0">
                    <w:rPr>
                      <w:rFonts w:eastAsia="宋体"/>
                      <w:bCs/>
                      <w:lang w:eastAsia="zh-CN"/>
                    </w:rPr>
                    <w:t>2024</w:t>
                  </w:r>
                  <w:r w:rsidRPr="009304E0">
                    <w:rPr>
                      <w:rFonts w:eastAsia="宋体"/>
                      <w:bCs/>
                      <w:lang w:eastAsia="zh-CN"/>
                    </w:rPr>
                    <w:t>年</w:t>
                  </w:r>
                  <w:r w:rsidRPr="009304E0">
                    <w:rPr>
                      <w:rFonts w:eastAsia="宋体"/>
                      <w:bCs/>
                      <w:lang w:eastAsia="zh-CN"/>
                    </w:rPr>
                    <w:t>12</w:t>
                  </w:r>
                  <w:r w:rsidRPr="009304E0">
                    <w:rPr>
                      <w:rFonts w:eastAsia="宋体"/>
                      <w:bCs/>
                      <w:lang w:eastAsia="zh-CN"/>
                    </w:rPr>
                    <w:t>月</w:t>
                  </w:r>
                  <w:r w:rsidRPr="009304E0">
                    <w:rPr>
                      <w:rFonts w:eastAsia="宋体"/>
                      <w:bCs/>
                      <w:lang w:eastAsia="zh-CN"/>
                    </w:rPr>
                    <w:t>-2025</w:t>
                  </w:r>
                  <w:r w:rsidRPr="009304E0">
                    <w:rPr>
                      <w:rFonts w:eastAsia="宋体"/>
                      <w:bCs/>
                      <w:lang w:eastAsia="zh-CN"/>
                    </w:rPr>
                    <w:t>年</w:t>
                  </w:r>
                  <w:r w:rsidRPr="009304E0">
                    <w:rPr>
                      <w:rFonts w:eastAsia="宋体"/>
                      <w:bCs/>
                      <w:lang w:eastAsia="zh-CN"/>
                    </w:rPr>
                    <w:t>2</w:t>
                  </w:r>
                  <w:r w:rsidRPr="009304E0">
                    <w:rPr>
                      <w:rFonts w:eastAsia="宋体"/>
                      <w:bCs/>
                      <w:lang w:eastAsia="zh-CN"/>
                    </w:rPr>
                    <w:t>月，</w:t>
                  </w:r>
                  <w:bookmarkEnd w:id="64"/>
                  <w:r w:rsidRPr="009304E0">
                    <w:rPr>
                      <w:rFonts w:eastAsia="宋体" w:hint="eastAsia"/>
                      <w:bCs/>
                      <w:lang w:eastAsia="zh-CN"/>
                    </w:rPr>
                    <w:t>南非</w:t>
                  </w:r>
                  <w:r w:rsidRPr="009304E0">
                    <w:rPr>
                      <w:rFonts w:eastAsia="宋体"/>
                      <w:bCs/>
                      <w:lang w:eastAsia="zh-CN"/>
                    </w:rPr>
                    <w:t>CPI</w:t>
                  </w:r>
                  <w:r w:rsidRPr="009304E0">
                    <w:rPr>
                      <w:rFonts w:eastAsia="宋体"/>
                      <w:bCs/>
                      <w:lang w:eastAsia="zh-CN"/>
                    </w:rPr>
                    <w:t>同比增速分别为</w:t>
                  </w:r>
                  <w:r w:rsidRPr="009304E0">
                    <w:rPr>
                      <w:rFonts w:eastAsia="宋体"/>
                      <w:bCs/>
                      <w:lang w:eastAsia="zh-CN"/>
                    </w:rPr>
                    <w:t>2</w:t>
                  </w:r>
                  <w:r w:rsidRPr="009304E0">
                    <w:rPr>
                      <w:rFonts w:eastAsia="宋体" w:hint="eastAsia"/>
                      <w:bCs/>
                      <w:lang w:eastAsia="zh-CN"/>
                    </w:rPr>
                    <w:t>.</w:t>
                  </w:r>
                  <w:r w:rsidRPr="009304E0">
                    <w:rPr>
                      <w:rFonts w:eastAsia="宋体"/>
                      <w:bCs/>
                      <w:lang w:eastAsia="zh-CN"/>
                    </w:rPr>
                    <w:t>9</w:t>
                  </w:r>
                  <w:r w:rsidRPr="009304E0">
                    <w:rPr>
                      <w:rFonts w:eastAsia="宋体" w:hint="eastAsia"/>
                      <w:bCs/>
                      <w:lang w:eastAsia="zh-CN"/>
                    </w:rPr>
                    <w:t>%</w:t>
                  </w:r>
                  <w:r w:rsidRPr="009304E0">
                    <w:rPr>
                      <w:rFonts w:eastAsia="宋体" w:hint="eastAsia"/>
                      <w:bCs/>
                      <w:lang w:eastAsia="zh-CN"/>
                    </w:rPr>
                    <w:t>、</w:t>
                  </w:r>
                  <w:r w:rsidRPr="009304E0">
                    <w:rPr>
                      <w:rFonts w:eastAsia="宋体"/>
                      <w:bCs/>
                      <w:lang w:eastAsia="zh-CN"/>
                    </w:rPr>
                    <w:t>3</w:t>
                  </w:r>
                  <w:r w:rsidRPr="009304E0">
                    <w:rPr>
                      <w:rFonts w:eastAsia="宋体" w:hint="eastAsia"/>
                      <w:bCs/>
                      <w:lang w:eastAsia="zh-CN"/>
                    </w:rPr>
                    <w:t>.</w:t>
                  </w:r>
                  <w:r w:rsidRPr="009304E0">
                    <w:rPr>
                      <w:rFonts w:eastAsia="宋体"/>
                      <w:bCs/>
                      <w:lang w:eastAsia="zh-CN"/>
                    </w:rPr>
                    <w:t>1</w:t>
                  </w:r>
                  <w:r w:rsidRPr="009304E0">
                    <w:rPr>
                      <w:rFonts w:eastAsia="宋体" w:hint="eastAsia"/>
                      <w:bCs/>
                      <w:lang w:eastAsia="zh-CN"/>
                    </w:rPr>
                    <w:t>%</w:t>
                  </w:r>
                  <w:r w:rsidRPr="009304E0">
                    <w:rPr>
                      <w:rFonts w:eastAsia="宋体" w:hint="eastAsia"/>
                      <w:bCs/>
                      <w:lang w:eastAsia="zh-CN"/>
                    </w:rPr>
                    <w:t>、</w:t>
                  </w:r>
                  <w:r w:rsidRPr="009304E0">
                    <w:rPr>
                      <w:rFonts w:eastAsia="宋体"/>
                      <w:bCs/>
                      <w:lang w:eastAsia="zh-CN"/>
                    </w:rPr>
                    <w:t>3</w:t>
                  </w:r>
                  <w:r w:rsidRPr="009304E0">
                    <w:rPr>
                      <w:rFonts w:eastAsia="宋体" w:hint="eastAsia"/>
                      <w:bCs/>
                      <w:lang w:eastAsia="zh-CN"/>
                    </w:rPr>
                    <w:t>.</w:t>
                  </w:r>
                  <w:r w:rsidRPr="009304E0">
                    <w:rPr>
                      <w:rFonts w:eastAsia="宋体"/>
                      <w:bCs/>
                      <w:lang w:eastAsia="zh-CN"/>
                    </w:rPr>
                    <w:t>2</w:t>
                  </w:r>
                  <w:r w:rsidRPr="009304E0">
                    <w:rPr>
                      <w:rFonts w:eastAsia="宋体" w:hint="eastAsia"/>
                      <w:bCs/>
                      <w:lang w:eastAsia="zh-CN"/>
                    </w:rPr>
                    <w:t>%</w:t>
                  </w:r>
                  <w:r w:rsidRPr="009304E0">
                    <w:rPr>
                      <w:rFonts w:eastAsia="宋体" w:hint="eastAsia"/>
                      <w:bCs/>
                      <w:lang w:eastAsia="zh-CN"/>
                    </w:rPr>
                    <w:t>，较此前三个月略有上升，但仍处于央行确定的通胀目标区间偏低水平</w:t>
                  </w:r>
                  <w:r w:rsidRPr="009304E0">
                    <w:rPr>
                      <w:rFonts w:eastAsia="宋体"/>
                      <w:bCs/>
                      <w:lang w:eastAsia="zh-CN"/>
                    </w:rPr>
                    <w:t>。</w:t>
                  </w:r>
                  <w:r w:rsidRPr="009304E0">
                    <w:rPr>
                      <w:rFonts w:eastAsia="宋体" w:hint="eastAsia"/>
                      <w:bCs/>
                      <w:lang w:eastAsia="zh-CN"/>
                    </w:rPr>
                    <w:t>继</w:t>
                  </w:r>
                  <w:r w:rsidRPr="009304E0">
                    <w:rPr>
                      <w:rFonts w:eastAsia="宋体"/>
                      <w:bCs/>
                      <w:lang w:eastAsia="zh-CN"/>
                    </w:rPr>
                    <w:t>2024</w:t>
                  </w:r>
                  <w:r w:rsidRPr="009304E0">
                    <w:rPr>
                      <w:rFonts w:eastAsia="宋体"/>
                      <w:bCs/>
                      <w:lang w:eastAsia="zh-CN"/>
                    </w:rPr>
                    <w:t>年</w:t>
                  </w:r>
                  <w:r w:rsidRPr="009304E0">
                    <w:rPr>
                      <w:rFonts w:eastAsia="宋体"/>
                      <w:bCs/>
                      <w:lang w:eastAsia="zh-CN"/>
                    </w:rPr>
                    <w:t>9</w:t>
                  </w:r>
                  <w:r w:rsidRPr="009304E0">
                    <w:rPr>
                      <w:rFonts w:eastAsia="宋体" w:hint="eastAsia"/>
                      <w:bCs/>
                      <w:lang w:eastAsia="zh-CN"/>
                    </w:rPr>
                    <w:t>、</w:t>
                  </w:r>
                  <w:r w:rsidRPr="009304E0">
                    <w:rPr>
                      <w:rFonts w:eastAsia="宋体" w:hint="eastAsia"/>
                      <w:bCs/>
                      <w:lang w:eastAsia="zh-CN"/>
                    </w:rPr>
                    <w:t>11</w:t>
                  </w:r>
                  <w:r w:rsidRPr="009304E0">
                    <w:rPr>
                      <w:rFonts w:eastAsia="宋体" w:hint="eastAsia"/>
                      <w:bCs/>
                      <w:lang w:eastAsia="zh-CN"/>
                    </w:rPr>
                    <w:t>月两次各降息</w:t>
                  </w:r>
                  <w:r w:rsidRPr="009304E0">
                    <w:rPr>
                      <w:rFonts w:eastAsia="宋体" w:hint="eastAsia"/>
                      <w:bCs/>
                      <w:lang w:eastAsia="zh-CN"/>
                    </w:rPr>
                    <w:t>25</w:t>
                  </w:r>
                  <w:r w:rsidRPr="009304E0">
                    <w:rPr>
                      <w:rFonts w:eastAsia="宋体" w:hint="eastAsia"/>
                      <w:bCs/>
                      <w:lang w:eastAsia="zh-CN"/>
                    </w:rPr>
                    <w:t>个基点后，</w:t>
                  </w:r>
                  <w:r w:rsidRPr="009304E0">
                    <w:rPr>
                      <w:rFonts w:eastAsia="宋体" w:hint="eastAsia"/>
                      <w:bCs/>
                      <w:lang w:eastAsia="zh-CN"/>
                    </w:rPr>
                    <w:t>2025</w:t>
                  </w:r>
                  <w:r w:rsidRPr="009304E0">
                    <w:rPr>
                      <w:rFonts w:eastAsia="宋体" w:hint="eastAsia"/>
                      <w:bCs/>
                      <w:lang w:eastAsia="zh-CN"/>
                    </w:rPr>
                    <w:t>年</w:t>
                  </w:r>
                  <w:r w:rsidRPr="009304E0">
                    <w:rPr>
                      <w:rFonts w:eastAsia="宋体" w:hint="eastAsia"/>
                      <w:bCs/>
                      <w:lang w:eastAsia="zh-CN"/>
                    </w:rPr>
                    <w:t>1</w:t>
                  </w:r>
                  <w:r w:rsidRPr="009304E0">
                    <w:rPr>
                      <w:rFonts w:eastAsia="宋体" w:hint="eastAsia"/>
                      <w:bCs/>
                      <w:lang w:eastAsia="zh-CN"/>
                    </w:rPr>
                    <w:t>月</w:t>
                  </w:r>
                  <w:r w:rsidRPr="009304E0">
                    <w:rPr>
                      <w:rFonts w:eastAsia="宋体"/>
                      <w:bCs/>
                      <w:lang w:eastAsia="zh-CN"/>
                    </w:rPr>
                    <w:t>南非央行</w:t>
                  </w:r>
                  <w:r w:rsidRPr="009304E0">
                    <w:rPr>
                      <w:rFonts w:eastAsia="宋体" w:hint="eastAsia"/>
                      <w:bCs/>
                      <w:lang w:eastAsia="zh-CN"/>
                    </w:rPr>
                    <w:t>再次小幅降息</w:t>
                  </w:r>
                  <w:r w:rsidRPr="009304E0">
                    <w:rPr>
                      <w:rFonts w:eastAsia="宋体" w:hint="eastAsia"/>
                      <w:bCs/>
                      <w:lang w:eastAsia="zh-CN"/>
                    </w:rPr>
                    <w:t>25</w:t>
                  </w:r>
                  <w:r w:rsidRPr="009304E0">
                    <w:rPr>
                      <w:rFonts w:eastAsia="宋体" w:hint="eastAsia"/>
                      <w:bCs/>
                      <w:lang w:eastAsia="zh-CN"/>
                    </w:rPr>
                    <w:t>个基点</w:t>
                  </w:r>
                  <w:r w:rsidRPr="009304E0">
                    <w:rPr>
                      <w:rFonts w:eastAsia="宋体"/>
                      <w:bCs/>
                      <w:lang w:eastAsia="zh-CN"/>
                    </w:rPr>
                    <w:t>，将回购利率</w:t>
                  </w:r>
                  <w:r w:rsidRPr="009304E0">
                    <w:rPr>
                      <w:rFonts w:eastAsia="宋体" w:hint="eastAsia"/>
                      <w:bCs/>
                      <w:lang w:eastAsia="zh-CN"/>
                    </w:rPr>
                    <w:t>降至</w:t>
                  </w:r>
                  <w:r w:rsidRPr="009304E0">
                    <w:rPr>
                      <w:rFonts w:eastAsia="宋体"/>
                      <w:bCs/>
                      <w:lang w:eastAsia="zh-CN"/>
                    </w:rPr>
                    <w:t>7.5%</w:t>
                  </w:r>
                  <w:r w:rsidRPr="009304E0">
                    <w:rPr>
                      <w:rFonts w:eastAsia="宋体"/>
                      <w:bCs/>
                      <w:lang w:eastAsia="zh-CN"/>
                    </w:rPr>
                    <w:t>。</w:t>
                  </w:r>
                  <w:bookmarkStart w:id="65" w:name="OLE_LINK8"/>
                  <w:r w:rsidRPr="009304E0">
                    <w:rPr>
                      <w:rFonts w:eastAsia="宋体" w:hint="eastAsia"/>
                      <w:bCs/>
                    </w:rPr>
                    <w:t>南非兰特兑美元汇率</w:t>
                  </w:r>
                  <w:bookmarkEnd w:id="65"/>
                  <w:r w:rsidRPr="009304E0">
                    <w:rPr>
                      <w:rFonts w:eastAsia="宋体" w:hint="eastAsia"/>
                      <w:bCs/>
                    </w:rPr>
                    <w:t>保持稳定。</w:t>
                  </w:r>
                  <w:r w:rsidRPr="009304E0">
                    <w:rPr>
                      <w:rFonts w:eastAsia="宋体" w:hint="eastAsia"/>
                      <w:bCs/>
                    </w:rPr>
                    <w:t xml:space="preserve"> </w:t>
                  </w:r>
                </w:p>
                <w:p w14:paraId="4F344E38" w14:textId="77777777" w:rsidR="00CB5FC9" w:rsidRPr="009304E0" w:rsidRDefault="00CB5FC9" w:rsidP="00CB5FC9">
                  <w:pPr>
                    <w:ind w:firstLine="480"/>
                    <w:rPr>
                      <w:rFonts w:eastAsia="宋体"/>
                    </w:rPr>
                  </w:pPr>
                </w:p>
              </w:tc>
            </w:tr>
            <w:tr w:rsidR="00CB5FC9" w:rsidRPr="009304E0" w14:paraId="521D4595" w14:textId="77777777" w:rsidTr="003A23F9">
              <w:trPr>
                <w:trHeight w:val="150"/>
                <w:jc w:val="center"/>
              </w:trPr>
              <w:tc>
                <w:tcPr>
                  <w:tcW w:w="2154" w:type="dxa"/>
                  <w:vAlign w:val="center"/>
                </w:tcPr>
                <w:p w14:paraId="18C35F75" w14:textId="77777777" w:rsidR="00CB5FC9" w:rsidRPr="009304E0" w:rsidRDefault="00CB5FC9" w:rsidP="00000FFC">
                  <w:pPr>
                    <w:ind w:firstLineChars="0" w:firstLine="0"/>
                    <w:rPr>
                      <w:rFonts w:eastAsia="楷体"/>
                      <w:b/>
                      <w:lang w:eastAsia="zh-CN"/>
                    </w:rPr>
                  </w:pPr>
                  <w:r w:rsidRPr="009304E0">
                    <w:rPr>
                      <w:rFonts w:eastAsia="楷体" w:hint="eastAsia"/>
                      <w:b/>
                      <w:lang w:eastAsia="zh-CN"/>
                    </w:rPr>
                    <w:lastRenderedPageBreak/>
                    <w:t>中国与金砖国家贸</w:t>
                  </w:r>
                  <w:r w:rsidRPr="009304E0">
                    <w:rPr>
                      <w:rFonts w:eastAsia="楷体" w:hint="eastAsia"/>
                      <w:b/>
                      <w:lang w:eastAsia="zh-CN"/>
                    </w:rPr>
                    <w:lastRenderedPageBreak/>
                    <w:t>易增速继续显著下降，占中国对外贸易比重小幅下降。其中，出口同比增速显著下降，进口同比增速继续大幅下滑</w:t>
                  </w:r>
                </w:p>
              </w:tc>
              <w:tc>
                <w:tcPr>
                  <w:tcW w:w="300" w:type="dxa"/>
                </w:tcPr>
                <w:p w14:paraId="1A31BBAF" w14:textId="77777777" w:rsidR="00CB5FC9" w:rsidRPr="009304E0" w:rsidRDefault="00CB5FC9" w:rsidP="00CB5FC9">
                  <w:pPr>
                    <w:keepNext/>
                    <w:keepLines/>
                    <w:ind w:firstLine="480"/>
                    <w:rPr>
                      <w:rFonts w:eastAsia="楷体_GB2312"/>
                      <w:lang w:eastAsia="zh-CN"/>
                    </w:rPr>
                  </w:pPr>
                </w:p>
              </w:tc>
              <w:tc>
                <w:tcPr>
                  <w:tcW w:w="7185" w:type="dxa"/>
                </w:tcPr>
                <w:p w14:paraId="00F9FA8D" w14:textId="77777777" w:rsidR="00CB5FC9" w:rsidRPr="009304E0" w:rsidRDefault="00CB5FC9" w:rsidP="00CB5FC9">
                  <w:pPr>
                    <w:ind w:firstLine="482"/>
                    <w:rPr>
                      <w:rFonts w:eastAsia="宋体"/>
                      <w:b/>
                      <w:lang w:eastAsia="zh-CN"/>
                    </w:rPr>
                  </w:pPr>
                  <w:r w:rsidRPr="009304E0">
                    <w:rPr>
                      <w:rFonts w:eastAsia="宋体" w:hint="eastAsia"/>
                      <w:b/>
                      <w:lang w:eastAsia="zh-CN"/>
                    </w:rPr>
                    <w:t>（三）对华贸易方面</w:t>
                  </w:r>
                </w:p>
                <w:p w14:paraId="110D9BC3" w14:textId="69D8B67A" w:rsidR="00CB5FC9" w:rsidRPr="009304E0" w:rsidRDefault="00CB5FC9" w:rsidP="00CB5FC9">
                  <w:pPr>
                    <w:ind w:firstLine="482"/>
                    <w:rPr>
                      <w:rFonts w:eastAsia="宋体"/>
                      <w:bCs/>
                      <w:lang w:eastAsia="zh-CN"/>
                    </w:rPr>
                  </w:pPr>
                  <w:bookmarkStart w:id="66" w:name="OLE_LINK16"/>
                  <w:r w:rsidRPr="009304E0">
                    <w:rPr>
                      <w:rFonts w:eastAsia="宋体" w:hint="eastAsia"/>
                      <w:b/>
                      <w:lang w:eastAsia="zh-CN"/>
                    </w:rPr>
                    <w:lastRenderedPageBreak/>
                    <w:t>中国与金砖国家贸易增速继续显著下降，占中国对外贸易比重小幅下降。其中，出口同比增速显著下降，进口同比增速继续大幅下滑</w:t>
                  </w:r>
                  <w:bookmarkEnd w:id="66"/>
                  <w:r w:rsidRPr="009304E0">
                    <w:rPr>
                      <w:rFonts w:eastAsia="宋体" w:hint="eastAsia"/>
                      <w:b/>
                      <w:lang w:eastAsia="zh-CN"/>
                    </w:rPr>
                    <w:t>。</w:t>
                  </w:r>
                  <w:bookmarkStart w:id="67" w:name="OLE_LINK11"/>
                  <w:r w:rsidRPr="009304E0">
                    <w:rPr>
                      <w:rFonts w:eastAsia="宋体"/>
                      <w:bCs/>
                      <w:lang w:eastAsia="zh-CN"/>
                    </w:rPr>
                    <w:t>2024</w:t>
                  </w:r>
                  <w:r w:rsidRPr="009304E0">
                    <w:rPr>
                      <w:rFonts w:eastAsia="宋体"/>
                      <w:bCs/>
                      <w:lang w:eastAsia="zh-CN"/>
                    </w:rPr>
                    <w:t>年</w:t>
                  </w:r>
                  <w:r w:rsidRPr="009304E0">
                    <w:rPr>
                      <w:rFonts w:eastAsia="宋体"/>
                      <w:bCs/>
                      <w:lang w:eastAsia="zh-CN"/>
                    </w:rPr>
                    <w:t>12</w:t>
                  </w:r>
                  <w:r w:rsidRPr="009304E0">
                    <w:rPr>
                      <w:rFonts w:eastAsia="宋体"/>
                      <w:bCs/>
                      <w:lang w:eastAsia="zh-CN"/>
                    </w:rPr>
                    <w:t>月</w:t>
                  </w:r>
                  <w:r w:rsidRPr="009304E0">
                    <w:rPr>
                      <w:rFonts w:eastAsia="宋体"/>
                      <w:bCs/>
                      <w:lang w:eastAsia="zh-CN"/>
                    </w:rPr>
                    <w:t>-2025</w:t>
                  </w:r>
                  <w:r w:rsidRPr="009304E0">
                    <w:rPr>
                      <w:rFonts w:eastAsia="宋体"/>
                      <w:bCs/>
                      <w:lang w:eastAsia="zh-CN"/>
                    </w:rPr>
                    <w:t>年</w:t>
                  </w:r>
                  <w:r w:rsidRPr="009304E0">
                    <w:rPr>
                      <w:rFonts w:eastAsia="宋体"/>
                      <w:bCs/>
                      <w:lang w:eastAsia="zh-CN"/>
                    </w:rPr>
                    <w:t>2</w:t>
                  </w:r>
                  <w:r w:rsidRPr="009304E0">
                    <w:rPr>
                      <w:rFonts w:eastAsia="宋体"/>
                      <w:bCs/>
                      <w:lang w:eastAsia="zh-CN"/>
                    </w:rPr>
                    <w:t>月，</w:t>
                  </w:r>
                  <w:bookmarkEnd w:id="67"/>
                  <w:r w:rsidRPr="009304E0">
                    <w:rPr>
                      <w:rFonts w:eastAsia="宋体"/>
                      <w:lang w:eastAsia="zh-CN"/>
                    </w:rPr>
                    <w:t>中国与金砖国家贸易总额同比增长分别为</w:t>
                  </w:r>
                  <w:r w:rsidRPr="009304E0">
                    <w:rPr>
                      <w:rFonts w:eastAsia="宋体" w:hint="eastAsia"/>
                      <w:lang w:eastAsia="zh-CN"/>
                    </w:rPr>
                    <w:t>-</w:t>
                  </w:r>
                  <w:r w:rsidRPr="009304E0">
                    <w:rPr>
                      <w:rFonts w:eastAsia="宋体"/>
                      <w:lang w:eastAsia="zh-CN"/>
                    </w:rPr>
                    <w:t>6.1%</w:t>
                  </w:r>
                  <w:r w:rsidRPr="009304E0">
                    <w:rPr>
                      <w:rFonts w:eastAsia="宋体"/>
                      <w:lang w:eastAsia="zh-CN"/>
                    </w:rPr>
                    <w:t>、</w:t>
                  </w:r>
                  <w:r w:rsidRPr="009304E0">
                    <w:rPr>
                      <w:rFonts w:eastAsia="宋体" w:hint="eastAsia"/>
                      <w:lang w:eastAsia="zh-CN"/>
                    </w:rPr>
                    <w:t>-</w:t>
                  </w:r>
                  <w:r w:rsidRPr="009304E0">
                    <w:rPr>
                      <w:rFonts w:eastAsia="宋体"/>
                      <w:lang w:eastAsia="zh-CN"/>
                    </w:rPr>
                    <w:t>12.2%</w:t>
                  </w:r>
                  <w:r w:rsidRPr="009304E0">
                    <w:rPr>
                      <w:rFonts w:eastAsia="宋体"/>
                      <w:lang w:eastAsia="zh-CN"/>
                    </w:rPr>
                    <w:t>和</w:t>
                  </w:r>
                  <w:r w:rsidRPr="009304E0">
                    <w:rPr>
                      <w:rFonts w:eastAsia="宋体"/>
                      <w:lang w:eastAsia="zh-CN"/>
                    </w:rPr>
                    <w:t>-13.3%</w:t>
                  </w:r>
                  <w:r w:rsidRPr="009304E0">
                    <w:rPr>
                      <w:rFonts w:eastAsia="宋体"/>
                      <w:lang w:eastAsia="zh-CN"/>
                    </w:rPr>
                    <w:t>，</w:t>
                  </w:r>
                  <w:r w:rsidRPr="009304E0">
                    <w:rPr>
                      <w:rFonts w:eastAsia="宋体" w:hint="eastAsia"/>
                      <w:lang w:eastAsia="zh-CN"/>
                    </w:rPr>
                    <w:t>总体显著负增长</w:t>
                  </w:r>
                  <w:r w:rsidRPr="009304E0">
                    <w:rPr>
                      <w:rFonts w:eastAsia="宋体"/>
                      <w:lang w:eastAsia="zh-CN"/>
                    </w:rPr>
                    <w:t>。中国与金砖国家贸易总额在中国总贸易中的比例分别为</w:t>
                  </w:r>
                  <w:r w:rsidRPr="009304E0">
                    <w:rPr>
                      <w:rFonts w:eastAsia="宋体"/>
                      <w:lang w:eastAsia="zh-CN"/>
                    </w:rPr>
                    <w:t>9</w:t>
                  </w:r>
                  <w:r w:rsidRPr="009304E0">
                    <w:rPr>
                      <w:rFonts w:eastAsia="宋体" w:hint="eastAsia"/>
                      <w:lang w:eastAsia="zh-CN"/>
                    </w:rPr>
                    <w:t>.</w:t>
                  </w:r>
                  <w:r w:rsidRPr="009304E0">
                    <w:rPr>
                      <w:rFonts w:eastAsia="宋体"/>
                      <w:lang w:eastAsia="zh-CN"/>
                    </w:rPr>
                    <w:t>1%</w:t>
                  </w:r>
                  <w:r w:rsidRPr="009304E0">
                    <w:rPr>
                      <w:rFonts w:eastAsia="宋体"/>
                      <w:lang w:eastAsia="zh-CN"/>
                    </w:rPr>
                    <w:t>、</w:t>
                  </w:r>
                  <w:r w:rsidRPr="009304E0">
                    <w:rPr>
                      <w:rFonts w:eastAsia="宋体"/>
                      <w:lang w:eastAsia="zh-CN"/>
                    </w:rPr>
                    <w:t>9.6%</w:t>
                  </w:r>
                  <w:r w:rsidRPr="009304E0">
                    <w:rPr>
                      <w:rFonts w:eastAsia="宋体"/>
                      <w:lang w:eastAsia="zh-CN"/>
                    </w:rPr>
                    <w:t>和</w:t>
                  </w:r>
                  <w:r w:rsidRPr="009304E0">
                    <w:rPr>
                      <w:rFonts w:eastAsia="宋体"/>
                      <w:lang w:eastAsia="zh-CN"/>
                    </w:rPr>
                    <w:t>10.0%</w:t>
                  </w:r>
                  <w:r w:rsidRPr="009304E0">
                    <w:rPr>
                      <w:rFonts w:eastAsia="宋体"/>
                      <w:lang w:eastAsia="zh-CN"/>
                    </w:rPr>
                    <w:t>，</w:t>
                  </w:r>
                  <w:r w:rsidRPr="009304E0">
                    <w:rPr>
                      <w:rFonts w:eastAsia="宋体" w:hint="eastAsia"/>
                      <w:lang w:eastAsia="zh-CN"/>
                    </w:rPr>
                    <w:t>平均比例低于</w:t>
                  </w:r>
                  <w:r w:rsidRPr="009304E0">
                    <w:rPr>
                      <w:rFonts w:eastAsia="宋体" w:hint="eastAsia"/>
                      <w:lang w:eastAsia="zh-CN"/>
                    </w:rPr>
                    <w:t>9.6%</w:t>
                  </w:r>
                  <w:r w:rsidRPr="009304E0">
                    <w:rPr>
                      <w:rFonts w:eastAsia="宋体" w:hint="eastAsia"/>
                      <w:lang w:eastAsia="zh-CN"/>
                    </w:rPr>
                    <w:t>，较此前三个月的平均</w:t>
                  </w:r>
                  <w:r w:rsidRPr="009304E0">
                    <w:rPr>
                      <w:rFonts w:eastAsia="宋体"/>
                      <w:lang w:eastAsia="zh-CN"/>
                    </w:rPr>
                    <w:t>9</w:t>
                  </w:r>
                  <w:r w:rsidRPr="009304E0">
                    <w:rPr>
                      <w:rFonts w:eastAsia="宋体" w:hint="eastAsia"/>
                      <w:lang w:eastAsia="zh-CN"/>
                    </w:rPr>
                    <w:t>.</w:t>
                  </w:r>
                  <w:r w:rsidRPr="009304E0">
                    <w:rPr>
                      <w:rFonts w:eastAsia="宋体"/>
                      <w:lang w:eastAsia="zh-CN"/>
                    </w:rPr>
                    <w:t>8</w:t>
                  </w:r>
                  <w:r w:rsidRPr="009304E0">
                    <w:rPr>
                      <w:rFonts w:eastAsia="宋体" w:hint="eastAsia"/>
                      <w:lang w:eastAsia="zh-CN"/>
                    </w:rPr>
                    <w:t>%</w:t>
                  </w:r>
                  <w:r w:rsidRPr="009304E0">
                    <w:rPr>
                      <w:rFonts w:eastAsia="宋体" w:hint="eastAsia"/>
                      <w:lang w:eastAsia="zh-CN"/>
                    </w:rPr>
                    <w:t>进一步小幅下降，但仍处于历史高位</w:t>
                  </w:r>
                  <w:r w:rsidRPr="009304E0">
                    <w:rPr>
                      <w:rFonts w:eastAsia="宋体"/>
                      <w:lang w:eastAsia="zh-CN"/>
                    </w:rPr>
                    <w:t>。出口方面，中国对金砖国家出口</w:t>
                  </w:r>
                  <w:r w:rsidRPr="009304E0">
                    <w:rPr>
                      <w:rFonts w:eastAsia="宋体" w:hint="eastAsia"/>
                      <w:lang w:eastAsia="zh-CN"/>
                    </w:rPr>
                    <w:t>总额</w:t>
                  </w:r>
                  <w:r w:rsidRPr="009304E0">
                    <w:rPr>
                      <w:rFonts w:eastAsia="宋体"/>
                      <w:lang w:eastAsia="zh-CN"/>
                    </w:rPr>
                    <w:t>增速</w:t>
                  </w:r>
                  <w:r w:rsidRPr="009304E0">
                    <w:rPr>
                      <w:rFonts w:eastAsia="宋体" w:hint="eastAsia"/>
                      <w:lang w:eastAsia="zh-CN"/>
                    </w:rPr>
                    <w:t>继续显著下降</w:t>
                  </w:r>
                  <w:r w:rsidRPr="009304E0">
                    <w:rPr>
                      <w:rFonts w:eastAsia="宋体"/>
                      <w:lang w:eastAsia="zh-CN"/>
                    </w:rPr>
                    <w:t>，对</w:t>
                  </w:r>
                  <w:r w:rsidRPr="009304E0">
                    <w:rPr>
                      <w:rFonts w:eastAsia="宋体" w:hint="eastAsia"/>
                      <w:lang w:eastAsia="zh-CN"/>
                    </w:rPr>
                    <w:t>金砖四国出口增速变动有所分化，其中对印度出口增速显著上升，对俄罗斯、巴西出口增速大幅下降，对南非出口增速小幅下滑</w:t>
                  </w:r>
                  <w:r w:rsidRPr="009304E0">
                    <w:rPr>
                      <w:rFonts w:eastAsia="宋体"/>
                      <w:lang w:eastAsia="zh-CN"/>
                    </w:rPr>
                    <w:t>。</w:t>
                  </w:r>
                  <w:bookmarkStart w:id="68" w:name="OLE_LINK14"/>
                  <w:bookmarkStart w:id="69" w:name="OLE_LINK15"/>
                  <w:r w:rsidRPr="009304E0">
                    <w:rPr>
                      <w:rFonts w:eastAsia="宋体"/>
                      <w:bCs/>
                      <w:kern w:val="0"/>
                      <w:lang w:eastAsia="zh-CN"/>
                    </w:rPr>
                    <w:t>2024</w:t>
                  </w:r>
                  <w:r w:rsidRPr="009304E0">
                    <w:rPr>
                      <w:rFonts w:eastAsia="宋体" w:hint="eastAsia"/>
                      <w:bCs/>
                      <w:kern w:val="0"/>
                      <w:lang w:eastAsia="zh-CN"/>
                    </w:rPr>
                    <w:t>年</w:t>
                  </w:r>
                  <w:r w:rsidRPr="009304E0">
                    <w:rPr>
                      <w:rFonts w:eastAsia="宋体"/>
                      <w:bCs/>
                      <w:kern w:val="0"/>
                      <w:lang w:eastAsia="zh-CN"/>
                    </w:rPr>
                    <w:t>12</w:t>
                  </w:r>
                  <w:r w:rsidRPr="009304E0">
                    <w:rPr>
                      <w:rFonts w:eastAsia="宋体" w:hint="eastAsia"/>
                      <w:bCs/>
                      <w:kern w:val="0"/>
                      <w:lang w:eastAsia="zh-CN"/>
                    </w:rPr>
                    <w:t>月</w:t>
                  </w:r>
                  <w:r w:rsidRPr="009304E0">
                    <w:rPr>
                      <w:rFonts w:eastAsia="宋体"/>
                      <w:bCs/>
                      <w:kern w:val="0"/>
                      <w:lang w:eastAsia="zh-CN"/>
                    </w:rPr>
                    <w:t>-2025</w:t>
                  </w:r>
                  <w:r w:rsidRPr="009304E0">
                    <w:rPr>
                      <w:rFonts w:eastAsia="宋体" w:hint="eastAsia"/>
                      <w:bCs/>
                      <w:kern w:val="0"/>
                      <w:lang w:eastAsia="zh-CN"/>
                    </w:rPr>
                    <w:t>年</w:t>
                  </w:r>
                  <w:r w:rsidRPr="009304E0">
                    <w:rPr>
                      <w:rFonts w:eastAsia="宋体"/>
                      <w:bCs/>
                      <w:kern w:val="0"/>
                      <w:lang w:eastAsia="zh-CN"/>
                    </w:rPr>
                    <w:t>2</w:t>
                  </w:r>
                  <w:r w:rsidRPr="009304E0">
                    <w:rPr>
                      <w:rFonts w:eastAsia="宋体" w:hint="eastAsia"/>
                      <w:bCs/>
                      <w:kern w:val="0"/>
                      <w:lang w:eastAsia="zh-CN"/>
                    </w:rPr>
                    <w:t>月，</w:t>
                  </w:r>
                  <w:bookmarkEnd w:id="68"/>
                  <w:bookmarkEnd w:id="69"/>
                  <w:r w:rsidRPr="009304E0">
                    <w:rPr>
                      <w:rFonts w:eastAsia="宋体"/>
                      <w:lang w:eastAsia="zh-CN"/>
                    </w:rPr>
                    <w:t>中国对印度出口同比增速</w:t>
                  </w:r>
                  <w:r w:rsidRPr="009304E0">
                    <w:rPr>
                      <w:rFonts w:eastAsia="宋体" w:hint="eastAsia"/>
                      <w:lang w:eastAsia="zh-CN"/>
                    </w:rPr>
                    <w:t>为</w:t>
                  </w:r>
                  <w:r w:rsidRPr="009304E0">
                    <w:rPr>
                      <w:rFonts w:eastAsia="宋体" w:hint="eastAsia"/>
                      <w:lang w:eastAsia="zh-CN"/>
                    </w:rPr>
                    <w:t>5%</w:t>
                  </w:r>
                  <w:r w:rsidRPr="009304E0">
                    <w:rPr>
                      <w:rFonts w:eastAsia="宋体"/>
                      <w:lang w:eastAsia="zh-CN"/>
                    </w:rPr>
                    <w:t>，</w:t>
                  </w:r>
                  <w:r w:rsidRPr="009304E0">
                    <w:rPr>
                      <w:rFonts w:eastAsia="宋体" w:hint="eastAsia"/>
                      <w:lang w:eastAsia="zh-CN"/>
                    </w:rPr>
                    <w:t>显著高于此前三个月的</w:t>
                  </w:r>
                  <w:r w:rsidRPr="009304E0">
                    <w:rPr>
                      <w:rFonts w:eastAsia="宋体" w:hint="eastAsia"/>
                      <w:lang w:eastAsia="zh-CN"/>
                    </w:rPr>
                    <w:t>-1.5%</w:t>
                  </w:r>
                  <w:r w:rsidRPr="009304E0">
                    <w:rPr>
                      <w:rFonts w:eastAsia="宋体" w:hint="eastAsia"/>
                      <w:lang w:eastAsia="zh-CN"/>
                    </w:rPr>
                    <w:t>，</w:t>
                  </w:r>
                  <w:bookmarkStart w:id="70" w:name="OLE_LINK12"/>
                  <w:bookmarkStart w:id="71" w:name="OLE_LINK13"/>
                  <w:r w:rsidRPr="009304E0">
                    <w:rPr>
                      <w:rFonts w:eastAsia="宋体"/>
                      <w:lang w:eastAsia="zh-CN"/>
                    </w:rPr>
                    <w:t>对巴西</w:t>
                  </w:r>
                  <w:r w:rsidRPr="009304E0">
                    <w:rPr>
                      <w:rFonts w:eastAsia="宋体" w:hint="eastAsia"/>
                      <w:lang w:eastAsia="zh-CN"/>
                    </w:rPr>
                    <w:t>、俄罗斯</w:t>
                  </w:r>
                  <w:r w:rsidRPr="009304E0">
                    <w:rPr>
                      <w:rFonts w:eastAsia="宋体"/>
                      <w:lang w:eastAsia="zh-CN"/>
                    </w:rPr>
                    <w:t>出口同比增速</w:t>
                  </w:r>
                  <w:bookmarkEnd w:id="70"/>
                  <w:bookmarkEnd w:id="71"/>
                  <w:r w:rsidRPr="009304E0">
                    <w:rPr>
                      <w:rFonts w:eastAsia="宋体" w:hint="eastAsia"/>
                      <w:lang w:eastAsia="zh-CN"/>
                    </w:rPr>
                    <w:t>分别为</w:t>
                  </w:r>
                  <w:r w:rsidRPr="009304E0">
                    <w:rPr>
                      <w:rFonts w:eastAsia="宋体" w:hint="eastAsia"/>
                      <w:lang w:eastAsia="zh-CN"/>
                    </w:rPr>
                    <w:t>-3.5%</w:t>
                  </w:r>
                  <w:r w:rsidRPr="009304E0">
                    <w:rPr>
                      <w:rFonts w:eastAsia="宋体" w:hint="eastAsia"/>
                      <w:lang w:eastAsia="zh-CN"/>
                    </w:rPr>
                    <w:t>、</w:t>
                  </w:r>
                  <w:r w:rsidRPr="009304E0">
                    <w:rPr>
                      <w:rFonts w:eastAsia="宋体" w:hint="eastAsia"/>
                      <w:lang w:eastAsia="zh-CN"/>
                    </w:rPr>
                    <w:t>-4.6%</w:t>
                  </w:r>
                  <w:r w:rsidRPr="009304E0">
                    <w:rPr>
                      <w:rFonts w:eastAsia="宋体" w:hint="eastAsia"/>
                      <w:lang w:eastAsia="zh-CN"/>
                    </w:rPr>
                    <w:t>，大幅低于此前三个月的</w:t>
                  </w:r>
                  <w:r w:rsidRPr="009304E0">
                    <w:rPr>
                      <w:rFonts w:eastAsia="宋体" w:hint="eastAsia"/>
                      <w:lang w:eastAsia="zh-CN"/>
                    </w:rPr>
                    <w:t>14</w:t>
                  </w:r>
                  <w:r w:rsidRPr="009304E0">
                    <w:rPr>
                      <w:rFonts w:eastAsia="宋体"/>
                      <w:lang w:eastAsia="zh-CN"/>
                    </w:rPr>
                    <w:t>.</w:t>
                  </w:r>
                  <w:r w:rsidRPr="009304E0">
                    <w:rPr>
                      <w:rFonts w:eastAsia="宋体" w:hint="eastAsia"/>
                      <w:lang w:eastAsia="zh-CN"/>
                    </w:rPr>
                    <w:t>0%</w:t>
                  </w:r>
                  <w:r w:rsidRPr="009304E0">
                    <w:rPr>
                      <w:rFonts w:eastAsia="宋体" w:hint="eastAsia"/>
                      <w:lang w:eastAsia="zh-CN"/>
                    </w:rPr>
                    <w:t>和</w:t>
                  </w:r>
                  <w:r w:rsidRPr="009304E0">
                    <w:rPr>
                      <w:rFonts w:eastAsia="宋体" w:hint="eastAsia"/>
                      <w:lang w:eastAsia="zh-CN"/>
                    </w:rPr>
                    <w:t>12.8%</w:t>
                  </w:r>
                  <w:r w:rsidRPr="009304E0">
                    <w:rPr>
                      <w:rFonts w:eastAsia="宋体" w:hint="eastAsia"/>
                      <w:lang w:eastAsia="zh-CN"/>
                    </w:rPr>
                    <w:t>，对南非出口同比增速为</w:t>
                  </w:r>
                  <w:r w:rsidRPr="009304E0">
                    <w:rPr>
                      <w:rFonts w:eastAsia="宋体" w:hint="eastAsia"/>
                      <w:lang w:eastAsia="zh-CN"/>
                    </w:rPr>
                    <w:t>-2.1%</w:t>
                  </w:r>
                  <w:r w:rsidRPr="009304E0">
                    <w:rPr>
                      <w:rFonts w:eastAsia="宋体" w:hint="eastAsia"/>
                      <w:lang w:eastAsia="zh-CN"/>
                    </w:rPr>
                    <w:t>，小幅低于此前三个月的</w:t>
                  </w:r>
                  <w:r w:rsidRPr="009304E0">
                    <w:rPr>
                      <w:rFonts w:eastAsia="宋体" w:hint="eastAsia"/>
                      <w:lang w:eastAsia="zh-CN"/>
                    </w:rPr>
                    <w:t>2</w:t>
                  </w:r>
                  <w:r w:rsidRPr="009304E0">
                    <w:rPr>
                      <w:rFonts w:eastAsia="宋体"/>
                      <w:lang w:eastAsia="zh-CN"/>
                    </w:rPr>
                    <w:t>.0%</w:t>
                  </w:r>
                  <w:r w:rsidRPr="009304E0">
                    <w:rPr>
                      <w:rFonts w:eastAsia="宋体"/>
                      <w:lang w:eastAsia="zh-CN"/>
                    </w:rPr>
                    <w:t>。进口方面，中国自金砖四国进口</w:t>
                  </w:r>
                  <w:r w:rsidRPr="009304E0">
                    <w:rPr>
                      <w:rFonts w:eastAsia="宋体" w:hint="eastAsia"/>
                      <w:lang w:eastAsia="zh-CN"/>
                    </w:rPr>
                    <w:t>总额</w:t>
                  </w:r>
                  <w:r w:rsidRPr="009304E0">
                    <w:rPr>
                      <w:rFonts w:eastAsia="宋体"/>
                      <w:lang w:eastAsia="zh-CN"/>
                    </w:rPr>
                    <w:t>同比增速</w:t>
                  </w:r>
                  <w:r w:rsidRPr="009304E0">
                    <w:rPr>
                      <w:rFonts w:eastAsia="宋体" w:hint="eastAsia"/>
                      <w:lang w:eastAsia="zh-CN"/>
                    </w:rPr>
                    <w:t>总体下滑，</w:t>
                  </w:r>
                  <w:r w:rsidR="00642F6A">
                    <w:rPr>
                      <w:rFonts w:eastAsia="宋体" w:hint="eastAsia"/>
                      <w:lang w:eastAsia="zh-CN"/>
                    </w:rPr>
                    <w:t>除</w:t>
                  </w:r>
                  <w:r w:rsidRPr="009304E0">
                    <w:rPr>
                      <w:rFonts w:eastAsia="宋体" w:hint="eastAsia"/>
                      <w:lang w:eastAsia="zh-CN"/>
                    </w:rPr>
                    <w:t>自巴西进口同比负增长小幅收窄外，自其他三国进口同比大幅负增长</w:t>
                  </w:r>
                  <w:r w:rsidRPr="009304E0">
                    <w:rPr>
                      <w:rFonts w:eastAsia="宋体"/>
                      <w:lang w:eastAsia="zh-CN"/>
                    </w:rPr>
                    <w:t>。</w:t>
                  </w:r>
                  <w:r w:rsidRPr="009304E0">
                    <w:rPr>
                      <w:rFonts w:eastAsia="宋体"/>
                      <w:bCs/>
                      <w:kern w:val="0"/>
                      <w:lang w:eastAsia="zh-CN"/>
                    </w:rPr>
                    <w:t>2024</w:t>
                  </w:r>
                  <w:r w:rsidRPr="009304E0">
                    <w:rPr>
                      <w:rFonts w:eastAsia="宋体" w:hint="eastAsia"/>
                      <w:bCs/>
                      <w:kern w:val="0"/>
                      <w:lang w:eastAsia="zh-CN"/>
                    </w:rPr>
                    <w:t>年</w:t>
                  </w:r>
                  <w:r w:rsidRPr="009304E0">
                    <w:rPr>
                      <w:rFonts w:eastAsia="宋体"/>
                      <w:bCs/>
                      <w:kern w:val="0"/>
                      <w:lang w:eastAsia="zh-CN"/>
                    </w:rPr>
                    <w:t>12</w:t>
                  </w:r>
                  <w:r w:rsidRPr="009304E0">
                    <w:rPr>
                      <w:rFonts w:eastAsia="宋体" w:hint="eastAsia"/>
                      <w:bCs/>
                      <w:kern w:val="0"/>
                      <w:lang w:eastAsia="zh-CN"/>
                    </w:rPr>
                    <w:t>月</w:t>
                  </w:r>
                  <w:r w:rsidRPr="009304E0">
                    <w:rPr>
                      <w:rFonts w:eastAsia="宋体"/>
                      <w:bCs/>
                      <w:kern w:val="0"/>
                      <w:lang w:eastAsia="zh-CN"/>
                    </w:rPr>
                    <w:t>-2025</w:t>
                  </w:r>
                  <w:r w:rsidRPr="009304E0">
                    <w:rPr>
                      <w:rFonts w:eastAsia="宋体" w:hint="eastAsia"/>
                      <w:bCs/>
                      <w:kern w:val="0"/>
                      <w:lang w:eastAsia="zh-CN"/>
                    </w:rPr>
                    <w:t>年</w:t>
                  </w:r>
                  <w:r w:rsidRPr="009304E0">
                    <w:rPr>
                      <w:rFonts w:eastAsia="宋体"/>
                      <w:bCs/>
                      <w:kern w:val="0"/>
                      <w:lang w:eastAsia="zh-CN"/>
                    </w:rPr>
                    <w:t>2</w:t>
                  </w:r>
                  <w:r w:rsidRPr="009304E0">
                    <w:rPr>
                      <w:rFonts w:eastAsia="宋体" w:hint="eastAsia"/>
                      <w:bCs/>
                      <w:kern w:val="0"/>
                      <w:lang w:eastAsia="zh-CN"/>
                    </w:rPr>
                    <w:t>月，</w:t>
                  </w:r>
                  <w:r w:rsidRPr="009304E0">
                    <w:rPr>
                      <w:rFonts w:eastAsia="宋体"/>
                      <w:lang w:eastAsia="zh-CN"/>
                    </w:rPr>
                    <w:t>中国自</w:t>
                  </w:r>
                  <w:r w:rsidRPr="009304E0">
                    <w:rPr>
                      <w:rFonts w:eastAsia="宋体" w:hint="eastAsia"/>
                      <w:lang w:eastAsia="zh-CN"/>
                    </w:rPr>
                    <w:t>印度、南非、俄罗斯</w:t>
                  </w:r>
                  <w:r w:rsidRPr="009304E0">
                    <w:rPr>
                      <w:rFonts w:eastAsia="宋体"/>
                      <w:lang w:eastAsia="zh-CN"/>
                    </w:rPr>
                    <w:t>进口同比增速</w:t>
                  </w:r>
                  <w:r w:rsidRPr="009304E0">
                    <w:rPr>
                      <w:rFonts w:eastAsia="宋体" w:hint="eastAsia"/>
                      <w:lang w:eastAsia="zh-CN"/>
                    </w:rPr>
                    <w:t>分别</w:t>
                  </w:r>
                  <w:r w:rsidRPr="009304E0">
                    <w:rPr>
                      <w:rFonts w:eastAsia="宋体"/>
                      <w:lang w:eastAsia="zh-CN"/>
                    </w:rPr>
                    <w:t>为</w:t>
                  </w:r>
                  <w:r w:rsidRPr="009304E0">
                    <w:rPr>
                      <w:rFonts w:eastAsia="宋体" w:hint="eastAsia"/>
                      <w:lang w:eastAsia="zh-CN"/>
                    </w:rPr>
                    <w:t>-22.7%</w:t>
                  </w:r>
                  <w:r w:rsidRPr="009304E0">
                    <w:rPr>
                      <w:rFonts w:eastAsia="宋体" w:hint="eastAsia"/>
                      <w:lang w:eastAsia="zh-CN"/>
                    </w:rPr>
                    <w:t>、</w:t>
                  </w:r>
                  <w:r w:rsidRPr="009304E0">
                    <w:rPr>
                      <w:rFonts w:eastAsia="宋体" w:hint="eastAsia"/>
                      <w:lang w:eastAsia="zh-CN"/>
                    </w:rPr>
                    <w:t>-34</w:t>
                  </w:r>
                  <w:r w:rsidRPr="009304E0">
                    <w:rPr>
                      <w:rFonts w:eastAsia="宋体"/>
                      <w:lang w:eastAsia="zh-CN"/>
                    </w:rPr>
                    <w:t>.8%</w:t>
                  </w:r>
                  <w:r w:rsidRPr="009304E0">
                    <w:rPr>
                      <w:rFonts w:eastAsia="宋体" w:hint="eastAsia"/>
                      <w:lang w:eastAsia="zh-CN"/>
                    </w:rPr>
                    <w:t>、</w:t>
                  </w:r>
                  <w:r w:rsidRPr="009304E0">
                    <w:rPr>
                      <w:rFonts w:eastAsia="宋体" w:hint="eastAsia"/>
                      <w:lang w:eastAsia="zh-CN"/>
                    </w:rPr>
                    <w:t>-33.1%</w:t>
                  </w:r>
                  <w:r w:rsidRPr="009304E0">
                    <w:rPr>
                      <w:rFonts w:eastAsia="宋体" w:hint="eastAsia"/>
                      <w:lang w:eastAsia="zh-CN"/>
                    </w:rPr>
                    <w:t>，较此前三个月的</w:t>
                  </w:r>
                  <w:r w:rsidRPr="009304E0">
                    <w:rPr>
                      <w:rFonts w:eastAsia="宋体" w:hint="eastAsia"/>
                      <w:lang w:eastAsia="zh-CN"/>
                    </w:rPr>
                    <w:t>-</w:t>
                  </w:r>
                  <w:r w:rsidRPr="009304E0">
                    <w:rPr>
                      <w:rFonts w:eastAsia="宋体"/>
                      <w:lang w:eastAsia="zh-CN"/>
                    </w:rPr>
                    <w:t>16.9%</w:t>
                  </w:r>
                  <w:r w:rsidRPr="009304E0">
                    <w:rPr>
                      <w:rFonts w:eastAsia="宋体" w:hint="eastAsia"/>
                      <w:lang w:eastAsia="zh-CN"/>
                    </w:rPr>
                    <w:t>、</w:t>
                  </w:r>
                  <w:r w:rsidRPr="009304E0">
                    <w:rPr>
                      <w:rFonts w:eastAsia="宋体" w:hint="eastAsia"/>
                      <w:lang w:eastAsia="zh-CN"/>
                    </w:rPr>
                    <w:t>-15.0%</w:t>
                  </w:r>
                  <w:r w:rsidRPr="009304E0">
                    <w:rPr>
                      <w:rFonts w:eastAsia="宋体" w:hint="eastAsia"/>
                      <w:lang w:eastAsia="zh-CN"/>
                    </w:rPr>
                    <w:t>、</w:t>
                  </w:r>
                  <w:r w:rsidRPr="009304E0">
                    <w:rPr>
                      <w:rFonts w:eastAsia="宋体" w:hint="eastAsia"/>
                      <w:lang w:eastAsia="zh-CN"/>
                    </w:rPr>
                    <w:t>-19.0%</w:t>
                  </w:r>
                  <w:r w:rsidRPr="009304E0">
                    <w:rPr>
                      <w:rFonts w:eastAsia="宋体" w:hint="eastAsia"/>
                      <w:lang w:eastAsia="zh-CN"/>
                    </w:rPr>
                    <w:t>均进一步大幅下滑。</w:t>
                  </w:r>
                  <w:r w:rsidRPr="009304E0">
                    <w:rPr>
                      <w:rFonts w:eastAsia="宋体"/>
                      <w:lang w:eastAsia="zh-CN"/>
                    </w:rPr>
                    <w:t>自巴西进口同比增速为</w:t>
                  </w:r>
                  <w:r w:rsidRPr="009304E0">
                    <w:rPr>
                      <w:rFonts w:eastAsia="宋体" w:hint="eastAsia"/>
                      <w:lang w:eastAsia="zh-CN"/>
                    </w:rPr>
                    <w:t>-3.</w:t>
                  </w:r>
                  <w:r w:rsidRPr="009304E0">
                    <w:rPr>
                      <w:rFonts w:eastAsia="宋体"/>
                      <w:lang w:eastAsia="zh-CN"/>
                    </w:rPr>
                    <w:t>2</w:t>
                  </w:r>
                  <w:r w:rsidRPr="009304E0">
                    <w:rPr>
                      <w:rFonts w:eastAsia="宋体" w:hint="eastAsia"/>
                      <w:lang w:eastAsia="zh-CN"/>
                    </w:rPr>
                    <w:t>%</w:t>
                  </w:r>
                  <w:r w:rsidRPr="009304E0">
                    <w:rPr>
                      <w:rFonts w:eastAsia="宋体" w:hint="eastAsia"/>
                      <w:lang w:eastAsia="zh-CN"/>
                    </w:rPr>
                    <w:t>，较此前三个月</w:t>
                  </w:r>
                  <w:r w:rsidRPr="009304E0">
                    <w:rPr>
                      <w:rFonts w:eastAsia="宋体" w:hint="eastAsia"/>
                      <w:lang w:eastAsia="zh-CN"/>
                    </w:rPr>
                    <w:t>-6.0</w:t>
                  </w:r>
                  <w:r w:rsidRPr="009304E0">
                    <w:rPr>
                      <w:rFonts w:eastAsia="宋体"/>
                      <w:lang w:eastAsia="zh-CN"/>
                    </w:rPr>
                    <w:t>%</w:t>
                  </w:r>
                  <w:r w:rsidRPr="009304E0">
                    <w:rPr>
                      <w:rFonts w:eastAsia="宋体" w:hint="eastAsia"/>
                      <w:lang w:eastAsia="zh-CN"/>
                    </w:rPr>
                    <w:t>的负增长小幅收窄。</w:t>
                  </w:r>
                </w:p>
              </w:tc>
            </w:tr>
            <w:tr w:rsidR="00CB5FC9" w:rsidRPr="009304E0" w14:paraId="0FAA411E" w14:textId="77777777" w:rsidTr="003A23F9">
              <w:trPr>
                <w:trHeight w:val="150"/>
                <w:jc w:val="center"/>
              </w:trPr>
              <w:tc>
                <w:tcPr>
                  <w:tcW w:w="2154" w:type="dxa"/>
                </w:tcPr>
                <w:p w14:paraId="48033DE2" w14:textId="77777777" w:rsidR="00CB5FC9" w:rsidRPr="009304E0" w:rsidRDefault="00CB5FC9" w:rsidP="00CB5FC9">
                  <w:pPr>
                    <w:ind w:firstLine="560"/>
                    <w:rPr>
                      <w:rFonts w:eastAsia="宋体"/>
                      <w:sz w:val="28"/>
                      <w:szCs w:val="28"/>
                      <w:lang w:eastAsia="zh-CN"/>
                    </w:rPr>
                  </w:pPr>
                </w:p>
              </w:tc>
              <w:tc>
                <w:tcPr>
                  <w:tcW w:w="300" w:type="dxa"/>
                </w:tcPr>
                <w:p w14:paraId="3F69D3AE" w14:textId="77777777" w:rsidR="00CB5FC9" w:rsidRPr="009304E0" w:rsidRDefault="00CB5FC9" w:rsidP="00CB5FC9">
                  <w:pPr>
                    <w:keepNext/>
                    <w:keepLines/>
                    <w:ind w:firstLine="480"/>
                    <w:rPr>
                      <w:rFonts w:eastAsia="楷体_GB2312"/>
                      <w:lang w:eastAsia="zh-CN"/>
                    </w:rPr>
                  </w:pPr>
                </w:p>
              </w:tc>
              <w:tc>
                <w:tcPr>
                  <w:tcW w:w="7185" w:type="dxa"/>
                </w:tcPr>
                <w:p w14:paraId="59EA861D" w14:textId="77777777" w:rsidR="00CB5FC9" w:rsidRPr="009304E0" w:rsidRDefault="00CB5FC9" w:rsidP="00CB5FC9">
                  <w:pPr>
                    <w:ind w:firstLine="480"/>
                    <w:rPr>
                      <w:rFonts w:eastAsia="宋体"/>
                      <w:lang w:eastAsia="zh-CN"/>
                    </w:rPr>
                  </w:pPr>
                  <w:r w:rsidRPr="009304E0">
                    <w:rPr>
                      <w:rFonts w:eastAsia="宋体" w:hint="eastAsia"/>
                      <w:lang w:eastAsia="zh-CN"/>
                    </w:rPr>
                    <w:t>二、专题：印度会从特朗普对等关税政策中受益吗？</w:t>
                  </w:r>
                </w:p>
                <w:p w14:paraId="1527E074" w14:textId="77777777" w:rsidR="00CB5FC9" w:rsidRPr="009304E0" w:rsidRDefault="00CB5FC9" w:rsidP="00CB5FC9">
                  <w:pPr>
                    <w:ind w:firstLine="480"/>
                    <w:rPr>
                      <w:rFonts w:eastAsia="宋体"/>
                      <w:lang w:eastAsia="zh-CN"/>
                    </w:rPr>
                  </w:pPr>
                  <w:r w:rsidRPr="009304E0">
                    <w:rPr>
                      <w:rFonts w:eastAsia="宋体" w:hint="eastAsia"/>
                      <w:lang w:eastAsia="zh-CN"/>
                    </w:rPr>
                    <w:t>4</w:t>
                  </w:r>
                  <w:r w:rsidRPr="009304E0">
                    <w:rPr>
                      <w:rFonts w:eastAsia="宋体" w:hint="eastAsia"/>
                      <w:lang w:eastAsia="zh-CN"/>
                    </w:rPr>
                    <w:t>月</w:t>
                  </w:r>
                  <w:r w:rsidRPr="009304E0">
                    <w:rPr>
                      <w:rFonts w:eastAsia="宋体" w:hint="eastAsia"/>
                      <w:lang w:eastAsia="zh-CN"/>
                    </w:rPr>
                    <w:t>2</w:t>
                  </w:r>
                  <w:r w:rsidRPr="009304E0">
                    <w:rPr>
                      <w:rFonts w:eastAsia="宋体" w:hint="eastAsia"/>
                      <w:lang w:eastAsia="zh-CN"/>
                    </w:rPr>
                    <w:t>日，特朗普宣布所谓对等关税政策，对所有贸易伙伴加征关税。其中，对印度加征</w:t>
                  </w:r>
                  <w:r w:rsidRPr="009304E0">
                    <w:rPr>
                      <w:rFonts w:eastAsia="宋体" w:hint="eastAsia"/>
                      <w:lang w:eastAsia="zh-CN"/>
                    </w:rPr>
                    <w:t>27%</w:t>
                  </w:r>
                  <w:r w:rsidRPr="009304E0">
                    <w:rPr>
                      <w:rFonts w:eastAsia="宋体" w:hint="eastAsia"/>
                      <w:lang w:eastAsia="zh-CN"/>
                    </w:rPr>
                    <w:t>的关税。从数字上看，这一税率低于中国、孟加拉国、东南亚等与之有制造业竞争关系的重要经济体。一个得到广泛关注的问题是，印度会在这次对等关税政策中受益吗？例如，总部位于德里的智库全球贸易研究倡议组织（</w:t>
                  </w:r>
                  <w:r w:rsidRPr="009304E0">
                    <w:rPr>
                      <w:rFonts w:eastAsia="宋体"/>
                      <w:lang w:eastAsia="zh-CN"/>
                    </w:rPr>
                    <w:t>GTRI</w:t>
                  </w:r>
                  <w:r w:rsidRPr="009304E0">
                    <w:rPr>
                      <w:rFonts w:eastAsia="宋体"/>
                      <w:lang w:eastAsia="zh-CN"/>
                    </w:rPr>
                    <w:t>）表示，印度在纺织、电子和机械领域</w:t>
                  </w:r>
                  <w:r w:rsidRPr="009304E0">
                    <w:rPr>
                      <w:rFonts w:eastAsia="宋体"/>
                      <w:lang w:eastAsia="zh-CN"/>
                    </w:rPr>
                    <w:t>“</w:t>
                  </w:r>
                  <w:r w:rsidRPr="009304E0">
                    <w:rPr>
                      <w:rFonts w:eastAsia="宋体" w:hint="eastAsia"/>
                      <w:lang w:eastAsia="zh-CN"/>
                    </w:rPr>
                    <w:t>迎来了</w:t>
                  </w:r>
                  <w:r w:rsidRPr="009304E0">
                    <w:rPr>
                      <w:rFonts w:eastAsia="宋体"/>
                      <w:lang w:eastAsia="zh-CN"/>
                    </w:rPr>
                    <w:t>机遇</w:t>
                  </w:r>
                  <w:r w:rsidRPr="009304E0">
                    <w:rPr>
                      <w:rFonts w:eastAsia="宋体"/>
                      <w:lang w:eastAsia="zh-CN"/>
                    </w:rPr>
                    <w:t>”</w:t>
                  </w:r>
                  <w:r w:rsidRPr="009304E0">
                    <w:rPr>
                      <w:rFonts w:eastAsia="宋体"/>
                      <w:lang w:eastAsia="zh-CN"/>
                    </w:rPr>
                    <w:t>。</w:t>
                  </w:r>
                </w:p>
                <w:p w14:paraId="35DA746B" w14:textId="77777777" w:rsidR="00CB5FC9" w:rsidRPr="009304E0" w:rsidRDefault="00CB5FC9" w:rsidP="00CB5FC9">
                  <w:pPr>
                    <w:ind w:firstLine="480"/>
                    <w:rPr>
                      <w:rFonts w:eastAsia="宋体"/>
                      <w:lang w:eastAsia="zh-CN"/>
                    </w:rPr>
                  </w:pPr>
                  <w:r w:rsidRPr="009304E0">
                    <w:rPr>
                      <w:rFonts w:eastAsia="宋体" w:hint="eastAsia"/>
                      <w:lang w:eastAsia="zh-CN"/>
                    </w:rPr>
                    <w:t>（一）印度制造业在</w:t>
                  </w:r>
                  <w:r w:rsidRPr="009304E0">
                    <w:rPr>
                      <w:rFonts w:eastAsia="宋体" w:hint="eastAsia"/>
                      <w:lang w:eastAsia="zh-CN"/>
                    </w:rPr>
                    <w:t>2</w:t>
                  </w:r>
                  <w:r w:rsidRPr="009304E0">
                    <w:rPr>
                      <w:rFonts w:eastAsia="宋体"/>
                      <w:lang w:eastAsia="zh-CN"/>
                    </w:rPr>
                    <w:t>018</w:t>
                  </w:r>
                  <w:r w:rsidRPr="009304E0">
                    <w:rPr>
                      <w:rFonts w:eastAsia="宋体" w:hint="eastAsia"/>
                      <w:lang w:eastAsia="zh-CN"/>
                    </w:rPr>
                    <w:t>年贸易战中的表现</w:t>
                  </w:r>
                </w:p>
                <w:p w14:paraId="18B10224" w14:textId="77777777" w:rsidR="00CB5FC9" w:rsidRPr="009304E0" w:rsidRDefault="00CB5FC9" w:rsidP="00CB5FC9">
                  <w:pPr>
                    <w:ind w:firstLine="480"/>
                    <w:rPr>
                      <w:rFonts w:eastAsia="宋体"/>
                      <w:lang w:eastAsia="zh-CN"/>
                    </w:rPr>
                  </w:pPr>
                  <w:r w:rsidRPr="009304E0">
                    <w:rPr>
                      <w:rFonts w:eastAsia="宋体" w:hint="eastAsia"/>
                      <w:lang w:eastAsia="zh-CN"/>
                    </w:rPr>
                    <w:t>第一，印度在</w:t>
                  </w:r>
                  <w:r w:rsidRPr="009304E0">
                    <w:rPr>
                      <w:rFonts w:eastAsia="宋体" w:hint="eastAsia"/>
                      <w:lang w:eastAsia="zh-CN"/>
                    </w:rPr>
                    <w:t>2</w:t>
                  </w:r>
                  <w:r w:rsidRPr="009304E0">
                    <w:rPr>
                      <w:rFonts w:eastAsia="宋体"/>
                      <w:lang w:eastAsia="zh-CN"/>
                    </w:rPr>
                    <w:t>018</w:t>
                  </w:r>
                  <w:r w:rsidRPr="009304E0">
                    <w:rPr>
                      <w:rFonts w:eastAsia="宋体" w:hint="eastAsia"/>
                      <w:lang w:eastAsia="zh-CN"/>
                    </w:rPr>
                    <w:t>年中美贸易战中的确获得了一定的贸易转移收益。</w:t>
                  </w:r>
                </w:p>
                <w:p w14:paraId="59ABEDAD" w14:textId="77777777" w:rsidR="00CB5FC9" w:rsidRPr="009304E0" w:rsidRDefault="00CB5FC9" w:rsidP="00CB5FC9">
                  <w:pPr>
                    <w:ind w:firstLine="480"/>
                    <w:rPr>
                      <w:rFonts w:eastAsia="宋体"/>
                      <w:lang w:eastAsia="zh-CN"/>
                    </w:rPr>
                  </w:pPr>
                  <w:r w:rsidRPr="009304E0">
                    <w:rPr>
                      <w:rFonts w:eastAsia="宋体" w:hint="eastAsia"/>
                      <w:lang w:eastAsia="zh-CN"/>
                    </w:rPr>
                    <w:lastRenderedPageBreak/>
                    <w:t>根据</w:t>
                  </w:r>
                  <w:r w:rsidRPr="009304E0">
                    <w:rPr>
                      <w:rFonts w:eastAsia="宋体"/>
                      <w:lang w:eastAsia="zh-CN"/>
                    </w:rPr>
                    <w:t>UNCTAD (2019)</w:t>
                  </w:r>
                  <w:r w:rsidRPr="009304E0">
                    <w:rPr>
                      <w:rFonts w:eastAsia="宋体" w:hint="eastAsia"/>
                      <w:lang w:eastAsia="zh-CN"/>
                    </w:rPr>
                    <w:t>的研究测算，印度因中美关税战获得约</w:t>
                  </w:r>
                  <w:r w:rsidRPr="009304E0">
                    <w:rPr>
                      <w:rFonts w:eastAsia="宋体"/>
                      <w:lang w:eastAsia="zh-CN"/>
                    </w:rPr>
                    <w:t xml:space="preserve"> 15</w:t>
                  </w:r>
                  <w:r w:rsidRPr="009304E0">
                    <w:rPr>
                      <w:rFonts w:eastAsia="宋体"/>
                      <w:lang w:eastAsia="zh-CN"/>
                    </w:rPr>
                    <w:t>亿美元</w:t>
                  </w:r>
                  <w:r w:rsidRPr="009304E0">
                    <w:rPr>
                      <w:rFonts w:eastAsia="宋体"/>
                      <w:lang w:eastAsia="zh-CN"/>
                    </w:rPr>
                    <w:t xml:space="preserve"> </w:t>
                  </w:r>
                  <w:r w:rsidRPr="009304E0">
                    <w:rPr>
                      <w:rFonts w:eastAsia="宋体"/>
                      <w:lang w:eastAsia="zh-CN"/>
                    </w:rPr>
                    <w:t>的额外出口收益，主要来自</w:t>
                  </w:r>
                  <w:r w:rsidRPr="009304E0">
                    <w:rPr>
                      <w:rFonts w:eastAsia="宋体"/>
                      <w:lang w:eastAsia="zh-CN"/>
                    </w:rPr>
                    <w:t xml:space="preserve"> </w:t>
                  </w:r>
                  <w:r w:rsidRPr="009304E0">
                    <w:rPr>
                      <w:rFonts w:eastAsia="宋体"/>
                      <w:lang w:eastAsia="zh-CN"/>
                    </w:rPr>
                    <w:t>电子产品、化学品、纺织品</w:t>
                  </w:r>
                  <w:r w:rsidRPr="009304E0">
                    <w:rPr>
                      <w:rFonts w:eastAsia="宋体" w:hint="eastAsia"/>
                      <w:lang w:eastAsia="zh-CN"/>
                    </w:rPr>
                    <w:t>。印度对美智能手机出口在</w:t>
                  </w:r>
                  <w:r w:rsidRPr="009304E0">
                    <w:rPr>
                      <w:rFonts w:eastAsia="宋体"/>
                      <w:lang w:eastAsia="zh-CN"/>
                    </w:rPr>
                    <w:t>2018-2019</w:t>
                  </w:r>
                  <w:r w:rsidRPr="009304E0">
                    <w:rPr>
                      <w:rFonts w:eastAsia="宋体"/>
                      <w:lang w:eastAsia="zh-CN"/>
                    </w:rPr>
                    <w:t>年增长约</w:t>
                  </w:r>
                  <w:r w:rsidRPr="009304E0">
                    <w:rPr>
                      <w:rFonts w:eastAsia="宋体"/>
                      <w:lang w:eastAsia="zh-CN"/>
                    </w:rPr>
                    <w:t>90%</w:t>
                  </w:r>
                  <w:r w:rsidRPr="009304E0">
                    <w:rPr>
                      <w:rFonts w:eastAsia="宋体"/>
                      <w:lang w:eastAsia="zh-CN"/>
                    </w:rPr>
                    <w:t>，中国同期对美出口下降（印度商务部数据）</w:t>
                  </w:r>
                  <w:r w:rsidRPr="009304E0">
                    <w:rPr>
                      <w:rFonts w:eastAsia="宋体" w:hint="eastAsia"/>
                      <w:lang w:eastAsia="zh-CN"/>
                    </w:rPr>
                    <w:t>，</w:t>
                  </w:r>
                  <w:r w:rsidRPr="009304E0">
                    <w:rPr>
                      <w:rFonts w:eastAsia="宋体"/>
                      <w:lang w:eastAsia="zh-CN"/>
                    </w:rPr>
                    <w:t>富士康等企业扩大在印产能以规避美国关税。</w:t>
                  </w:r>
                  <w:r w:rsidRPr="009304E0">
                    <w:rPr>
                      <w:rFonts w:eastAsia="宋体" w:hint="eastAsia"/>
                      <w:lang w:eastAsia="zh-CN"/>
                    </w:rPr>
                    <w:t>印度对美化学品出口增长</w:t>
                  </w:r>
                  <w:r w:rsidRPr="009304E0">
                    <w:rPr>
                      <w:rFonts w:eastAsia="宋体"/>
                      <w:lang w:eastAsia="zh-CN"/>
                    </w:rPr>
                    <w:t>17%</w:t>
                  </w:r>
                  <w:r w:rsidRPr="009304E0">
                    <w:rPr>
                      <w:rFonts w:eastAsia="宋体"/>
                      <w:lang w:eastAsia="zh-CN"/>
                    </w:rPr>
                    <w:t>，纺织品增长</w:t>
                  </w:r>
                  <w:r w:rsidRPr="009304E0">
                    <w:rPr>
                      <w:rFonts w:eastAsia="宋体"/>
                      <w:lang w:eastAsia="zh-CN"/>
                    </w:rPr>
                    <w:t>12%</w:t>
                  </w:r>
                  <w:r w:rsidRPr="009304E0">
                    <w:rPr>
                      <w:rFonts w:eastAsia="宋体"/>
                      <w:lang w:eastAsia="zh-CN"/>
                    </w:rPr>
                    <w:t>（联合国贸易数据库，</w:t>
                  </w:r>
                  <w:r w:rsidRPr="009304E0">
                    <w:rPr>
                      <w:rFonts w:eastAsia="宋体"/>
                      <w:lang w:eastAsia="zh-CN"/>
                    </w:rPr>
                    <w:t>2019</w:t>
                  </w:r>
                  <w:r w:rsidRPr="009304E0">
                    <w:rPr>
                      <w:rFonts w:eastAsia="宋体"/>
                      <w:lang w:eastAsia="zh-CN"/>
                    </w:rPr>
                    <w:t>）。</w:t>
                  </w:r>
                  <w:r w:rsidRPr="009304E0">
                    <w:rPr>
                      <w:rFonts w:eastAsia="宋体" w:hint="eastAsia"/>
                      <w:lang w:eastAsia="zh-CN"/>
                    </w:rPr>
                    <w:t>美国对华钢铝加征关税后，印度对美钢铁出口一度增长</w:t>
                  </w:r>
                  <w:r w:rsidRPr="009304E0">
                    <w:rPr>
                      <w:rFonts w:eastAsia="宋体"/>
                      <w:lang w:eastAsia="zh-CN"/>
                    </w:rPr>
                    <w:t>35%</w:t>
                  </w:r>
                  <w:r w:rsidRPr="009304E0">
                    <w:rPr>
                      <w:rFonts w:eastAsia="宋体"/>
                      <w:lang w:eastAsia="zh-CN"/>
                    </w:rPr>
                    <w:t>（世界钢铁协会，</w:t>
                  </w:r>
                  <w:r w:rsidRPr="009304E0">
                    <w:rPr>
                      <w:rFonts w:eastAsia="宋体"/>
                      <w:lang w:eastAsia="zh-CN"/>
                    </w:rPr>
                    <w:t>2018</w:t>
                  </w:r>
                  <w:r w:rsidRPr="009304E0">
                    <w:rPr>
                      <w:rFonts w:eastAsia="宋体"/>
                      <w:lang w:eastAsia="zh-CN"/>
                    </w:rPr>
                    <w:t>）。</w:t>
                  </w:r>
                </w:p>
                <w:p w14:paraId="33C9F471" w14:textId="77777777" w:rsidR="00CB5FC9" w:rsidRPr="009304E0" w:rsidRDefault="00CB5FC9" w:rsidP="00CB5FC9">
                  <w:pPr>
                    <w:ind w:firstLine="480"/>
                    <w:rPr>
                      <w:rFonts w:eastAsia="宋体"/>
                      <w:lang w:eastAsia="zh-CN"/>
                    </w:rPr>
                  </w:pPr>
                  <w:r w:rsidRPr="009304E0">
                    <w:rPr>
                      <w:rFonts w:eastAsia="宋体" w:hint="eastAsia"/>
                      <w:lang w:eastAsia="zh-CN"/>
                    </w:rPr>
                    <w:t>第二，印度不同行业的受益程度存在显著差异</w:t>
                  </w:r>
                </w:p>
                <w:p w14:paraId="65B370C9" w14:textId="77777777" w:rsidR="00CB5FC9" w:rsidRPr="009304E0" w:rsidRDefault="00CB5FC9" w:rsidP="00CB5FC9">
                  <w:pPr>
                    <w:ind w:firstLine="480"/>
                    <w:rPr>
                      <w:rFonts w:eastAsia="宋体"/>
                      <w:lang w:eastAsia="zh-CN"/>
                    </w:rPr>
                  </w:pPr>
                  <w:r w:rsidRPr="009304E0">
                    <w:rPr>
                      <w:rFonts w:eastAsia="宋体" w:hint="eastAsia"/>
                      <w:lang w:eastAsia="zh-CN"/>
                    </w:rPr>
                    <w:t>总体来看，印度配套成熟的产业从贸易转移中收益更多，配套缺乏的行业受益更少。根据美国布鲁金斯学会的</w:t>
                  </w:r>
                  <w:r w:rsidRPr="009304E0">
                    <w:rPr>
                      <w:rFonts w:eastAsia="宋体"/>
                      <w:lang w:eastAsia="zh-CN"/>
                    </w:rPr>
                    <w:t>报告</w:t>
                  </w:r>
                  <w:r w:rsidRPr="009304E0">
                    <w:rPr>
                      <w:rFonts w:eastAsia="宋体" w:hint="eastAsia"/>
                      <w:lang w:eastAsia="zh-CN"/>
                    </w:rPr>
                    <w:t>，</w:t>
                  </w:r>
                  <w:r w:rsidRPr="009304E0">
                    <w:rPr>
                      <w:rFonts w:eastAsia="宋体"/>
                      <w:lang w:eastAsia="zh-CN"/>
                    </w:rPr>
                    <w:t>贸易战使印度在低附加值制造业（如纺织、电子组装）中获得</w:t>
                  </w:r>
                  <w:r w:rsidRPr="009304E0">
                    <w:rPr>
                      <w:rFonts w:eastAsia="宋体" w:hint="eastAsia"/>
                      <w:lang w:eastAsia="zh-CN"/>
                    </w:rPr>
                    <w:t>了更大的</w:t>
                  </w:r>
                  <w:r w:rsidRPr="009304E0">
                    <w:rPr>
                      <w:rFonts w:eastAsia="宋体"/>
                      <w:lang w:eastAsia="zh-CN"/>
                    </w:rPr>
                    <w:t>市场份额</w:t>
                  </w:r>
                  <w:r w:rsidRPr="009304E0">
                    <w:rPr>
                      <w:rFonts w:eastAsia="宋体" w:hint="eastAsia"/>
                      <w:lang w:eastAsia="zh-CN"/>
                    </w:rPr>
                    <w:t>。因美国减少对中国原料药（</w:t>
                  </w:r>
                  <w:r w:rsidRPr="009304E0">
                    <w:rPr>
                      <w:rFonts w:eastAsia="宋体"/>
                      <w:lang w:eastAsia="zh-CN"/>
                    </w:rPr>
                    <w:t>API</w:t>
                  </w:r>
                  <w:r w:rsidRPr="009304E0">
                    <w:rPr>
                      <w:rFonts w:eastAsia="宋体"/>
                      <w:lang w:eastAsia="zh-CN"/>
                    </w:rPr>
                    <w:t>）依赖，印度对美仿制药出口增长</w:t>
                  </w:r>
                  <w:r w:rsidRPr="009304E0">
                    <w:rPr>
                      <w:rFonts w:eastAsia="宋体"/>
                      <w:lang w:eastAsia="zh-CN"/>
                    </w:rPr>
                    <w:t xml:space="preserve"> 22%</w:t>
                  </w:r>
                  <w:r w:rsidRPr="009304E0">
                    <w:rPr>
                      <w:rFonts w:eastAsia="宋体"/>
                      <w:lang w:eastAsia="zh-CN"/>
                    </w:rPr>
                    <w:t>，成为最大受益行业之一。</w:t>
                  </w:r>
                  <w:r w:rsidRPr="009304E0">
                    <w:rPr>
                      <w:rFonts w:eastAsia="宋体" w:hint="eastAsia"/>
                      <w:lang w:eastAsia="zh-CN"/>
                    </w:rPr>
                    <w:t>但是，印度在电子产业链中受益相对较小。</w:t>
                  </w:r>
                </w:p>
                <w:p w14:paraId="2FFAB1C7" w14:textId="77777777" w:rsidR="00CB5FC9" w:rsidRPr="009304E0" w:rsidRDefault="00CB5FC9" w:rsidP="00CB5FC9">
                  <w:pPr>
                    <w:ind w:firstLine="480"/>
                    <w:rPr>
                      <w:rFonts w:eastAsia="宋体"/>
                      <w:lang w:eastAsia="zh-CN"/>
                    </w:rPr>
                  </w:pPr>
                  <w:r w:rsidRPr="009304E0">
                    <w:rPr>
                      <w:rFonts w:eastAsia="宋体" w:hint="eastAsia"/>
                      <w:lang w:eastAsia="zh-CN"/>
                    </w:rPr>
                    <w:t>第三，印度仍大量依赖从中国进口中间品</w:t>
                  </w:r>
                </w:p>
                <w:p w14:paraId="3F82E234" w14:textId="77777777" w:rsidR="00CB5FC9" w:rsidRPr="009304E0" w:rsidRDefault="00CB5FC9" w:rsidP="00CB5FC9">
                  <w:pPr>
                    <w:ind w:firstLine="480"/>
                    <w:rPr>
                      <w:rFonts w:eastAsia="宋体"/>
                      <w:lang w:eastAsia="zh-CN"/>
                    </w:rPr>
                  </w:pPr>
                  <w:r w:rsidRPr="009304E0">
                    <w:rPr>
                      <w:rFonts w:eastAsia="宋体" w:hint="eastAsia"/>
                      <w:lang w:eastAsia="zh-CN"/>
                    </w:rPr>
                    <w:t>亚洲开发银行的研究表明，印度制造业约</w:t>
                  </w:r>
                  <w:r w:rsidRPr="009304E0">
                    <w:rPr>
                      <w:rFonts w:eastAsia="宋体"/>
                      <w:lang w:eastAsia="zh-CN"/>
                    </w:rPr>
                    <w:t>30%</w:t>
                  </w:r>
                  <w:r w:rsidRPr="009304E0">
                    <w:rPr>
                      <w:rFonts w:eastAsia="宋体"/>
                      <w:lang w:eastAsia="zh-CN"/>
                    </w:rPr>
                    <w:t>的中间投入来自中国。</w:t>
                  </w:r>
                  <w:r w:rsidRPr="009304E0">
                    <w:rPr>
                      <w:rFonts w:eastAsia="宋体" w:hint="eastAsia"/>
                      <w:lang w:eastAsia="zh-CN"/>
                    </w:rPr>
                    <w:t>因此，印度制造业产值的增加也会间接拉动中国的出口。</w:t>
                  </w:r>
                </w:p>
                <w:p w14:paraId="1B2CC69A" w14:textId="77777777" w:rsidR="00CB5FC9" w:rsidRPr="009304E0" w:rsidRDefault="00CB5FC9" w:rsidP="00CB5FC9">
                  <w:pPr>
                    <w:ind w:firstLine="480"/>
                    <w:rPr>
                      <w:rFonts w:eastAsia="宋体"/>
                      <w:lang w:eastAsia="zh-CN"/>
                    </w:rPr>
                  </w:pPr>
                  <w:r w:rsidRPr="009304E0">
                    <w:rPr>
                      <w:rFonts w:eastAsia="宋体" w:hint="eastAsia"/>
                      <w:lang w:eastAsia="zh-CN"/>
                    </w:rPr>
                    <w:t>这些事实表明，在</w:t>
                  </w:r>
                  <w:r w:rsidRPr="009304E0">
                    <w:rPr>
                      <w:rFonts w:eastAsia="宋体" w:hint="eastAsia"/>
                      <w:lang w:eastAsia="zh-CN"/>
                    </w:rPr>
                    <w:t>2</w:t>
                  </w:r>
                  <w:r w:rsidRPr="009304E0">
                    <w:rPr>
                      <w:rFonts w:eastAsia="宋体"/>
                      <w:lang w:eastAsia="zh-CN"/>
                    </w:rPr>
                    <w:t>018</w:t>
                  </w:r>
                  <w:r w:rsidRPr="009304E0">
                    <w:rPr>
                      <w:rFonts w:eastAsia="宋体" w:hint="eastAsia"/>
                      <w:lang w:eastAsia="zh-CN"/>
                    </w:rPr>
                    <w:t>年中美贸易战中，印度对中国制造业产业链的确有一定的替代作用，但不仅替代作用有限，还依赖中国的中间品投入。</w:t>
                  </w:r>
                </w:p>
                <w:p w14:paraId="1FCBB007" w14:textId="77777777" w:rsidR="00CB5FC9" w:rsidRPr="009304E0" w:rsidRDefault="00CB5FC9" w:rsidP="00CB5FC9">
                  <w:pPr>
                    <w:ind w:firstLine="480"/>
                    <w:rPr>
                      <w:rFonts w:eastAsia="宋体"/>
                      <w:lang w:eastAsia="zh-CN"/>
                    </w:rPr>
                  </w:pPr>
                  <w:r w:rsidRPr="009304E0">
                    <w:rPr>
                      <w:rFonts w:eastAsia="宋体" w:hint="eastAsia"/>
                      <w:lang w:eastAsia="zh-CN"/>
                    </w:rPr>
                    <w:t>（二）本轮关税战印度有哪些有利因素</w:t>
                  </w:r>
                </w:p>
                <w:p w14:paraId="642CCB37" w14:textId="77777777" w:rsidR="00CB5FC9" w:rsidRPr="009304E0" w:rsidRDefault="00CB5FC9" w:rsidP="00CB5FC9">
                  <w:pPr>
                    <w:ind w:firstLine="480"/>
                    <w:rPr>
                      <w:rFonts w:eastAsia="宋体"/>
                      <w:lang w:eastAsia="zh-CN"/>
                    </w:rPr>
                  </w:pPr>
                  <w:r w:rsidRPr="009304E0">
                    <w:rPr>
                      <w:rFonts w:eastAsia="宋体" w:hint="eastAsia"/>
                      <w:lang w:eastAsia="zh-CN"/>
                    </w:rPr>
                    <w:t>相对于</w:t>
                  </w:r>
                  <w:r w:rsidRPr="009304E0">
                    <w:rPr>
                      <w:rFonts w:eastAsia="宋体" w:hint="eastAsia"/>
                      <w:lang w:eastAsia="zh-CN"/>
                    </w:rPr>
                    <w:t>2018</w:t>
                  </w:r>
                  <w:r w:rsidRPr="009304E0">
                    <w:rPr>
                      <w:rFonts w:eastAsia="宋体" w:hint="eastAsia"/>
                      <w:lang w:eastAsia="zh-CN"/>
                    </w:rPr>
                    <w:t>年中美贸易摩擦，本轮对等关税中印度有一些有利因素。</w:t>
                  </w:r>
                </w:p>
                <w:p w14:paraId="257CF28B" w14:textId="77777777" w:rsidR="00CB5FC9" w:rsidRPr="009304E0" w:rsidRDefault="00CB5FC9" w:rsidP="00CB5FC9">
                  <w:pPr>
                    <w:ind w:firstLine="480"/>
                    <w:rPr>
                      <w:rFonts w:eastAsia="宋体"/>
                      <w:lang w:eastAsia="zh-CN"/>
                    </w:rPr>
                  </w:pPr>
                  <w:r w:rsidRPr="009304E0">
                    <w:rPr>
                      <w:rFonts w:eastAsia="宋体" w:hint="eastAsia"/>
                      <w:lang w:eastAsia="zh-CN"/>
                    </w:rPr>
                    <w:t>一是本轮印度有更大的关税优势</w:t>
                  </w:r>
                </w:p>
                <w:p w14:paraId="4571981C" w14:textId="77777777" w:rsidR="00CB5FC9" w:rsidRPr="009304E0" w:rsidRDefault="00CB5FC9" w:rsidP="00CB5FC9">
                  <w:pPr>
                    <w:ind w:firstLine="480"/>
                    <w:rPr>
                      <w:rFonts w:eastAsia="宋体"/>
                      <w:lang w:eastAsia="zh-CN"/>
                    </w:rPr>
                  </w:pPr>
                  <w:r w:rsidRPr="009304E0">
                    <w:rPr>
                      <w:rFonts w:eastAsia="宋体" w:hint="eastAsia"/>
                      <w:lang w:eastAsia="zh-CN"/>
                    </w:rPr>
                    <w:t>如果保持目前的对等关税，印度的关税优势大于此前。印度制造业发展相对滞后，对美贸易逆差相对较少，同时对华贸易壁垒较高。相对于东南亚国家，美国对其短期打击可能相对较小。当然，本轮关税战还在不断的发展变化中，其未来发展还存在很大的不确定性。更重要的是，其结果取决于各国的博弈与政策选择。</w:t>
                  </w:r>
                </w:p>
                <w:p w14:paraId="31E54D4E" w14:textId="77777777" w:rsidR="00CB5FC9" w:rsidRPr="009304E0" w:rsidRDefault="00CB5FC9" w:rsidP="00CB5FC9">
                  <w:pPr>
                    <w:ind w:firstLine="480"/>
                    <w:rPr>
                      <w:rFonts w:eastAsia="宋体"/>
                      <w:lang w:eastAsia="zh-CN"/>
                    </w:rPr>
                  </w:pPr>
                  <w:r w:rsidRPr="009304E0">
                    <w:rPr>
                      <w:rFonts w:eastAsia="宋体" w:hint="eastAsia"/>
                      <w:lang w:eastAsia="zh-CN"/>
                    </w:rPr>
                    <w:lastRenderedPageBreak/>
                    <w:t>二是印度在产业链方面比疫情前有所进步</w:t>
                  </w:r>
                </w:p>
                <w:p w14:paraId="44D368BA" w14:textId="77777777" w:rsidR="00CB5FC9" w:rsidRPr="009304E0" w:rsidRDefault="00CB5FC9" w:rsidP="00CB5FC9">
                  <w:pPr>
                    <w:ind w:firstLine="480"/>
                    <w:rPr>
                      <w:rFonts w:eastAsia="宋体"/>
                      <w:lang w:eastAsia="zh-CN"/>
                    </w:rPr>
                  </w:pPr>
                  <w:r w:rsidRPr="009304E0">
                    <w:rPr>
                      <w:rFonts w:eastAsia="宋体" w:hint="eastAsia"/>
                      <w:lang w:eastAsia="zh-CN"/>
                    </w:rPr>
                    <w:t>疫情以来，美欧等国推动所谓去风险政策，全球产业链加速重塑。在此过程中，部分产业链向印度转移，印度在电子等产业链方面取得了一些进步。例如，疫情以来，印度手机制造能力显著提升。印度已成为全球第二大手机生产国，</w:t>
                  </w:r>
                  <w:r w:rsidRPr="009304E0">
                    <w:rPr>
                      <w:rFonts w:eastAsia="宋体"/>
                      <w:lang w:eastAsia="zh-CN"/>
                    </w:rPr>
                    <w:t>2023</w:t>
                  </w:r>
                  <w:r w:rsidRPr="009304E0">
                    <w:rPr>
                      <w:rFonts w:eastAsia="宋体"/>
                      <w:lang w:eastAsia="zh-CN"/>
                    </w:rPr>
                    <w:t>年产量达</w:t>
                  </w:r>
                  <w:r w:rsidRPr="009304E0">
                    <w:rPr>
                      <w:rFonts w:eastAsia="宋体"/>
                      <w:lang w:eastAsia="zh-CN"/>
                    </w:rPr>
                    <w:t xml:space="preserve"> 3.8</w:t>
                  </w:r>
                  <w:r w:rsidRPr="009304E0">
                    <w:rPr>
                      <w:rFonts w:eastAsia="宋体"/>
                      <w:lang w:eastAsia="zh-CN"/>
                    </w:rPr>
                    <w:t>亿部（印度蜂窝通信协会数据），较</w:t>
                  </w:r>
                  <w:r w:rsidRPr="009304E0">
                    <w:rPr>
                      <w:rFonts w:eastAsia="宋体"/>
                      <w:lang w:eastAsia="zh-CN"/>
                    </w:rPr>
                    <w:t>2020</w:t>
                  </w:r>
                  <w:r w:rsidRPr="009304E0">
                    <w:rPr>
                      <w:rFonts w:eastAsia="宋体"/>
                      <w:lang w:eastAsia="zh-CN"/>
                    </w:rPr>
                    <w:t>年增长</w:t>
                  </w:r>
                  <w:r w:rsidRPr="009304E0">
                    <w:rPr>
                      <w:rFonts w:eastAsia="宋体"/>
                      <w:lang w:eastAsia="zh-CN"/>
                    </w:rPr>
                    <w:t xml:space="preserve"> 35%</w:t>
                  </w:r>
                  <w:r w:rsidRPr="009304E0">
                    <w:rPr>
                      <w:rFonts w:eastAsia="宋体"/>
                      <w:lang w:eastAsia="zh-CN"/>
                    </w:rPr>
                    <w:t>。</w:t>
                  </w:r>
                  <w:r w:rsidRPr="009304E0">
                    <w:rPr>
                      <w:rFonts w:eastAsia="宋体"/>
                      <w:lang w:eastAsia="zh-CN"/>
                    </w:rPr>
                    <w:t>2023</w:t>
                  </w:r>
                  <w:r w:rsidRPr="009304E0">
                    <w:rPr>
                      <w:rFonts w:eastAsia="宋体"/>
                      <w:lang w:eastAsia="zh-CN"/>
                    </w:rPr>
                    <w:t>年印度生产了</w:t>
                  </w:r>
                  <w:r w:rsidRPr="009304E0">
                    <w:rPr>
                      <w:rFonts w:eastAsia="宋体"/>
                      <w:lang w:eastAsia="zh-CN"/>
                    </w:rPr>
                    <w:t xml:space="preserve"> 7% </w:t>
                  </w:r>
                  <w:r w:rsidRPr="009304E0">
                    <w:rPr>
                      <w:rFonts w:eastAsia="宋体"/>
                      <w:lang w:eastAsia="zh-CN"/>
                    </w:rPr>
                    <w:t>的</w:t>
                  </w:r>
                  <w:r w:rsidRPr="009304E0">
                    <w:rPr>
                      <w:rFonts w:eastAsia="宋体"/>
                      <w:lang w:eastAsia="zh-CN"/>
                    </w:rPr>
                    <w:t>iPhone</w:t>
                  </w:r>
                  <w:r w:rsidRPr="009304E0">
                    <w:rPr>
                      <w:rFonts w:eastAsia="宋体"/>
                      <w:lang w:eastAsia="zh-CN"/>
                    </w:rPr>
                    <w:t>（约</w:t>
                  </w:r>
                  <w:r w:rsidRPr="009304E0">
                    <w:rPr>
                      <w:rFonts w:eastAsia="宋体"/>
                      <w:lang w:eastAsia="zh-CN"/>
                    </w:rPr>
                    <w:t xml:space="preserve"> 900</w:t>
                  </w:r>
                  <w:r w:rsidRPr="009304E0">
                    <w:rPr>
                      <w:rFonts w:eastAsia="宋体"/>
                      <w:lang w:eastAsia="zh-CN"/>
                    </w:rPr>
                    <w:t>万部），计划到</w:t>
                  </w:r>
                  <w:r w:rsidRPr="009304E0">
                    <w:rPr>
                      <w:rFonts w:eastAsia="宋体"/>
                      <w:lang w:eastAsia="zh-CN"/>
                    </w:rPr>
                    <w:t>2025</w:t>
                  </w:r>
                  <w:r w:rsidRPr="009304E0">
                    <w:rPr>
                      <w:rFonts w:eastAsia="宋体"/>
                      <w:lang w:eastAsia="zh-CN"/>
                    </w:rPr>
                    <w:t>年提升至</w:t>
                  </w:r>
                  <w:r w:rsidRPr="009304E0">
                    <w:rPr>
                      <w:rFonts w:eastAsia="宋体"/>
                      <w:lang w:eastAsia="zh-CN"/>
                    </w:rPr>
                    <w:t xml:space="preserve"> 25%</w:t>
                  </w:r>
                  <w:r w:rsidRPr="009304E0">
                    <w:rPr>
                      <w:rFonts w:eastAsia="宋体"/>
                      <w:lang w:eastAsia="zh-CN"/>
                    </w:rPr>
                    <w:t>（摩根大通报告）。</w:t>
                  </w:r>
                  <w:r w:rsidRPr="009304E0">
                    <w:rPr>
                      <w:rFonts w:eastAsia="宋体" w:hint="eastAsia"/>
                      <w:lang w:eastAsia="zh-CN"/>
                    </w:rPr>
                    <w:t>又如印度半导体产业开始起步。</w:t>
                  </w:r>
                  <w:r w:rsidRPr="009304E0">
                    <w:rPr>
                      <w:rFonts w:eastAsia="宋体"/>
                      <w:lang w:eastAsia="zh-CN"/>
                    </w:rPr>
                    <w:t>2022</w:t>
                  </w:r>
                  <w:r w:rsidRPr="009304E0">
                    <w:rPr>
                      <w:rFonts w:eastAsia="宋体"/>
                      <w:lang w:eastAsia="zh-CN"/>
                    </w:rPr>
                    <w:t>年</w:t>
                  </w:r>
                  <w:r w:rsidRPr="009304E0">
                    <w:rPr>
                      <w:rFonts w:eastAsia="宋体" w:hint="eastAsia"/>
                      <w:lang w:eastAsia="zh-CN"/>
                    </w:rPr>
                    <w:t>印度</w:t>
                  </w:r>
                  <w:r w:rsidRPr="009304E0">
                    <w:rPr>
                      <w:rFonts w:eastAsia="宋体"/>
                      <w:lang w:eastAsia="zh-CN"/>
                    </w:rPr>
                    <w:t>推出</w:t>
                  </w:r>
                  <w:r w:rsidRPr="009304E0">
                    <w:rPr>
                      <w:rFonts w:eastAsia="宋体"/>
                      <w:lang w:eastAsia="zh-CN"/>
                    </w:rPr>
                    <w:t xml:space="preserve"> 100</w:t>
                  </w:r>
                  <w:r w:rsidRPr="009304E0">
                    <w:rPr>
                      <w:rFonts w:eastAsia="宋体"/>
                      <w:lang w:eastAsia="zh-CN"/>
                    </w:rPr>
                    <w:t>亿美元半导体激励计划，吸引美光投资</w:t>
                  </w:r>
                  <w:r w:rsidRPr="009304E0">
                    <w:rPr>
                      <w:rFonts w:eastAsia="宋体"/>
                      <w:lang w:eastAsia="zh-CN"/>
                    </w:rPr>
                    <w:t xml:space="preserve"> 27.5</w:t>
                  </w:r>
                  <w:r w:rsidRPr="009304E0">
                    <w:rPr>
                      <w:rFonts w:eastAsia="宋体"/>
                      <w:lang w:eastAsia="zh-CN"/>
                    </w:rPr>
                    <w:t>亿美元</w:t>
                  </w:r>
                  <w:r w:rsidRPr="009304E0">
                    <w:rPr>
                      <w:rFonts w:eastAsia="宋体"/>
                      <w:lang w:eastAsia="zh-CN"/>
                    </w:rPr>
                    <w:t xml:space="preserve"> </w:t>
                  </w:r>
                  <w:r w:rsidRPr="009304E0">
                    <w:rPr>
                      <w:rFonts w:eastAsia="宋体"/>
                      <w:lang w:eastAsia="zh-CN"/>
                    </w:rPr>
                    <w:t>在古吉拉特邦建封测厂</w:t>
                  </w:r>
                  <w:r w:rsidRPr="009304E0">
                    <w:rPr>
                      <w:rFonts w:eastAsia="宋体" w:hint="eastAsia"/>
                      <w:lang w:eastAsia="zh-CN"/>
                    </w:rPr>
                    <w:t>，并于</w:t>
                  </w:r>
                  <w:r w:rsidRPr="009304E0">
                    <w:rPr>
                      <w:rFonts w:eastAsia="宋体"/>
                      <w:lang w:eastAsia="zh-CN"/>
                    </w:rPr>
                    <w:t>2024</w:t>
                  </w:r>
                  <w:r w:rsidRPr="009304E0">
                    <w:rPr>
                      <w:rFonts w:eastAsia="宋体"/>
                      <w:lang w:eastAsia="zh-CN"/>
                    </w:rPr>
                    <w:t>年投产。</w:t>
                  </w:r>
                  <w:r w:rsidRPr="009304E0">
                    <w:rPr>
                      <w:rFonts w:eastAsia="宋体" w:hint="eastAsia"/>
                      <w:lang w:eastAsia="zh-CN"/>
                    </w:rPr>
                    <w:t>塔塔集团宣布投资</w:t>
                  </w:r>
                  <w:r w:rsidRPr="009304E0">
                    <w:rPr>
                      <w:rFonts w:eastAsia="宋体"/>
                      <w:lang w:eastAsia="zh-CN"/>
                    </w:rPr>
                    <w:t xml:space="preserve"> 90</w:t>
                  </w:r>
                  <w:r w:rsidRPr="009304E0">
                    <w:rPr>
                      <w:rFonts w:eastAsia="宋体"/>
                      <w:lang w:eastAsia="zh-CN"/>
                    </w:rPr>
                    <w:t>亿美元</w:t>
                  </w:r>
                  <w:r w:rsidRPr="009304E0">
                    <w:rPr>
                      <w:rFonts w:eastAsia="宋体"/>
                      <w:lang w:eastAsia="zh-CN"/>
                    </w:rPr>
                    <w:t xml:space="preserve"> </w:t>
                  </w:r>
                  <w:r w:rsidRPr="009304E0">
                    <w:rPr>
                      <w:rFonts w:eastAsia="宋体"/>
                      <w:lang w:eastAsia="zh-CN"/>
                    </w:rPr>
                    <w:t>建设印度首座晶圆厂（预计</w:t>
                  </w:r>
                  <w:r w:rsidRPr="009304E0">
                    <w:rPr>
                      <w:rFonts w:eastAsia="宋体"/>
                      <w:lang w:eastAsia="zh-CN"/>
                    </w:rPr>
                    <w:t>2026</w:t>
                  </w:r>
                  <w:r w:rsidRPr="009304E0">
                    <w:rPr>
                      <w:rFonts w:eastAsia="宋体"/>
                      <w:lang w:eastAsia="zh-CN"/>
                    </w:rPr>
                    <w:t>年投产）。</w:t>
                  </w:r>
                  <w:r w:rsidRPr="009304E0">
                    <w:rPr>
                      <w:rFonts w:eastAsia="宋体" w:hint="eastAsia"/>
                      <w:lang w:eastAsia="zh-CN"/>
                    </w:rPr>
                    <w:t>电动汽车与新能源方面，印度也取得了一定进步。塔塔汽车、马恒达等本土企业推动电动车年销量从</w:t>
                  </w:r>
                  <w:r w:rsidRPr="009304E0">
                    <w:rPr>
                      <w:rFonts w:eastAsia="宋体"/>
                      <w:lang w:eastAsia="zh-CN"/>
                    </w:rPr>
                    <w:t xml:space="preserve"> 5,000</w:t>
                  </w:r>
                  <w:r w:rsidRPr="009304E0">
                    <w:rPr>
                      <w:rFonts w:eastAsia="宋体"/>
                      <w:lang w:eastAsia="zh-CN"/>
                    </w:rPr>
                    <w:t>辆（</w:t>
                  </w:r>
                  <w:r w:rsidRPr="009304E0">
                    <w:rPr>
                      <w:rFonts w:eastAsia="宋体"/>
                      <w:lang w:eastAsia="zh-CN"/>
                    </w:rPr>
                    <w:t>2020</w:t>
                  </w:r>
                  <w:r w:rsidRPr="009304E0">
                    <w:rPr>
                      <w:rFonts w:eastAsia="宋体"/>
                      <w:lang w:eastAsia="zh-CN"/>
                    </w:rPr>
                    <w:t>）增至</w:t>
                  </w:r>
                  <w:r w:rsidRPr="009304E0">
                    <w:rPr>
                      <w:rFonts w:eastAsia="宋体"/>
                      <w:lang w:eastAsia="zh-CN"/>
                    </w:rPr>
                    <w:t xml:space="preserve"> 15</w:t>
                  </w:r>
                  <w:r w:rsidRPr="009304E0">
                    <w:rPr>
                      <w:rFonts w:eastAsia="宋体"/>
                      <w:lang w:eastAsia="zh-CN"/>
                    </w:rPr>
                    <w:t>万辆（</w:t>
                  </w:r>
                  <w:r w:rsidRPr="009304E0">
                    <w:rPr>
                      <w:rFonts w:eastAsia="宋体"/>
                      <w:lang w:eastAsia="zh-CN"/>
                    </w:rPr>
                    <w:t>2023</w:t>
                  </w:r>
                  <w:r w:rsidRPr="009304E0">
                    <w:rPr>
                      <w:rFonts w:eastAsia="宋体"/>
                      <w:lang w:eastAsia="zh-CN"/>
                    </w:rPr>
                    <w:t>），占国内汽车市场</w:t>
                  </w:r>
                  <w:r w:rsidRPr="009304E0">
                    <w:rPr>
                      <w:rFonts w:eastAsia="宋体"/>
                      <w:lang w:eastAsia="zh-CN"/>
                    </w:rPr>
                    <w:t xml:space="preserve"> 5%</w:t>
                  </w:r>
                  <w:r w:rsidRPr="009304E0">
                    <w:rPr>
                      <w:rFonts w:eastAsia="宋体"/>
                      <w:lang w:eastAsia="zh-CN"/>
                    </w:rPr>
                    <w:t>（印度汽车制造商协会）。</w:t>
                  </w:r>
                  <w:r w:rsidRPr="009304E0">
                    <w:rPr>
                      <w:rFonts w:eastAsia="宋体" w:hint="eastAsia"/>
                      <w:lang w:eastAsia="zh-CN"/>
                    </w:rPr>
                    <w:t>政府批准</w:t>
                  </w:r>
                  <w:r w:rsidRPr="009304E0">
                    <w:rPr>
                      <w:rFonts w:eastAsia="宋体"/>
                      <w:lang w:eastAsia="zh-CN"/>
                    </w:rPr>
                    <w:t>24</w:t>
                  </w:r>
                  <w:r w:rsidRPr="009304E0">
                    <w:rPr>
                      <w:rFonts w:eastAsia="宋体"/>
                      <w:lang w:eastAsia="zh-CN"/>
                    </w:rPr>
                    <w:t>亿美元补贴计划，吸引特斯拉、比亚迪等企业建厂谈判。</w:t>
                  </w:r>
                </w:p>
                <w:p w14:paraId="7D6574AB" w14:textId="77777777" w:rsidR="00CB5FC9" w:rsidRPr="009304E0" w:rsidRDefault="00CB5FC9" w:rsidP="00CB5FC9">
                  <w:pPr>
                    <w:ind w:firstLine="480"/>
                    <w:rPr>
                      <w:rFonts w:eastAsia="宋体"/>
                      <w:lang w:eastAsia="zh-CN"/>
                    </w:rPr>
                  </w:pPr>
                  <w:r w:rsidRPr="009304E0">
                    <w:rPr>
                      <w:rFonts w:eastAsia="宋体" w:hint="eastAsia"/>
                      <w:lang w:eastAsia="zh-CN"/>
                    </w:rPr>
                    <w:t>第三，印度政府将进一步努力克服其制造业发展的长期挑战</w:t>
                  </w:r>
                </w:p>
                <w:p w14:paraId="3839C0CD" w14:textId="5570CBDF" w:rsidR="00CB5FC9" w:rsidRPr="009304E0" w:rsidRDefault="00CB5FC9" w:rsidP="00CB5FC9">
                  <w:pPr>
                    <w:ind w:firstLine="480"/>
                    <w:rPr>
                      <w:rFonts w:eastAsia="宋体"/>
                      <w:lang w:eastAsia="zh-CN"/>
                    </w:rPr>
                  </w:pPr>
                  <w:r w:rsidRPr="009304E0">
                    <w:rPr>
                      <w:rFonts w:eastAsia="宋体" w:hint="eastAsia"/>
                      <w:lang w:eastAsia="zh-CN"/>
                    </w:rPr>
                    <w:t>印度拥有巨大的人口红利优势，但在制造业方面表现明显欠缺。主要原因在于，印度存在多方面抑制制造业发展的长期挑战。例如基础设施较差、劳动保护过于严格、劳动力流动不够通畅、产业链配套不完善、营商环境相对较差等结构性问题。实际上，印度一直致力于解决相关结构性问题，以促进制造业发展。例如</w:t>
                  </w:r>
                  <w:r w:rsidRPr="009304E0">
                    <w:rPr>
                      <w:rFonts w:eastAsia="宋体" w:hint="eastAsia"/>
                      <w:lang w:eastAsia="zh-CN"/>
                    </w:rPr>
                    <w:t>2</w:t>
                  </w:r>
                  <w:r w:rsidRPr="009304E0">
                    <w:rPr>
                      <w:rFonts w:eastAsia="宋体"/>
                      <w:lang w:eastAsia="zh-CN"/>
                    </w:rPr>
                    <w:t>020</w:t>
                  </w:r>
                  <w:r w:rsidRPr="009304E0">
                    <w:rPr>
                      <w:rFonts w:eastAsia="宋体" w:hint="eastAsia"/>
                      <w:lang w:eastAsia="zh-CN"/>
                    </w:rPr>
                    <w:t>年推出</w:t>
                  </w:r>
                  <w:r w:rsidR="00642F6A" w:rsidRPr="00642F6A">
                    <w:rPr>
                      <w:rFonts w:eastAsia="宋体" w:hint="eastAsia"/>
                      <w:lang w:eastAsia="zh-CN"/>
                    </w:rPr>
                    <w:t>“生产挂钩激励计划”</w:t>
                  </w:r>
                  <w:r w:rsidRPr="009304E0">
                    <w:rPr>
                      <w:rFonts w:eastAsia="宋体"/>
                      <w:lang w:eastAsia="zh-CN"/>
                    </w:rPr>
                    <w:t>（</w:t>
                  </w:r>
                  <w:r w:rsidRPr="009304E0">
                    <w:rPr>
                      <w:rFonts w:eastAsia="宋体"/>
                      <w:lang w:eastAsia="zh-CN"/>
                    </w:rPr>
                    <w:t>PLI</w:t>
                  </w:r>
                  <w:r w:rsidRPr="009304E0">
                    <w:rPr>
                      <w:rFonts w:eastAsia="宋体"/>
                      <w:lang w:eastAsia="zh-CN"/>
                    </w:rPr>
                    <w:t>）</w:t>
                  </w:r>
                  <w:r w:rsidRPr="009304E0">
                    <w:rPr>
                      <w:rFonts w:eastAsia="宋体" w:hint="eastAsia"/>
                      <w:lang w:eastAsia="zh-CN"/>
                    </w:rPr>
                    <w:t>。政府拨款</w:t>
                  </w:r>
                  <w:r w:rsidRPr="009304E0">
                    <w:rPr>
                      <w:rFonts w:eastAsia="宋体"/>
                      <w:lang w:eastAsia="zh-CN"/>
                    </w:rPr>
                    <w:t xml:space="preserve"> 260</w:t>
                  </w:r>
                  <w:r w:rsidRPr="009304E0">
                    <w:rPr>
                      <w:rFonts w:eastAsia="宋体"/>
                      <w:lang w:eastAsia="zh-CN"/>
                    </w:rPr>
                    <w:t>亿美元补贴电子、医药等行业，但截至</w:t>
                  </w:r>
                  <w:r w:rsidRPr="009304E0">
                    <w:rPr>
                      <w:rFonts w:eastAsia="宋体"/>
                      <w:lang w:eastAsia="zh-CN"/>
                    </w:rPr>
                    <w:t>2021</w:t>
                  </w:r>
                  <w:r w:rsidRPr="009304E0">
                    <w:rPr>
                      <w:rFonts w:eastAsia="宋体"/>
                      <w:lang w:eastAsia="zh-CN"/>
                    </w:rPr>
                    <w:t>年仅吸引</w:t>
                  </w:r>
                  <w:r w:rsidRPr="009304E0">
                    <w:rPr>
                      <w:rFonts w:eastAsia="宋体"/>
                      <w:lang w:eastAsia="zh-CN"/>
                    </w:rPr>
                    <w:t xml:space="preserve"> 10% </w:t>
                  </w:r>
                  <w:r w:rsidRPr="009304E0">
                    <w:rPr>
                      <w:rFonts w:eastAsia="宋体"/>
                      <w:lang w:eastAsia="zh-CN"/>
                    </w:rPr>
                    <w:t>的目标投资（</w:t>
                  </w:r>
                  <w:r w:rsidRPr="009304E0">
                    <w:rPr>
                      <w:rFonts w:eastAsia="宋体"/>
                      <w:lang w:eastAsia="zh-CN"/>
                    </w:rPr>
                    <w:t>McKinsey</w:t>
                  </w:r>
                  <w:r w:rsidRPr="009304E0">
                    <w:rPr>
                      <w:rFonts w:eastAsia="宋体" w:hint="eastAsia"/>
                      <w:lang w:eastAsia="zh-CN"/>
                    </w:rPr>
                    <w:t>，</w:t>
                  </w:r>
                  <w:r w:rsidRPr="009304E0">
                    <w:rPr>
                      <w:rFonts w:eastAsia="宋体"/>
                      <w:lang w:eastAsia="zh-CN"/>
                    </w:rPr>
                    <w:t>2021</w:t>
                  </w:r>
                  <w:r w:rsidRPr="009304E0">
                    <w:rPr>
                      <w:rFonts w:eastAsia="宋体"/>
                      <w:lang w:eastAsia="zh-CN"/>
                    </w:rPr>
                    <w:t>）。</w:t>
                  </w:r>
                </w:p>
                <w:p w14:paraId="1AA65BE8" w14:textId="634A031A" w:rsidR="00CB5FC9" w:rsidRPr="009304E0" w:rsidRDefault="00CB5FC9" w:rsidP="00CB5FC9">
                  <w:pPr>
                    <w:ind w:firstLine="480"/>
                    <w:rPr>
                      <w:rFonts w:eastAsia="宋体"/>
                      <w:lang w:eastAsia="zh-CN"/>
                    </w:rPr>
                  </w:pPr>
                  <w:r w:rsidRPr="009304E0">
                    <w:rPr>
                      <w:rFonts w:eastAsia="宋体" w:hint="eastAsia"/>
                      <w:lang w:eastAsia="zh-CN"/>
                    </w:rPr>
                    <w:t>如果因对等关税，印度出口订单增多，印度政府将有新的激励进一步解决相关的结构性问题。这些结构性问题之所以迟迟得不到有效解决，正是因为其背后存在较为深刻的根源，包括历史文化习俗的羁绊、利益关系的纠葛、体制与制度的痼疾等。可以合理推测，即使印度采取一定的政策加力推动这些问题的解决，其效果也</w:t>
                  </w:r>
                  <w:r w:rsidRPr="009304E0">
                    <w:rPr>
                      <w:rFonts w:eastAsia="宋体" w:hint="eastAsia"/>
                      <w:lang w:eastAsia="zh-CN"/>
                    </w:rPr>
                    <w:lastRenderedPageBreak/>
                    <w:t>是较为缓慢的。但是，随着制造业的发展，这些问题在印度也是在逐渐缓解的。如果印度具有关税方面的优势，将对解决结构性问题带来边际上的显著推动作用。</w:t>
                  </w:r>
                </w:p>
                <w:p w14:paraId="7B20882D" w14:textId="77777777" w:rsidR="00CB5FC9" w:rsidRPr="009304E0" w:rsidRDefault="00CB5FC9" w:rsidP="00CB5FC9">
                  <w:pPr>
                    <w:ind w:firstLine="480"/>
                    <w:rPr>
                      <w:rFonts w:eastAsia="宋体"/>
                      <w:lang w:eastAsia="zh-CN"/>
                    </w:rPr>
                  </w:pPr>
                  <w:r w:rsidRPr="009304E0">
                    <w:rPr>
                      <w:rFonts w:eastAsia="宋体" w:hint="eastAsia"/>
                      <w:lang w:eastAsia="zh-CN"/>
                    </w:rPr>
                    <w:t>综上所述，印度由于其低税率很可能从特朗普对等关税政策中边际获益，且收益可能显著超过</w:t>
                  </w:r>
                  <w:r w:rsidRPr="009304E0">
                    <w:rPr>
                      <w:rFonts w:eastAsia="宋体" w:hint="eastAsia"/>
                      <w:lang w:eastAsia="zh-CN"/>
                    </w:rPr>
                    <w:t>2</w:t>
                  </w:r>
                  <w:r w:rsidRPr="009304E0">
                    <w:rPr>
                      <w:rFonts w:eastAsia="宋体"/>
                      <w:lang w:eastAsia="zh-CN"/>
                    </w:rPr>
                    <w:t>018</w:t>
                  </w:r>
                  <w:r w:rsidRPr="009304E0">
                    <w:rPr>
                      <w:rFonts w:eastAsia="宋体" w:hint="eastAsia"/>
                      <w:lang w:eastAsia="zh-CN"/>
                    </w:rPr>
                    <w:t>年中美贸易战。为此，印度政府会在进一步贸易谈判方面表现积极，不惜接受美国更多的条件。同时，在国内制造业相关改革中更多发力。</w:t>
                  </w:r>
                </w:p>
                <w:p w14:paraId="2A152FB1" w14:textId="77777777" w:rsidR="00CB5FC9" w:rsidRPr="009304E0" w:rsidRDefault="00CB5FC9" w:rsidP="00CB5FC9">
                  <w:pPr>
                    <w:ind w:firstLine="480"/>
                    <w:rPr>
                      <w:rFonts w:eastAsia="宋体"/>
                      <w:lang w:eastAsia="zh-CN"/>
                    </w:rPr>
                  </w:pPr>
                  <w:r w:rsidRPr="009304E0">
                    <w:rPr>
                      <w:rFonts w:eastAsia="宋体" w:hint="eastAsia"/>
                      <w:lang w:eastAsia="zh-CN"/>
                    </w:rPr>
                    <w:t>但是，必须强调的是，这种获益受到多方面因素的限制。印度长期存在的制约制造业发展的结构性问题，短期只能边际改善，很难出现大幅扭转。相对于，东南亚国家，印度在制造业方面的准备显著不足。特别是，印度对纺织等劳动密集型行业重视度不足，更多支持与其比较优势不太相符的电子行业，不利于抓住产业转移的机会。总之，印度要发挥制造业优势，印度还需要做更多的事情。</w:t>
                  </w:r>
                </w:p>
                <w:p w14:paraId="09D37132" w14:textId="77777777" w:rsidR="00CB5FC9" w:rsidRPr="009304E0" w:rsidRDefault="00CB5FC9" w:rsidP="00CB5FC9">
                  <w:pPr>
                    <w:ind w:firstLine="480"/>
                    <w:rPr>
                      <w:rFonts w:eastAsia="宋体"/>
                      <w:lang w:eastAsia="zh-CN"/>
                    </w:rPr>
                  </w:pPr>
                </w:p>
              </w:tc>
            </w:tr>
          </w:tbl>
          <w:p w14:paraId="377D6282" w14:textId="486D0C06" w:rsidR="00CB5FC9" w:rsidRPr="009F0C37" w:rsidRDefault="00CB5FC9" w:rsidP="00CB5FC9">
            <w:pPr>
              <w:pStyle w:val="1"/>
            </w:pPr>
          </w:p>
        </w:tc>
      </w:tr>
    </w:tbl>
    <w:p w14:paraId="1198A9A9" w14:textId="77777777" w:rsidR="00CD310D" w:rsidRPr="009F0C37" w:rsidRDefault="00CD310D">
      <w:pPr>
        <w:ind w:firstLine="480"/>
        <w:rPr>
          <w:lang w:eastAsia="zh-CN"/>
        </w:rPr>
        <w:sectPr w:rsidR="00CD310D" w:rsidRPr="009F0C37" w:rsidSect="00894D49">
          <w:headerReference w:type="default" r:id="rId53"/>
          <w:pgSz w:w="11906" w:h="16838"/>
          <w:pgMar w:top="1440" w:right="1800" w:bottom="1440" w:left="1800" w:header="851" w:footer="992" w:gutter="0"/>
          <w:cols w:space="425"/>
          <w:docGrid w:type="lines" w:linePitch="326"/>
        </w:sectPr>
      </w:pPr>
    </w:p>
    <w:p w14:paraId="74DCEEDB" w14:textId="77777777" w:rsidR="009F0C37" w:rsidRPr="009F0C37" w:rsidRDefault="009F0C37" w:rsidP="009F0C37">
      <w:pPr>
        <w:widowControl w:val="0"/>
        <w:spacing w:line="240" w:lineRule="auto"/>
        <w:ind w:firstLineChars="0" w:firstLine="0"/>
        <w:rPr>
          <w:rFonts w:ascii="Times" w:eastAsia="宋体" w:hAnsi="Times"/>
          <w:sz w:val="21"/>
          <w:szCs w:val="22"/>
          <w:lang w:eastAsia="zh-CN" w:bidi="ar-SA"/>
        </w:rPr>
      </w:pPr>
      <w:bookmarkStart w:id="72" w:name="_Toc487804460"/>
      <w:bookmarkStart w:id="73" w:name="_Toc464667702"/>
      <w:bookmarkStart w:id="74" w:name="_Toc479962496"/>
      <w:bookmarkEnd w:id="72"/>
      <w:bookmarkEnd w:id="73"/>
      <w:bookmarkEnd w:id="74"/>
    </w:p>
    <w:tbl>
      <w:tblPr>
        <w:tblW w:w="9637" w:type="dxa"/>
        <w:jc w:val="center"/>
        <w:tblLayout w:type="fixed"/>
        <w:tblLook w:val="04A0" w:firstRow="1" w:lastRow="0" w:firstColumn="1" w:lastColumn="0" w:noHBand="0" w:noVBand="1"/>
      </w:tblPr>
      <w:tblGrid>
        <w:gridCol w:w="2154"/>
        <w:gridCol w:w="300"/>
        <w:gridCol w:w="7183"/>
      </w:tblGrid>
      <w:tr w:rsidR="00DB1D1F" w:rsidRPr="00DB1D1F" w14:paraId="51C61555" w14:textId="77777777" w:rsidTr="00D72849">
        <w:trPr>
          <w:jc w:val="center"/>
        </w:trPr>
        <w:tc>
          <w:tcPr>
            <w:tcW w:w="9637" w:type="dxa"/>
            <w:gridSpan w:val="3"/>
          </w:tcPr>
          <w:p w14:paraId="2FE3D098" w14:textId="77777777" w:rsidR="00DB1D1F" w:rsidRPr="00DB1D1F" w:rsidRDefault="00DB1D1F" w:rsidP="00DB1D1F">
            <w:pPr>
              <w:keepNext/>
              <w:spacing w:before="240" w:after="60"/>
              <w:ind w:firstLineChars="0" w:firstLine="0"/>
              <w:jc w:val="center"/>
              <w:outlineLvl w:val="0"/>
              <w:rPr>
                <w:rFonts w:ascii="Times" w:eastAsia="宋体" w:hAnsi="Times"/>
                <w:b/>
                <w:bCs/>
                <w:kern w:val="32"/>
                <w:sz w:val="32"/>
                <w:szCs w:val="32"/>
                <w:lang w:eastAsia="zh-CN"/>
              </w:rPr>
            </w:pPr>
            <w:r w:rsidRPr="00DB1D1F">
              <w:rPr>
                <w:rFonts w:ascii="Times" w:eastAsia="宋体" w:hAnsi="Times"/>
                <w:b/>
                <w:bCs/>
                <w:kern w:val="32"/>
                <w:sz w:val="30"/>
                <w:szCs w:val="32"/>
                <w:lang w:eastAsia="zh-CN"/>
              </w:rPr>
              <w:br w:type="page"/>
            </w:r>
            <w:bookmarkStart w:id="75" w:name="_Toc196364978"/>
            <w:r w:rsidRPr="00DB1D1F">
              <w:rPr>
                <w:rFonts w:ascii="Times" w:eastAsia="宋体" w:hAnsi="Times" w:hint="eastAsia"/>
                <w:b/>
                <w:bCs/>
                <w:kern w:val="32"/>
                <w:sz w:val="32"/>
                <w:szCs w:val="32"/>
                <w:lang w:eastAsia="zh-CN"/>
              </w:rPr>
              <w:t>全球金融市场：美元资产急剧动荡</w:t>
            </w:r>
            <w:bookmarkEnd w:id="75"/>
          </w:p>
        </w:tc>
      </w:tr>
      <w:tr w:rsidR="00DB1D1F" w:rsidRPr="00DB1D1F" w14:paraId="6015191B" w14:textId="77777777" w:rsidTr="00D72849">
        <w:trPr>
          <w:jc w:val="center"/>
        </w:trPr>
        <w:tc>
          <w:tcPr>
            <w:tcW w:w="9637" w:type="dxa"/>
            <w:gridSpan w:val="3"/>
          </w:tcPr>
          <w:p w14:paraId="372D4DF9" w14:textId="77777777" w:rsidR="00DB1D1F" w:rsidRPr="00DB1D1F" w:rsidRDefault="00DB1D1F" w:rsidP="00DB1D1F">
            <w:pPr>
              <w:ind w:firstLine="480"/>
              <w:rPr>
                <w:rFonts w:ascii="Times" w:eastAsia="宋体" w:hAnsi="Times"/>
                <w:bCs/>
                <w:lang w:eastAsia="zh-CN"/>
              </w:rPr>
            </w:pPr>
            <w:r w:rsidRPr="00DB1D1F">
              <w:rPr>
                <w:rFonts w:ascii="Times" w:eastAsia="宋体" w:hAnsi="Times"/>
                <w:lang w:eastAsia="zh-CN"/>
              </w:rPr>
              <w:t>202</w:t>
            </w:r>
            <w:r w:rsidRPr="00DB1D1F">
              <w:rPr>
                <w:rFonts w:ascii="Times" w:eastAsia="宋体" w:hAnsi="Times" w:hint="eastAsia"/>
                <w:lang w:eastAsia="zh-CN"/>
              </w:rPr>
              <w:t>5</w:t>
            </w:r>
            <w:r w:rsidRPr="00DB1D1F">
              <w:rPr>
                <w:rFonts w:ascii="Times" w:eastAsia="宋体" w:hAnsi="Times" w:hint="eastAsia"/>
                <w:lang w:eastAsia="zh-CN"/>
              </w:rPr>
              <w:t>年</w:t>
            </w:r>
            <w:r w:rsidRPr="00DB1D1F">
              <w:rPr>
                <w:rFonts w:ascii="Times" w:eastAsia="宋体" w:hAnsi="Times" w:hint="eastAsia"/>
                <w:lang w:eastAsia="zh-CN"/>
              </w:rPr>
              <w:t>1</w:t>
            </w:r>
            <w:r w:rsidRPr="00DB1D1F">
              <w:rPr>
                <w:rFonts w:ascii="Times" w:eastAsia="宋体" w:hAnsi="Times" w:hint="eastAsia"/>
                <w:lang w:eastAsia="zh-CN"/>
              </w:rPr>
              <w:t>季度，特朗普关税政策引发全球金融市场动荡，美股</w:t>
            </w:r>
            <w:r w:rsidRPr="00DB1D1F">
              <w:rPr>
                <w:rFonts w:ascii="Times" w:eastAsia="宋体" w:hAnsi="Times" w:hint="eastAsia"/>
                <w:lang w:eastAsia="zh-CN"/>
              </w:rPr>
              <w:t>VIX</w:t>
            </w:r>
            <w:r w:rsidRPr="00DB1D1F">
              <w:rPr>
                <w:rFonts w:ascii="Times" w:eastAsia="宋体" w:hAnsi="Times" w:hint="eastAsia"/>
                <w:lang w:eastAsia="zh-CN"/>
              </w:rPr>
              <w:t>指数升至</w:t>
            </w:r>
            <w:r w:rsidRPr="00DB1D1F">
              <w:rPr>
                <w:rFonts w:ascii="Times" w:eastAsia="宋体" w:hAnsi="Times" w:hint="eastAsia"/>
                <w:lang w:eastAsia="zh-CN"/>
              </w:rPr>
              <w:t>50%</w:t>
            </w:r>
            <w:r w:rsidRPr="00DB1D1F">
              <w:rPr>
                <w:rFonts w:ascii="Times" w:eastAsia="宋体" w:hAnsi="Times" w:hint="eastAsia"/>
                <w:lang w:eastAsia="zh-CN"/>
              </w:rPr>
              <w:t>以上。美元贬值，日元、欧元兑美元升值，人民币、印度卢比基本稳定。美股下跌，欧洲股市和新兴市场股市上涨。在特朗普关税政策冲击下，全球主要经济体股市波动明显加大。长期利率方面，美国十年期国债收益率在一季度下行，其他主要经济体长期利率上行。黄金价格和铜价大涨。但“对等关税”清单公布后，美债走势出现了迅速的逆转，十年期美债和高收益债收益率均出现明显上行。美元、美股、美债快速下跌，全球风险资产普遍下跌，美股、欧股一周内下跌</w:t>
            </w:r>
            <w:r w:rsidRPr="00DB1D1F">
              <w:rPr>
                <w:rFonts w:ascii="Times" w:eastAsia="宋体" w:hAnsi="Times" w:hint="eastAsia"/>
                <w:lang w:eastAsia="zh-CN"/>
              </w:rPr>
              <w:t>10%</w:t>
            </w:r>
            <w:r w:rsidRPr="00DB1D1F">
              <w:rPr>
                <w:rFonts w:ascii="Times" w:eastAsia="宋体" w:hAnsi="Times" w:hint="eastAsia"/>
                <w:lang w:eastAsia="zh-CN"/>
              </w:rPr>
              <w:t>，上证综指下跌</w:t>
            </w:r>
            <w:r w:rsidRPr="00DB1D1F">
              <w:rPr>
                <w:rFonts w:ascii="Times" w:eastAsia="宋体" w:hAnsi="Times" w:hint="eastAsia"/>
                <w:lang w:eastAsia="zh-CN"/>
              </w:rPr>
              <w:t>6%</w:t>
            </w:r>
            <w:r w:rsidRPr="00DB1D1F">
              <w:rPr>
                <w:rFonts w:ascii="Times" w:eastAsia="宋体" w:hAnsi="Times" w:hint="eastAsia"/>
                <w:lang w:eastAsia="zh-CN"/>
              </w:rPr>
              <w:t>，欧元、日元继续升值。黄金价格在平仓抛售压力下大幅下跌，但此轮资产价格急剧下跌还暂未导致美元流动性不足。</w:t>
            </w:r>
            <w:r w:rsidRPr="00DB1D1F">
              <w:rPr>
                <w:rFonts w:ascii="Times" w:eastAsia="宋体" w:hAnsi="Times" w:hint="eastAsia"/>
                <w:lang w:eastAsia="zh-CN"/>
              </w:rPr>
              <w:t>TED</w:t>
            </w:r>
            <w:r w:rsidRPr="00DB1D1F">
              <w:rPr>
                <w:rFonts w:ascii="Times" w:eastAsia="宋体" w:hAnsi="Times" w:hint="eastAsia"/>
                <w:lang w:eastAsia="zh-CN"/>
              </w:rPr>
              <w:t>利差有所抬升，但仍处在负值的较低区间。</w:t>
            </w:r>
            <w:r w:rsidRPr="00DB1D1F">
              <w:rPr>
                <w:rFonts w:ascii="Times" w:eastAsia="宋体" w:hAnsi="Times" w:hint="eastAsia"/>
                <w:bCs/>
                <w:lang w:eastAsia="zh-CN"/>
              </w:rPr>
              <w:t>特朗普执政风格不确定性过高，美国金融市场波动加大，美国国债不再是“</w:t>
            </w:r>
            <w:r w:rsidRPr="00DB1D1F">
              <w:rPr>
                <w:rFonts w:ascii="Times" w:eastAsia="宋体" w:hAnsi="Times" w:hint="eastAsia"/>
                <w:bCs/>
                <w:lang w:eastAsia="zh-CN"/>
              </w:rPr>
              <w:t>flight to safety</w:t>
            </w:r>
            <w:r w:rsidRPr="00DB1D1F">
              <w:rPr>
                <w:rFonts w:ascii="Times" w:eastAsia="宋体" w:hAnsi="Times" w:hint="eastAsia"/>
                <w:bCs/>
                <w:lang w:eastAsia="zh-CN"/>
              </w:rPr>
              <w:t>”的首选，美国反而成为全球金融市场的风险源头，美股也或在震荡中下跌。</w:t>
            </w:r>
          </w:p>
        </w:tc>
      </w:tr>
      <w:tr w:rsidR="00DB1D1F" w:rsidRPr="00DB1D1F" w14:paraId="333CA919" w14:textId="77777777" w:rsidTr="00D72849">
        <w:trPr>
          <w:trHeight w:val="3036"/>
          <w:jc w:val="center"/>
        </w:trPr>
        <w:tc>
          <w:tcPr>
            <w:tcW w:w="2154" w:type="dxa"/>
            <w:vAlign w:val="center"/>
          </w:tcPr>
          <w:p w14:paraId="2470FDDF" w14:textId="77777777" w:rsidR="00DB1D1F" w:rsidRPr="00DB1D1F" w:rsidRDefault="00DB1D1F" w:rsidP="00DB1D1F">
            <w:pPr>
              <w:ind w:firstLineChars="0" w:firstLine="0"/>
              <w:rPr>
                <w:rFonts w:ascii="Times" w:eastAsia="宋体" w:hAnsi="Times"/>
                <w:b/>
                <w:lang w:eastAsia="zh-CN" w:bidi="ar-SA"/>
              </w:rPr>
            </w:pPr>
            <w:r w:rsidRPr="00DB1D1F">
              <w:rPr>
                <w:rFonts w:ascii="Times" w:eastAsia="宋体" w:hAnsi="Times" w:hint="eastAsia"/>
                <w:b/>
                <w:lang w:eastAsia="zh-CN" w:bidi="ar-SA"/>
              </w:rPr>
              <w:t>美元资产面临“股债汇”三杀。</w:t>
            </w:r>
          </w:p>
        </w:tc>
        <w:tc>
          <w:tcPr>
            <w:tcW w:w="300" w:type="dxa"/>
          </w:tcPr>
          <w:p w14:paraId="1DC81E6B" w14:textId="77777777" w:rsidR="00DB1D1F" w:rsidRPr="00DB1D1F" w:rsidRDefault="00DB1D1F" w:rsidP="00DB1D1F">
            <w:pPr>
              <w:keepNext/>
              <w:keepLines/>
              <w:spacing w:before="260" w:after="260"/>
              <w:ind w:firstLine="480"/>
              <w:rPr>
                <w:rFonts w:ascii="Times" w:eastAsia="宋体" w:hAnsi="Times"/>
                <w:lang w:eastAsia="zh-CN"/>
              </w:rPr>
            </w:pPr>
          </w:p>
        </w:tc>
        <w:tc>
          <w:tcPr>
            <w:tcW w:w="7183" w:type="dxa"/>
          </w:tcPr>
          <w:p w14:paraId="2143B083" w14:textId="77777777" w:rsidR="00DB1D1F" w:rsidRPr="00DB1D1F" w:rsidRDefault="00DB1D1F" w:rsidP="00DB1D1F">
            <w:pPr>
              <w:spacing w:beforeLines="50" w:before="163"/>
              <w:ind w:firstLineChars="0" w:firstLine="0"/>
              <w:rPr>
                <w:rFonts w:ascii="Times" w:eastAsia="宋体" w:hAnsi="Times"/>
                <w:b/>
                <w:sz w:val="28"/>
                <w:szCs w:val="28"/>
                <w:lang w:eastAsia="zh-CN" w:bidi="ar-SA"/>
              </w:rPr>
            </w:pPr>
            <w:r w:rsidRPr="00DB1D1F">
              <w:rPr>
                <w:rFonts w:ascii="Times" w:eastAsia="宋体" w:hAnsi="Times" w:hint="eastAsia"/>
                <w:b/>
                <w:sz w:val="28"/>
                <w:szCs w:val="28"/>
                <w:lang w:eastAsia="zh-CN" w:bidi="ar-SA"/>
              </w:rPr>
              <w:t>一、全球金融市场总体情况</w:t>
            </w:r>
          </w:p>
          <w:p w14:paraId="3CD74990" w14:textId="77777777" w:rsidR="00DB1D1F" w:rsidRPr="00DB1D1F" w:rsidRDefault="00DB1D1F" w:rsidP="00DB1D1F">
            <w:pPr>
              <w:ind w:firstLine="482"/>
              <w:rPr>
                <w:rFonts w:ascii="Times" w:eastAsia="宋体" w:hAnsi="Times"/>
                <w:bCs/>
                <w:lang w:eastAsia="zh-CN"/>
              </w:rPr>
            </w:pPr>
            <w:r w:rsidRPr="00DB1D1F">
              <w:rPr>
                <w:rFonts w:ascii="Times" w:eastAsia="宋体" w:hAnsi="Times" w:hint="eastAsia"/>
                <w:b/>
                <w:lang w:eastAsia="zh-CN"/>
              </w:rPr>
              <w:t>1</w:t>
            </w:r>
            <w:r w:rsidRPr="00DB1D1F">
              <w:rPr>
                <w:rFonts w:ascii="Times" w:eastAsia="宋体" w:hAnsi="Times" w:hint="eastAsia"/>
                <w:b/>
                <w:lang w:eastAsia="zh-CN"/>
              </w:rPr>
              <w:t>季度，美元资产出现趋势性下跌。</w:t>
            </w:r>
            <w:r w:rsidRPr="00DB1D1F">
              <w:rPr>
                <w:rFonts w:ascii="Times" w:eastAsia="宋体" w:hAnsi="Times" w:hint="eastAsia"/>
                <w:bCs/>
                <w:lang w:eastAsia="zh-CN"/>
              </w:rPr>
              <w:t>1</w:t>
            </w:r>
            <w:r w:rsidRPr="00DB1D1F">
              <w:rPr>
                <w:rFonts w:ascii="Times" w:eastAsia="宋体" w:hAnsi="Times" w:hint="eastAsia"/>
                <w:bCs/>
                <w:lang w:eastAsia="zh-CN"/>
              </w:rPr>
              <w:t>季度，美联储按兵不动，特朗普政府挑起全球“关税战”，先对主要贸易伙伴加征关税，并释放出对全球加征“对等关税”的预期（</w:t>
            </w:r>
            <w:r w:rsidRPr="00DB1D1F">
              <w:rPr>
                <w:rFonts w:ascii="Times" w:eastAsia="宋体" w:hAnsi="Times" w:hint="eastAsia"/>
                <w:bCs/>
                <w:lang w:eastAsia="zh-CN"/>
              </w:rPr>
              <w:t>4</w:t>
            </w:r>
            <w:r w:rsidRPr="00DB1D1F">
              <w:rPr>
                <w:rFonts w:ascii="Times" w:eastAsia="宋体" w:hAnsi="Times" w:hint="eastAsia"/>
                <w:bCs/>
                <w:lang w:eastAsia="zh-CN"/>
              </w:rPr>
              <w:t>月</w:t>
            </w:r>
            <w:r w:rsidRPr="00DB1D1F">
              <w:rPr>
                <w:rFonts w:ascii="Times" w:eastAsia="宋体" w:hAnsi="Times" w:hint="eastAsia"/>
                <w:bCs/>
                <w:lang w:eastAsia="zh-CN"/>
              </w:rPr>
              <w:t>2</w:t>
            </w:r>
            <w:r w:rsidRPr="00DB1D1F">
              <w:rPr>
                <w:rFonts w:ascii="Times" w:eastAsia="宋体" w:hAnsi="Times" w:hint="eastAsia"/>
                <w:bCs/>
                <w:lang w:eastAsia="zh-CN"/>
              </w:rPr>
              <w:t>日公布了“对等关税”清单）。美元贬值，日元、欧元均兑美元升值，人民币在一季度基本稳定。长期利率方面，</w:t>
            </w:r>
            <w:r w:rsidRPr="00DB1D1F">
              <w:rPr>
                <w:rFonts w:ascii="Times" w:eastAsia="宋体" w:hAnsi="Times" w:hint="eastAsia"/>
                <w:bCs/>
                <w:lang w:eastAsia="zh-CN"/>
              </w:rPr>
              <w:t>1</w:t>
            </w:r>
            <w:r w:rsidRPr="00DB1D1F">
              <w:rPr>
                <w:rFonts w:ascii="Times" w:eastAsia="宋体" w:hAnsi="Times" w:hint="eastAsia"/>
                <w:bCs/>
                <w:lang w:eastAsia="zh-CN"/>
              </w:rPr>
              <w:t>季度市场交易美国衰退预期，美国十年期国债收益率在一季度大幅下行（价格上涨）。其他主要经济体长期利率整体上行。在通胀、增长预期都未发生明显抬升的情况下，长期利率上升可能反映了风险溢价的变化。美股下跌，欧洲股市和新兴市场上涨。</w:t>
            </w:r>
            <w:r w:rsidRPr="00DB1D1F">
              <w:rPr>
                <w:rFonts w:ascii="Times" w:eastAsia="宋体" w:hAnsi="Times"/>
                <w:bCs/>
                <w:lang w:eastAsia="zh-CN"/>
              </w:rPr>
              <w:t>MSCI</w:t>
            </w:r>
            <w:r w:rsidRPr="00DB1D1F">
              <w:rPr>
                <w:rFonts w:ascii="Times" w:eastAsia="宋体" w:hAnsi="Times" w:hint="eastAsia"/>
                <w:bCs/>
                <w:lang w:eastAsia="zh-CN"/>
              </w:rPr>
              <w:t>全球股指较</w:t>
            </w:r>
            <w:r w:rsidRPr="00DB1D1F">
              <w:rPr>
                <w:rFonts w:ascii="Times" w:eastAsia="宋体" w:hAnsi="Times"/>
                <w:bCs/>
                <w:lang w:eastAsia="zh-CN"/>
              </w:rPr>
              <w:t>2024</w:t>
            </w:r>
            <w:r w:rsidRPr="00DB1D1F">
              <w:rPr>
                <w:rFonts w:ascii="Times" w:eastAsia="宋体" w:hAnsi="Times" w:hint="eastAsia"/>
                <w:bCs/>
                <w:lang w:eastAsia="zh-CN"/>
              </w:rPr>
              <w:t>年</w:t>
            </w:r>
            <w:r w:rsidRPr="00DB1D1F">
              <w:rPr>
                <w:rFonts w:ascii="Times" w:eastAsia="宋体" w:hAnsi="Times" w:hint="eastAsia"/>
                <w:bCs/>
                <w:lang w:eastAsia="zh-CN"/>
              </w:rPr>
              <w:t>4</w:t>
            </w:r>
            <w:r w:rsidRPr="00DB1D1F">
              <w:rPr>
                <w:rFonts w:ascii="Times" w:eastAsia="宋体" w:hAnsi="Times" w:hint="eastAsia"/>
                <w:bCs/>
                <w:lang w:eastAsia="zh-CN"/>
              </w:rPr>
              <w:t>季度末下跌</w:t>
            </w:r>
            <w:r w:rsidRPr="00DB1D1F">
              <w:rPr>
                <w:rFonts w:ascii="Times" w:eastAsia="宋体" w:hAnsi="Times" w:hint="eastAsia"/>
                <w:bCs/>
                <w:lang w:eastAsia="zh-CN"/>
              </w:rPr>
              <w:t>2.51%</w:t>
            </w:r>
            <w:r w:rsidRPr="00DB1D1F">
              <w:rPr>
                <w:rFonts w:ascii="Times" w:eastAsia="宋体" w:hAnsi="Times" w:hint="eastAsia"/>
                <w:bCs/>
                <w:lang w:eastAsia="zh-CN"/>
              </w:rPr>
              <w:t>。其中，</w:t>
            </w:r>
            <w:r w:rsidRPr="00DB1D1F">
              <w:rPr>
                <w:rFonts w:ascii="Times" w:eastAsia="宋体" w:hAnsi="Times"/>
                <w:bCs/>
                <w:lang w:eastAsia="zh-CN"/>
              </w:rPr>
              <w:t>MSCI</w:t>
            </w:r>
            <w:r w:rsidRPr="00DB1D1F">
              <w:rPr>
                <w:rFonts w:ascii="Times" w:eastAsia="宋体" w:hAnsi="Times" w:hint="eastAsia"/>
                <w:bCs/>
                <w:lang w:eastAsia="zh-CN"/>
              </w:rPr>
              <w:t>发达经济体股票市场下跌</w:t>
            </w:r>
            <w:r w:rsidRPr="00DB1D1F">
              <w:rPr>
                <w:rFonts w:ascii="Times" w:eastAsia="宋体" w:hAnsi="Times" w:hint="eastAsia"/>
                <w:bCs/>
                <w:lang w:eastAsia="zh-CN"/>
              </w:rPr>
              <w:t>3.01%</w:t>
            </w:r>
            <w:r w:rsidRPr="00DB1D1F">
              <w:rPr>
                <w:rFonts w:ascii="Times" w:eastAsia="宋体" w:hAnsi="Times" w:hint="eastAsia"/>
                <w:bCs/>
                <w:lang w:eastAsia="zh-CN"/>
              </w:rPr>
              <w:t>，</w:t>
            </w:r>
            <w:r w:rsidRPr="00DB1D1F">
              <w:rPr>
                <w:rFonts w:ascii="Times" w:eastAsia="宋体" w:hAnsi="Times"/>
                <w:bCs/>
                <w:lang w:eastAsia="zh-CN"/>
              </w:rPr>
              <w:t>MSCI</w:t>
            </w:r>
            <w:r w:rsidRPr="00DB1D1F">
              <w:rPr>
                <w:rFonts w:ascii="Times" w:eastAsia="宋体" w:hAnsi="Times" w:hint="eastAsia"/>
                <w:bCs/>
                <w:lang w:eastAsia="zh-CN"/>
              </w:rPr>
              <w:t>新兴经济体上涨</w:t>
            </w:r>
            <w:r w:rsidRPr="00DB1D1F">
              <w:rPr>
                <w:rFonts w:ascii="Times" w:eastAsia="宋体" w:hAnsi="Times" w:hint="eastAsia"/>
                <w:bCs/>
                <w:lang w:eastAsia="zh-CN"/>
              </w:rPr>
              <w:t>2.14%</w:t>
            </w:r>
            <w:r w:rsidRPr="00DB1D1F">
              <w:rPr>
                <w:rFonts w:ascii="Times" w:eastAsia="宋体" w:hAnsi="Times" w:hint="eastAsia"/>
                <w:bCs/>
                <w:lang w:eastAsia="zh-CN"/>
              </w:rPr>
              <w:t>。大宗商品价格方面，俄乌冲突持续延宕，美伊冲突再度升级、美国全面制裁伊朗，原油价格上涨</w:t>
            </w:r>
            <w:r w:rsidRPr="00DB1D1F">
              <w:rPr>
                <w:rFonts w:ascii="Times" w:eastAsia="宋体" w:hAnsi="Times" w:hint="eastAsia"/>
                <w:bCs/>
                <w:lang w:eastAsia="zh-CN"/>
              </w:rPr>
              <w:t>3.59%</w:t>
            </w:r>
            <w:r w:rsidRPr="00DB1D1F">
              <w:rPr>
                <w:rFonts w:ascii="Times" w:eastAsia="宋体" w:hAnsi="Times" w:hint="eastAsia"/>
                <w:bCs/>
                <w:lang w:eastAsia="zh-CN"/>
              </w:rPr>
              <w:t>，</w:t>
            </w:r>
            <w:r w:rsidRPr="00DB1D1F">
              <w:rPr>
                <w:rFonts w:ascii="Times" w:eastAsia="宋体" w:hAnsi="Times"/>
                <w:bCs/>
                <w:lang w:eastAsia="zh-CN"/>
              </w:rPr>
              <w:t>CRB</w:t>
            </w:r>
            <w:r w:rsidRPr="00DB1D1F">
              <w:rPr>
                <w:rFonts w:ascii="Times" w:eastAsia="宋体" w:hAnsi="Times" w:hint="eastAsia"/>
                <w:bCs/>
                <w:lang w:eastAsia="zh-CN"/>
              </w:rPr>
              <w:t>商品价格指数上涨约</w:t>
            </w:r>
            <w:r w:rsidRPr="00DB1D1F">
              <w:rPr>
                <w:rFonts w:ascii="Times" w:eastAsia="宋体" w:hAnsi="Times"/>
                <w:bCs/>
                <w:lang w:eastAsia="zh-CN"/>
              </w:rPr>
              <w:t>4.</w:t>
            </w:r>
            <w:r w:rsidRPr="00DB1D1F">
              <w:rPr>
                <w:rFonts w:ascii="Times" w:eastAsia="宋体" w:hAnsi="Times" w:hint="eastAsia"/>
                <w:bCs/>
                <w:lang w:eastAsia="zh-CN"/>
              </w:rPr>
              <w:t>42</w:t>
            </w:r>
            <w:r w:rsidRPr="00DB1D1F">
              <w:rPr>
                <w:rFonts w:ascii="Times" w:eastAsia="宋体" w:hAnsi="Times"/>
                <w:bCs/>
                <w:lang w:eastAsia="zh-CN"/>
              </w:rPr>
              <w:t>%</w:t>
            </w:r>
            <w:r w:rsidRPr="00DB1D1F">
              <w:rPr>
                <w:rFonts w:ascii="Times" w:eastAsia="宋体" w:hAnsi="Times" w:hint="eastAsia"/>
                <w:bCs/>
                <w:lang w:eastAsia="zh-CN"/>
              </w:rPr>
              <w:t>。特朗普执政风格不确定性较大，全球经济、贸易、地缘政治不确定性提高，一季度黄金价</w:t>
            </w:r>
            <w:r w:rsidRPr="00DB1D1F">
              <w:rPr>
                <w:rFonts w:ascii="Times" w:eastAsia="宋体" w:hAnsi="Times" w:hint="eastAsia"/>
                <w:bCs/>
                <w:lang w:eastAsia="zh-CN"/>
              </w:rPr>
              <w:lastRenderedPageBreak/>
              <w:t>格大涨</w:t>
            </w:r>
            <w:r w:rsidRPr="00DB1D1F">
              <w:rPr>
                <w:rFonts w:ascii="Times" w:eastAsia="宋体" w:hAnsi="Times" w:hint="eastAsia"/>
                <w:bCs/>
                <w:lang w:eastAsia="zh-CN"/>
              </w:rPr>
              <w:t>19.31%</w:t>
            </w:r>
            <w:r w:rsidRPr="00DB1D1F">
              <w:rPr>
                <w:rFonts w:ascii="Times" w:eastAsia="宋体" w:hAnsi="Times" w:hint="eastAsia"/>
                <w:bCs/>
                <w:lang w:eastAsia="zh-CN"/>
              </w:rPr>
              <w:t>。</w:t>
            </w:r>
          </w:p>
          <w:p w14:paraId="2A2DE717" w14:textId="2965D52A" w:rsidR="00DB1D1F" w:rsidRPr="00DB1D1F" w:rsidRDefault="00DB1D1F" w:rsidP="00DB1D1F">
            <w:pPr>
              <w:ind w:firstLine="482"/>
              <w:rPr>
                <w:rFonts w:ascii="Times" w:eastAsia="宋体" w:hAnsi="Times"/>
                <w:bCs/>
                <w:lang w:eastAsia="zh-CN"/>
              </w:rPr>
            </w:pPr>
            <w:r w:rsidRPr="00DB1D1F">
              <w:rPr>
                <w:rFonts w:ascii="Times" w:eastAsia="宋体" w:hAnsi="Times" w:hint="eastAsia"/>
                <w:b/>
                <w:lang w:eastAsia="zh-CN"/>
              </w:rPr>
              <w:t>特朗普“对等关税”政策引发全球资产暴跌。</w:t>
            </w:r>
            <w:r w:rsidRPr="00DB1D1F">
              <w:rPr>
                <w:rFonts w:ascii="Times" w:eastAsia="宋体" w:hAnsi="Times" w:hint="eastAsia"/>
                <w:bCs/>
                <w:lang w:eastAsia="zh-CN"/>
              </w:rPr>
              <w:t>4</w:t>
            </w:r>
            <w:r w:rsidRPr="00DB1D1F">
              <w:rPr>
                <w:rFonts w:ascii="Times" w:eastAsia="宋体" w:hAnsi="Times" w:hint="eastAsia"/>
                <w:bCs/>
                <w:lang w:eastAsia="zh-CN"/>
              </w:rPr>
              <w:t>月</w:t>
            </w:r>
            <w:r w:rsidRPr="00DB1D1F">
              <w:rPr>
                <w:rFonts w:ascii="Times" w:eastAsia="宋体" w:hAnsi="Times" w:hint="eastAsia"/>
                <w:bCs/>
                <w:lang w:eastAsia="zh-CN"/>
              </w:rPr>
              <w:t>2</w:t>
            </w:r>
            <w:r w:rsidRPr="00DB1D1F">
              <w:rPr>
                <w:rFonts w:ascii="Times" w:eastAsia="宋体" w:hAnsi="Times" w:hint="eastAsia"/>
                <w:bCs/>
                <w:lang w:eastAsia="zh-CN"/>
              </w:rPr>
              <w:t>日，美国白宫公布全球“对等关税”清单。全球股市大跌，一周内标普</w:t>
            </w:r>
            <w:r w:rsidRPr="00DB1D1F">
              <w:rPr>
                <w:rFonts w:ascii="Times" w:eastAsia="宋体" w:hAnsi="Times" w:hint="eastAsia"/>
                <w:bCs/>
                <w:lang w:eastAsia="zh-CN"/>
              </w:rPr>
              <w:t>500</w:t>
            </w:r>
            <w:r w:rsidRPr="00DB1D1F">
              <w:rPr>
                <w:rFonts w:ascii="Times" w:eastAsia="宋体" w:hAnsi="Times" w:hint="eastAsia"/>
                <w:bCs/>
                <w:lang w:eastAsia="zh-CN"/>
              </w:rPr>
              <w:t>指数下跌</w:t>
            </w:r>
            <w:r w:rsidRPr="00DB1D1F">
              <w:rPr>
                <w:rFonts w:ascii="Times" w:eastAsia="宋体" w:hAnsi="Times" w:hint="eastAsia"/>
                <w:bCs/>
                <w:lang w:eastAsia="zh-CN"/>
              </w:rPr>
              <w:t>11.54%</w:t>
            </w:r>
            <w:r w:rsidRPr="00DB1D1F">
              <w:rPr>
                <w:rFonts w:ascii="Times" w:eastAsia="宋体" w:hAnsi="Times" w:hint="eastAsia"/>
                <w:bCs/>
                <w:lang w:eastAsia="zh-CN"/>
              </w:rPr>
              <w:t>，伦敦富时、欧元区</w:t>
            </w:r>
            <w:r w:rsidRPr="00DB1D1F">
              <w:rPr>
                <w:rFonts w:ascii="Times" w:eastAsia="宋体" w:hAnsi="Times" w:hint="eastAsia"/>
                <w:bCs/>
                <w:lang w:eastAsia="zh-CN"/>
              </w:rPr>
              <w:t>STOXX</w:t>
            </w:r>
            <w:r w:rsidRPr="00DB1D1F">
              <w:rPr>
                <w:rFonts w:ascii="Times" w:eastAsia="宋体" w:hAnsi="Times" w:hint="eastAsia"/>
                <w:bCs/>
                <w:lang w:eastAsia="zh-CN"/>
              </w:rPr>
              <w:t>指数均下跌接近</w:t>
            </w:r>
            <w:r w:rsidRPr="00DB1D1F">
              <w:rPr>
                <w:rFonts w:ascii="Times" w:eastAsia="宋体" w:hAnsi="Times" w:hint="eastAsia"/>
                <w:bCs/>
                <w:lang w:eastAsia="zh-CN"/>
              </w:rPr>
              <w:t>10%</w:t>
            </w:r>
            <w:r w:rsidRPr="00DB1D1F">
              <w:rPr>
                <w:rFonts w:ascii="Times" w:eastAsia="宋体" w:hAnsi="Times" w:hint="eastAsia"/>
                <w:bCs/>
                <w:lang w:eastAsia="zh-CN"/>
              </w:rPr>
              <w:t>，上证综指下跌</w:t>
            </w:r>
            <w:r w:rsidRPr="00DB1D1F">
              <w:rPr>
                <w:rFonts w:ascii="Times" w:eastAsia="宋体" w:hAnsi="Times" w:hint="eastAsia"/>
                <w:bCs/>
                <w:lang w:eastAsia="zh-CN"/>
              </w:rPr>
              <w:t>6.06%</w:t>
            </w:r>
            <w:r w:rsidRPr="00DB1D1F">
              <w:rPr>
                <w:rFonts w:ascii="Times" w:eastAsia="宋体" w:hAnsi="Times" w:hint="eastAsia"/>
                <w:bCs/>
                <w:lang w:eastAsia="zh-CN"/>
              </w:rPr>
              <w:t>。美债不再是安全资产选择，美国国债、高收益债价格均下跌（利率上升）。自</w:t>
            </w:r>
            <w:r w:rsidRPr="00DB1D1F">
              <w:rPr>
                <w:rFonts w:ascii="Times" w:eastAsia="宋体" w:hAnsi="Times" w:hint="eastAsia"/>
                <w:bCs/>
                <w:lang w:eastAsia="zh-CN"/>
              </w:rPr>
              <w:t>4</w:t>
            </w:r>
            <w:r w:rsidRPr="00DB1D1F">
              <w:rPr>
                <w:rFonts w:ascii="Times" w:eastAsia="宋体" w:hAnsi="Times" w:hint="eastAsia"/>
                <w:bCs/>
                <w:lang w:eastAsia="zh-CN"/>
              </w:rPr>
              <w:t>月</w:t>
            </w:r>
            <w:r w:rsidRPr="00DB1D1F">
              <w:rPr>
                <w:rFonts w:ascii="Times" w:eastAsia="宋体" w:hAnsi="Times" w:hint="eastAsia"/>
                <w:bCs/>
                <w:lang w:eastAsia="zh-CN"/>
              </w:rPr>
              <w:t>2</w:t>
            </w:r>
            <w:r w:rsidRPr="00DB1D1F">
              <w:rPr>
                <w:rFonts w:ascii="Times" w:eastAsia="宋体" w:hAnsi="Times" w:hint="eastAsia"/>
                <w:bCs/>
                <w:lang w:eastAsia="zh-CN"/>
              </w:rPr>
              <w:t>日至</w:t>
            </w:r>
            <w:r w:rsidRPr="00DB1D1F">
              <w:rPr>
                <w:rFonts w:ascii="Times" w:eastAsia="宋体" w:hAnsi="Times" w:hint="eastAsia"/>
                <w:bCs/>
                <w:lang w:eastAsia="zh-CN"/>
              </w:rPr>
              <w:t>4</w:t>
            </w:r>
            <w:r w:rsidRPr="00DB1D1F">
              <w:rPr>
                <w:rFonts w:ascii="Times" w:eastAsia="宋体" w:hAnsi="Times" w:hint="eastAsia"/>
                <w:bCs/>
                <w:lang w:eastAsia="zh-CN"/>
              </w:rPr>
              <w:t>月</w:t>
            </w:r>
            <w:r w:rsidRPr="00DB1D1F">
              <w:rPr>
                <w:rFonts w:ascii="Times" w:eastAsia="宋体" w:hAnsi="Times" w:hint="eastAsia"/>
                <w:bCs/>
                <w:lang w:eastAsia="zh-CN"/>
              </w:rPr>
              <w:t>7</w:t>
            </w:r>
            <w:r w:rsidRPr="00DB1D1F">
              <w:rPr>
                <w:rFonts w:ascii="Times" w:eastAsia="宋体" w:hAnsi="Times" w:hint="eastAsia"/>
                <w:bCs/>
                <w:lang w:eastAsia="zh-CN"/>
              </w:rPr>
              <w:t>日，美国高收益债收益率在一周内上升</w:t>
            </w:r>
            <w:r w:rsidRPr="00DB1D1F">
              <w:rPr>
                <w:rFonts w:ascii="Times" w:eastAsia="宋体" w:hAnsi="Times" w:hint="eastAsia"/>
                <w:bCs/>
                <w:lang w:eastAsia="zh-CN"/>
              </w:rPr>
              <w:t>110bp</w:t>
            </w:r>
            <w:r w:rsidRPr="00DB1D1F">
              <w:rPr>
                <w:rFonts w:ascii="Times" w:eastAsia="宋体" w:hAnsi="Times" w:hint="eastAsia"/>
                <w:bCs/>
                <w:lang w:eastAsia="zh-CN"/>
              </w:rPr>
              <w:t>。在中国选择反制后，美国无风险利率也出现上升，美债存在抛售压力。自</w:t>
            </w:r>
            <w:r w:rsidRPr="00DB1D1F">
              <w:rPr>
                <w:rFonts w:ascii="Times" w:eastAsia="宋体" w:hAnsi="Times" w:hint="eastAsia"/>
                <w:bCs/>
                <w:lang w:eastAsia="zh-CN"/>
              </w:rPr>
              <w:t>4</w:t>
            </w:r>
            <w:r w:rsidRPr="00DB1D1F">
              <w:rPr>
                <w:rFonts w:ascii="Times" w:eastAsia="宋体" w:hAnsi="Times" w:hint="eastAsia"/>
                <w:bCs/>
                <w:lang w:eastAsia="zh-CN"/>
              </w:rPr>
              <w:t>月</w:t>
            </w:r>
            <w:r w:rsidRPr="00DB1D1F">
              <w:rPr>
                <w:rFonts w:ascii="Times" w:eastAsia="宋体" w:hAnsi="Times" w:hint="eastAsia"/>
                <w:bCs/>
                <w:lang w:eastAsia="zh-CN"/>
              </w:rPr>
              <w:t>4</w:t>
            </w:r>
            <w:r w:rsidRPr="00DB1D1F">
              <w:rPr>
                <w:rFonts w:ascii="Times" w:eastAsia="宋体" w:hAnsi="Times" w:hint="eastAsia"/>
                <w:bCs/>
                <w:lang w:eastAsia="zh-CN"/>
              </w:rPr>
              <w:t>日至</w:t>
            </w:r>
            <w:r w:rsidRPr="00DB1D1F">
              <w:rPr>
                <w:rFonts w:ascii="Times" w:eastAsia="宋体" w:hAnsi="Times" w:hint="eastAsia"/>
                <w:bCs/>
                <w:lang w:eastAsia="zh-CN"/>
              </w:rPr>
              <w:t>4</w:t>
            </w:r>
            <w:r w:rsidRPr="00DB1D1F">
              <w:rPr>
                <w:rFonts w:ascii="Times" w:eastAsia="宋体" w:hAnsi="Times" w:hint="eastAsia"/>
                <w:bCs/>
                <w:lang w:eastAsia="zh-CN"/>
              </w:rPr>
              <w:t>月</w:t>
            </w:r>
            <w:r w:rsidRPr="00DB1D1F">
              <w:rPr>
                <w:rFonts w:ascii="Times" w:eastAsia="宋体" w:hAnsi="Times" w:hint="eastAsia"/>
                <w:bCs/>
                <w:lang w:eastAsia="zh-CN"/>
              </w:rPr>
              <w:t>6</w:t>
            </w:r>
            <w:r w:rsidRPr="00DB1D1F">
              <w:rPr>
                <w:rFonts w:ascii="Times" w:eastAsia="宋体" w:hAnsi="Times" w:hint="eastAsia"/>
                <w:bCs/>
                <w:lang w:eastAsia="zh-CN"/>
              </w:rPr>
              <w:t>日，十年期美国国债收益率上行</w:t>
            </w:r>
            <w:r w:rsidRPr="00DB1D1F">
              <w:rPr>
                <w:rFonts w:ascii="Times" w:eastAsia="宋体" w:hAnsi="Times" w:hint="eastAsia"/>
                <w:bCs/>
                <w:lang w:eastAsia="zh-CN"/>
              </w:rPr>
              <w:t>20bp</w:t>
            </w:r>
            <w:r w:rsidRPr="00DB1D1F">
              <w:rPr>
                <w:rFonts w:ascii="Times" w:eastAsia="宋体" w:hAnsi="Times" w:hint="eastAsia"/>
                <w:bCs/>
                <w:lang w:eastAsia="zh-CN"/>
              </w:rPr>
              <w:t>。汇率方面，美元指数继续下跌，日元、欧元成为避险选择。受其他资产大幅下跌影响，部分投资者抛售黄金以换取现金或弥补杠杆交易的亏空，黄金价格也出现大跌。在关税冲击下，原油、铜等制造业相关大宗商品价格出现超跌。其中，原油价格一周内下跌幅度接近</w:t>
            </w:r>
            <w:r w:rsidRPr="00DB1D1F">
              <w:rPr>
                <w:rFonts w:ascii="Times" w:eastAsia="宋体" w:hAnsi="Times" w:hint="eastAsia"/>
                <w:bCs/>
                <w:lang w:eastAsia="zh-CN"/>
              </w:rPr>
              <w:t>15%</w:t>
            </w:r>
            <w:r w:rsidRPr="00DB1D1F">
              <w:rPr>
                <w:rFonts w:ascii="Times" w:eastAsia="宋体" w:hAnsi="Times" w:hint="eastAsia"/>
                <w:bCs/>
                <w:lang w:eastAsia="zh-CN"/>
              </w:rPr>
              <w:t>。</w:t>
            </w:r>
          </w:p>
          <w:p w14:paraId="3E0725A9" w14:textId="77777777" w:rsidR="00DB1D1F" w:rsidRPr="00DB1D1F" w:rsidRDefault="00DB1D1F" w:rsidP="00DB1D1F">
            <w:pPr>
              <w:ind w:firstLine="480"/>
              <w:rPr>
                <w:rFonts w:ascii="Times" w:eastAsia="宋体" w:hAnsi="Times"/>
                <w:bCs/>
                <w:lang w:eastAsia="zh-CN"/>
              </w:rPr>
            </w:pPr>
          </w:p>
        </w:tc>
      </w:tr>
      <w:tr w:rsidR="00DB1D1F" w:rsidRPr="00DB1D1F" w14:paraId="48A04F30" w14:textId="77777777" w:rsidTr="00D72849">
        <w:trPr>
          <w:jc w:val="center"/>
        </w:trPr>
        <w:tc>
          <w:tcPr>
            <w:tcW w:w="9637" w:type="dxa"/>
            <w:gridSpan w:val="3"/>
          </w:tcPr>
          <w:p w14:paraId="393002B8" w14:textId="5EBD699B" w:rsidR="00DB1D1F" w:rsidRPr="00DB1D1F" w:rsidRDefault="00D37774" w:rsidP="00D37774">
            <w:pPr>
              <w:pStyle w:val="a4"/>
              <w:rPr>
                <w:sz w:val="18"/>
                <w:szCs w:val="18"/>
              </w:rPr>
            </w:pPr>
            <w:bookmarkStart w:id="76" w:name="_Toc196399440"/>
            <w:r>
              <w:rPr>
                <w:rFonts w:hint="eastAsia"/>
              </w:rPr>
              <w:lastRenderedPageBreak/>
              <w:t xml:space="preserve">图表 </w:t>
            </w:r>
            <w:r>
              <w:rPr>
                <w:rFonts w:hint="eastAsia"/>
              </w:rPr>
              <w:fldChar w:fldCharType="begin"/>
            </w:r>
            <w:r>
              <w:rPr>
                <w:rFonts w:hint="eastAsia"/>
              </w:rPr>
              <w:instrText xml:space="preserve"> SEQ 图表 \* ARABIC </w:instrText>
            </w:r>
            <w:r>
              <w:rPr>
                <w:rFonts w:hint="eastAsia"/>
              </w:rPr>
              <w:fldChar w:fldCharType="separate"/>
            </w:r>
            <w:r w:rsidR="00530ED7">
              <w:rPr>
                <w:rFonts w:hint="eastAsia"/>
                <w:noProof/>
              </w:rPr>
              <w:t>29</w:t>
            </w:r>
            <w:r>
              <w:rPr>
                <w:rFonts w:hint="eastAsia"/>
              </w:rPr>
              <w:fldChar w:fldCharType="end"/>
            </w:r>
            <w:r w:rsidRPr="00D37774">
              <w:t xml:space="preserve">  </w:t>
            </w:r>
            <w:r w:rsidR="00DB1D1F" w:rsidRPr="00DB1D1F">
              <w:rPr>
                <w:rFonts w:hint="eastAsia"/>
              </w:rPr>
              <w:t>全球金融市场主要指标变动</w:t>
            </w:r>
            <w:bookmarkEnd w:id="76"/>
          </w:p>
          <w:p w14:paraId="01E51022" w14:textId="77777777" w:rsidR="00DB1D1F" w:rsidRPr="00DB1D1F" w:rsidRDefault="00DB1D1F" w:rsidP="00DB1D1F">
            <w:pPr>
              <w:spacing w:line="240" w:lineRule="auto"/>
              <w:ind w:firstLine="420"/>
              <w:jc w:val="center"/>
              <w:rPr>
                <w:rFonts w:ascii="Times" w:eastAsia="宋体" w:hAnsi="Times"/>
                <w:color w:val="000000"/>
                <w:sz w:val="18"/>
                <w:szCs w:val="18"/>
                <w:lang w:eastAsia="zh-CN"/>
              </w:rPr>
            </w:pPr>
            <w:r w:rsidRPr="00DB1D1F">
              <w:rPr>
                <w:rFonts w:ascii="等线" w:eastAsia="等线" w:hAnsi="等线"/>
                <w:noProof/>
                <w:sz w:val="21"/>
                <w:szCs w:val="22"/>
                <w:lang w:eastAsia="zh-CN" w:bidi="ar-SA"/>
              </w:rPr>
              <w:drawing>
                <wp:inline distT="0" distB="0" distL="114300" distR="114300" wp14:anchorId="53FDB030" wp14:editId="465CF6B5">
                  <wp:extent cx="4667250" cy="4737735"/>
                  <wp:effectExtent l="0" t="0" r="0" b="5715"/>
                  <wp:docPr id="208025428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54"/>
                          <a:stretch>
                            <a:fillRect/>
                          </a:stretch>
                        </pic:blipFill>
                        <pic:spPr>
                          <a:xfrm>
                            <a:off x="0" y="0"/>
                            <a:ext cx="4667250" cy="4737735"/>
                          </a:xfrm>
                          <a:prstGeom prst="rect">
                            <a:avLst/>
                          </a:prstGeom>
                          <a:noFill/>
                          <a:ln>
                            <a:noFill/>
                          </a:ln>
                        </pic:spPr>
                      </pic:pic>
                    </a:graphicData>
                  </a:graphic>
                </wp:inline>
              </w:drawing>
            </w:r>
          </w:p>
          <w:p w14:paraId="4BA8A02C" w14:textId="77777777" w:rsidR="00DB1D1F" w:rsidRPr="00DB1D1F" w:rsidRDefault="00DB1D1F" w:rsidP="00DB1D1F">
            <w:pPr>
              <w:spacing w:line="240" w:lineRule="auto"/>
              <w:ind w:firstLine="360"/>
              <w:rPr>
                <w:rFonts w:ascii="Times" w:eastAsia="宋体" w:hAnsi="Times"/>
                <w:color w:val="000000"/>
                <w:sz w:val="18"/>
                <w:szCs w:val="18"/>
                <w:lang w:eastAsia="zh-CN"/>
              </w:rPr>
            </w:pPr>
            <w:r w:rsidRPr="00DB1D1F">
              <w:rPr>
                <w:rFonts w:ascii="Times" w:eastAsia="宋体" w:hAnsi="Times" w:hint="eastAsia"/>
                <w:color w:val="000000"/>
                <w:sz w:val="18"/>
                <w:szCs w:val="18"/>
                <w:lang w:eastAsia="zh-CN"/>
              </w:rPr>
              <w:t>注</w:t>
            </w:r>
            <w:r w:rsidRPr="00DB1D1F">
              <w:rPr>
                <w:rFonts w:ascii="Times" w:eastAsia="宋体" w:hAnsi="Times"/>
                <w:color w:val="000000"/>
                <w:sz w:val="18"/>
                <w:szCs w:val="18"/>
                <w:lang w:eastAsia="zh-CN"/>
              </w:rPr>
              <w:t>1</w:t>
            </w:r>
            <w:r w:rsidRPr="00DB1D1F">
              <w:rPr>
                <w:rFonts w:ascii="Times" w:eastAsia="宋体" w:hAnsi="Times" w:hint="eastAsia"/>
                <w:color w:val="000000"/>
                <w:sz w:val="18"/>
                <w:szCs w:val="18"/>
                <w:lang w:eastAsia="zh-CN"/>
              </w:rPr>
              <w:t>：原始数据来源于汤森路透数据库，经笔者计算。债券价格的波动体现为价格的波动，而非收益率的变动，即价格下跌、利率上升。</w:t>
            </w:r>
          </w:p>
          <w:p w14:paraId="1F159E31" w14:textId="77777777" w:rsidR="00DB1D1F" w:rsidRPr="00DB1D1F" w:rsidRDefault="00DB1D1F" w:rsidP="00DB1D1F">
            <w:pPr>
              <w:spacing w:line="240" w:lineRule="auto"/>
              <w:ind w:firstLine="360"/>
              <w:rPr>
                <w:rFonts w:ascii="Times" w:eastAsia="宋体" w:hAnsi="Times"/>
                <w:color w:val="000000"/>
                <w:sz w:val="18"/>
                <w:szCs w:val="18"/>
                <w:lang w:eastAsia="zh-CN"/>
              </w:rPr>
            </w:pPr>
            <w:r w:rsidRPr="00DB1D1F">
              <w:rPr>
                <w:rFonts w:ascii="Times" w:eastAsia="宋体" w:hAnsi="Times" w:hint="eastAsia"/>
                <w:color w:val="000000"/>
                <w:sz w:val="18"/>
                <w:szCs w:val="18"/>
                <w:lang w:eastAsia="zh-CN"/>
              </w:rPr>
              <w:t>注</w:t>
            </w:r>
            <w:r w:rsidRPr="00DB1D1F">
              <w:rPr>
                <w:rFonts w:ascii="Times" w:eastAsia="宋体" w:hAnsi="Times"/>
                <w:color w:val="000000"/>
                <w:sz w:val="18"/>
                <w:szCs w:val="18"/>
                <w:lang w:eastAsia="zh-CN"/>
              </w:rPr>
              <w:t>2</w:t>
            </w:r>
            <w:r w:rsidRPr="00DB1D1F">
              <w:rPr>
                <w:rFonts w:ascii="Times" w:eastAsia="宋体" w:hAnsi="Times" w:hint="eastAsia"/>
                <w:color w:val="000000"/>
                <w:sz w:val="18"/>
                <w:szCs w:val="18"/>
                <w:lang w:eastAsia="zh-CN"/>
              </w:rPr>
              <w:t>：该表数据截止日为</w:t>
            </w:r>
            <w:r w:rsidRPr="00DB1D1F">
              <w:rPr>
                <w:rFonts w:ascii="Times" w:eastAsia="宋体" w:hAnsi="Times"/>
                <w:color w:val="000000"/>
                <w:sz w:val="18"/>
                <w:szCs w:val="18"/>
                <w:lang w:eastAsia="zh-CN"/>
              </w:rPr>
              <w:t>202</w:t>
            </w:r>
            <w:r w:rsidRPr="00DB1D1F">
              <w:rPr>
                <w:rFonts w:ascii="Times" w:eastAsia="宋体" w:hAnsi="Times" w:hint="eastAsia"/>
                <w:color w:val="000000"/>
                <w:sz w:val="18"/>
                <w:szCs w:val="18"/>
                <w:lang w:eastAsia="zh-CN"/>
              </w:rPr>
              <w:t>5</w:t>
            </w:r>
            <w:r w:rsidRPr="00DB1D1F">
              <w:rPr>
                <w:rFonts w:ascii="Times" w:eastAsia="宋体" w:hAnsi="Times" w:hint="eastAsia"/>
                <w:color w:val="000000"/>
                <w:sz w:val="18"/>
                <w:szCs w:val="18"/>
                <w:lang w:eastAsia="zh-CN"/>
              </w:rPr>
              <w:t>年</w:t>
            </w:r>
            <w:r w:rsidRPr="00DB1D1F">
              <w:rPr>
                <w:rFonts w:ascii="Times" w:eastAsia="宋体" w:hAnsi="Times" w:hint="eastAsia"/>
                <w:color w:val="000000"/>
                <w:sz w:val="18"/>
                <w:szCs w:val="18"/>
                <w:lang w:eastAsia="zh-CN"/>
              </w:rPr>
              <w:t>3</w:t>
            </w:r>
            <w:r w:rsidRPr="00DB1D1F">
              <w:rPr>
                <w:rFonts w:ascii="Times" w:eastAsia="宋体" w:hAnsi="Times" w:hint="eastAsia"/>
                <w:color w:val="000000"/>
                <w:sz w:val="18"/>
                <w:szCs w:val="18"/>
                <w:lang w:eastAsia="zh-CN"/>
              </w:rPr>
              <w:t>月</w:t>
            </w:r>
            <w:r w:rsidRPr="00DB1D1F">
              <w:rPr>
                <w:rFonts w:ascii="Times" w:eastAsia="宋体" w:hAnsi="Times"/>
                <w:color w:val="000000"/>
                <w:sz w:val="18"/>
                <w:szCs w:val="18"/>
                <w:lang w:eastAsia="zh-CN"/>
              </w:rPr>
              <w:t>31</w:t>
            </w:r>
            <w:r w:rsidRPr="00DB1D1F">
              <w:rPr>
                <w:rFonts w:ascii="Times" w:eastAsia="宋体" w:hAnsi="Times" w:hint="eastAsia"/>
                <w:color w:val="000000"/>
                <w:sz w:val="18"/>
                <w:szCs w:val="18"/>
                <w:lang w:eastAsia="zh-CN"/>
              </w:rPr>
              <w:t>日，变动幅度均按季末值计算。因截止时间和计算方法差异，该表的数据与后文的图表数据可能存在相近不相同的情况。</w:t>
            </w:r>
          </w:p>
          <w:p w14:paraId="1B627EFE" w14:textId="77777777" w:rsidR="00DB1D1F" w:rsidRPr="00DB1D1F" w:rsidRDefault="00DB1D1F" w:rsidP="00DB1D1F">
            <w:pPr>
              <w:spacing w:line="240" w:lineRule="auto"/>
              <w:ind w:firstLine="360"/>
              <w:rPr>
                <w:rFonts w:ascii="Times" w:eastAsia="宋体" w:hAnsi="Times"/>
                <w:color w:val="000000"/>
                <w:sz w:val="18"/>
                <w:szCs w:val="18"/>
                <w:lang w:eastAsia="zh-CN"/>
              </w:rPr>
            </w:pPr>
          </w:p>
          <w:p w14:paraId="42D66EFF" w14:textId="77777777" w:rsidR="001244F7" w:rsidRDefault="001244F7" w:rsidP="00D37774">
            <w:pPr>
              <w:pStyle w:val="a4"/>
            </w:pPr>
          </w:p>
          <w:p w14:paraId="35E15863" w14:textId="77777777" w:rsidR="001244F7" w:rsidRDefault="001244F7" w:rsidP="00DB1D1F">
            <w:pPr>
              <w:spacing w:line="240" w:lineRule="auto"/>
              <w:ind w:firstLine="420"/>
              <w:rPr>
                <w:rFonts w:ascii="等线" w:eastAsia="等线" w:hAnsi="等线"/>
                <w:sz w:val="21"/>
                <w:szCs w:val="22"/>
                <w:lang w:eastAsia="zh-CN" w:bidi="ar-SA"/>
              </w:rPr>
            </w:pPr>
          </w:p>
          <w:p w14:paraId="627F4E00" w14:textId="77777777" w:rsidR="001244F7" w:rsidRDefault="001244F7" w:rsidP="00DB1D1F">
            <w:pPr>
              <w:spacing w:line="240" w:lineRule="auto"/>
              <w:ind w:firstLine="420"/>
              <w:rPr>
                <w:rFonts w:ascii="等线" w:eastAsia="等线" w:hAnsi="等线"/>
                <w:sz w:val="21"/>
                <w:szCs w:val="22"/>
                <w:lang w:eastAsia="zh-CN" w:bidi="ar-SA"/>
              </w:rPr>
            </w:pPr>
          </w:p>
          <w:p w14:paraId="5D9AA5A0" w14:textId="77777777" w:rsidR="001244F7" w:rsidRDefault="001244F7" w:rsidP="00DB1D1F">
            <w:pPr>
              <w:spacing w:line="240" w:lineRule="auto"/>
              <w:ind w:firstLine="420"/>
              <w:rPr>
                <w:rFonts w:ascii="等线" w:eastAsia="等线" w:hAnsi="等线"/>
                <w:sz w:val="21"/>
                <w:szCs w:val="22"/>
                <w:lang w:eastAsia="zh-CN" w:bidi="ar-SA"/>
              </w:rPr>
            </w:pPr>
          </w:p>
          <w:p w14:paraId="387F3718" w14:textId="77777777" w:rsidR="001244F7" w:rsidRDefault="001244F7" w:rsidP="00DB1D1F">
            <w:pPr>
              <w:spacing w:line="240" w:lineRule="auto"/>
              <w:ind w:firstLine="420"/>
              <w:rPr>
                <w:rFonts w:ascii="等线" w:eastAsia="等线" w:hAnsi="等线"/>
                <w:sz w:val="21"/>
                <w:szCs w:val="22"/>
                <w:lang w:eastAsia="zh-CN" w:bidi="ar-SA"/>
              </w:rPr>
            </w:pPr>
          </w:p>
          <w:p w14:paraId="32ACEB4D" w14:textId="77777777" w:rsidR="001244F7" w:rsidRDefault="001244F7" w:rsidP="00DB1D1F">
            <w:pPr>
              <w:spacing w:line="240" w:lineRule="auto"/>
              <w:ind w:firstLine="420"/>
              <w:rPr>
                <w:rFonts w:ascii="等线" w:eastAsia="等线" w:hAnsi="等线"/>
                <w:sz w:val="21"/>
                <w:szCs w:val="22"/>
                <w:lang w:eastAsia="zh-CN" w:bidi="ar-SA"/>
              </w:rPr>
            </w:pPr>
          </w:p>
          <w:p w14:paraId="598D5C47" w14:textId="77777777" w:rsidR="001244F7" w:rsidRDefault="001244F7" w:rsidP="00DB1D1F">
            <w:pPr>
              <w:spacing w:line="240" w:lineRule="auto"/>
              <w:ind w:firstLine="420"/>
              <w:rPr>
                <w:rFonts w:ascii="等线" w:eastAsia="等线" w:hAnsi="等线"/>
                <w:sz w:val="21"/>
                <w:szCs w:val="22"/>
                <w:lang w:eastAsia="zh-CN" w:bidi="ar-SA"/>
              </w:rPr>
            </w:pPr>
          </w:p>
          <w:p w14:paraId="412A51C1" w14:textId="77777777" w:rsidR="001244F7" w:rsidRDefault="001244F7" w:rsidP="00DB1D1F">
            <w:pPr>
              <w:spacing w:line="240" w:lineRule="auto"/>
              <w:ind w:firstLine="420"/>
              <w:rPr>
                <w:rFonts w:ascii="等线" w:eastAsia="等线" w:hAnsi="等线"/>
                <w:sz w:val="21"/>
                <w:szCs w:val="22"/>
                <w:lang w:eastAsia="zh-CN" w:bidi="ar-SA"/>
              </w:rPr>
            </w:pPr>
          </w:p>
          <w:p w14:paraId="50190424" w14:textId="77777777" w:rsidR="001244F7" w:rsidRDefault="001244F7" w:rsidP="00DB1D1F">
            <w:pPr>
              <w:spacing w:line="240" w:lineRule="auto"/>
              <w:ind w:firstLine="420"/>
              <w:rPr>
                <w:rFonts w:ascii="等线" w:eastAsia="等线" w:hAnsi="等线"/>
                <w:sz w:val="21"/>
                <w:szCs w:val="22"/>
                <w:lang w:eastAsia="zh-CN" w:bidi="ar-SA"/>
              </w:rPr>
            </w:pPr>
          </w:p>
          <w:p w14:paraId="7E20ED17" w14:textId="77777777" w:rsidR="001244F7" w:rsidRDefault="001244F7" w:rsidP="00DB1D1F">
            <w:pPr>
              <w:spacing w:line="240" w:lineRule="auto"/>
              <w:ind w:firstLine="420"/>
              <w:rPr>
                <w:rFonts w:ascii="等线" w:eastAsia="等线" w:hAnsi="等线"/>
                <w:sz w:val="21"/>
                <w:szCs w:val="22"/>
                <w:lang w:eastAsia="zh-CN" w:bidi="ar-SA"/>
              </w:rPr>
            </w:pPr>
          </w:p>
          <w:p w14:paraId="0B1FBB99" w14:textId="77777777" w:rsidR="001244F7" w:rsidRDefault="001244F7" w:rsidP="00DB1D1F">
            <w:pPr>
              <w:spacing w:line="240" w:lineRule="auto"/>
              <w:ind w:firstLine="420"/>
              <w:rPr>
                <w:rFonts w:ascii="等线" w:eastAsia="等线" w:hAnsi="等线"/>
                <w:sz w:val="21"/>
                <w:szCs w:val="22"/>
                <w:lang w:eastAsia="zh-CN" w:bidi="ar-SA"/>
              </w:rPr>
            </w:pPr>
          </w:p>
          <w:p w14:paraId="6C869C26" w14:textId="77777777" w:rsidR="001244F7" w:rsidRDefault="001244F7" w:rsidP="00DB1D1F">
            <w:pPr>
              <w:spacing w:line="240" w:lineRule="auto"/>
              <w:ind w:firstLine="420"/>
              <w:rPr>
                <w:rFonts w:ascii="等线" w:eastAsia="等线" w:hAnsi="等线"/>
                <w:sz w:val="21"/>
                <w:szCs w:val="22"/>
                <w:lang w:eastAsia="zh-CN" w:bidi="ar-SA"/>
              </w:rPr>
            </w:pPr>
          </w:p>
          <w:p w14:paraId="2EE74984" w14:textId="77777777" w:rsidR="001244F7" w:rsidRDefault="001244F7" w:rsidP="00DB1D1F">
            <w:pPr>
              <w:spacing w:line="240" w:lineRule="auto"/>
              <w:ind w:firstLine="420"/>
              <w:rPr>
                <w:rFonts w:ascii="等线" w:eastAsia="等线" w:hAnsi="等线"/>
                <w:sz w:val="21"/>
                <w:szCs w:val="22"/>
                <w:lang w:eastAsia="zh-CN" w:bidi="ar-SA"/>
              </w:rPr>
            </w:pPr>
          </w:p>
          <w:p w14:paraId="585DCE72" w14:textId="77777777" w:rsidR="001244F7" w:rsidRDefault="001244F7" w:rsidP="00DB1D1F">
            <w:pPr>
              <w:spacing w:line="240" w:lineRule="auto"/>
              <w:ind w:firstLine="420"/>
              <w:rPr>
                <w:rFonts w:ascii="等线" w:eastAsia="等线" w:hAnsi="等线"/>
                <w:sz w:val="21"/>
                <w:szCs w:val="22"/>
                <w:lang w:eastAsia="zh-CN" w:bidi="ar-SA"/>
              </w:rPr>
            </w:pPr>
          </w:p>
          <w:p w14:paraId="3F716F24" w14:textId="77777777" w:rsidR="001244F7" w:rsidRDefault="001244F7" w:rsidP="00DB1D1F">
            <w:pPr>
              <w:spacing w:line="240" w:lineRule="auto"/>
              <w:ind w:firstLine="420"/>
              <w:rPr>
                <w:rFonts w:ascii="等线" w:eastAsia="等线" w:hAnsi="等线"/>
                <w:sz w:val="21"/>
                <w:szCs w:val="22"/>
                <w:lang w:eastAsia="zh-CN" w:bidi="ar-SA"/>
              </w:rPr>
            </w:pPr>
          </w:p>
          <w:p w14:paraId="5A620077" w14:textId="699A82D5" w:rsidR="001244F7" w:rsidRPr="001244F7" w:rsidRDefault="00D37774" w:rsidP="00D37774">
            <w:pPr>
              <w:pStyle w:val="a4"/>
              <w:rPr>
                <w:rFonts w:ascii="Times New Roman" w:hAnsi="Times New Roman"/>
              </w:rPr>
            </w:pPr>
            <w:bookmarkStart w:id="77" w:name="_Toc196399441"/>
            <w:r>
              <w:rPr>
                <w:rFonts w:hint="eastAsia"/>
              </w:rPr>
              <w:lastRenderedPageBreak/>
              <w:t xml:space="preserve">图表 </w:t>
            </w:r>
            <w:r>
              <w:rPr>
                <w:rFonts w:hint="eastAsia"/>
              </w:rPr>
              <w:fldChar w:fldCharType="begin"/>
            </w:r>
            <w:r>
              <w:rPr>
                <w:rFonts w:hint="eastAsia"/>
              </w:rPr>
              <w:instrText xml:space="preserve"> SEQ 图表 \* ARABIC </w:instrText>
            </w:r>
            <w:r>
              <w:rPr>
                <w:rFonts w:hint="eastAsia"/>
              </w:rPr>
              <w:fldChar w:fldCharType="separate"/>
            </w:r>
            <w:r w:rsidR="00530ED7">
              <w:rPr>
                <w:rFonts w:hint="eastAsia"/>
                <w:noProof/>
              </w:rPr>
              <w:t>30</w:t>
            </w:r>
            <w:r>
              <w:rPr>
                <w:rFonts w:hint="eastAsia"/>
              </w:rPr>
              <w:fldChar w:fldCharType="end"/>
            </w:r>
            <w:r>
              <w:rPr>
                <w:rFonts w:hint="eastAsia"/>
              </w:rPr>
              <w:t xml:space="preserve"> </w:t>
            </w:r>
            <w:r w:rsidR="001244F7" w:rsidRPr="001244F7">
              <w:t xml:space="preserve"> </w:t>
            </w:r>
            <w:r w:rsidR="001244F7" w:rsidRPr="001244F7">
              <w:rPr>
                <w:rFonts w:hint="eastAsia"/>
              </w:rPr>
              <w:t>特朗普政府征收全球对等关税后，主要资产均暴跌</w:t>
            </w:r>
            <w:bookmarkEnd w:id="77"/>
          </w:p>
          <w:p w14:paraId="138C0438" w14:textId="6D9B29F5" w:rsidR="001244F7" w:rsidRPr="00DB1D1F" w:rsidRDefault="00DB1D1F" w:rsidP="001244F7">
            <w:pPr>
              <w:spacing w:line="240" w:lineRule="auto"/>
              <w:ind w:firstLine="420"/>
              <w:rPr>
                <w:rFonts w:ascii="等线" w:eastAsia="等线" w:hAnsi="等线"/>
                <w:sz w:val="21"/>
                <w:szCs w:val="22"/>
                <w:lang w:eastAsia="zh-CN" w:bidi="ar-SA"/>
              </w:rPr>
            </w:pPr>
            <w:r w:rsidRPr="00DB1D1F">
              <w:rPr>
                <w:rFonts w:ascii="等线" w:eastAsia="等线" w:hAnsi="等线"/>
                <w:noProof/>
                <w:sz w:val="21"/>
                <w:szCs w:val="22"/>
                <w:lang w:eastAsia="zh-CN" w:bidi="ar-SA"/>
              </w:rPr>
              <w:drawing>
                <wp:inline distT="0" distB="0" distL="114300" distR="114300" wp14:anchorId="77714C5A" wp14:editId="508B074A">
                  <wp:extent cx="5057775" cy="5138420"/>
                  <wp:effectExtent l="0" t="0" r="9525" b="5080"/>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55"/>
                          <a:stretch>
                            <a:fillRect/>
                          </a:stretch>
                        </pic:blipFill>
                        <pic:spPr>
                          <a:xfrm>
                            <a:off x="0" y="0"/>
                            <a:ext cx="5057775" cy="5138420"/>
                          </a:xfrm>
                          <a:prstGeom prst="rect">
                            <a:avLst/>
                          </a:prstGeom>
                          <a:noFill/>
                          <a:ln>
                            <a:noFill/>
                          </a:ln>
                        </pic:spPr>
                      </pic:pic>
                    </a:graphicData>
                  </a:graphic>
                </wp:inline>
              </w:drawing>
            </w:r>
          </w:p>
          <w:p w14:paraId="54AB3F18" w14:textId="77777777" w:rsidR="00DB1D1F" w:rsidRPr="00DB1D1F" w:rsidRDefault="00DB1D1F" w:rsidP="00DB1D1F">
            <w:pPr>
              <w:spacing w:line="240" w:lineRule="auto"/>
              <w:ind w:firstLine="360"/>
              <w:rPr>
                <w:rFonts w:ascii="Times" w:eastAsia="宋体" w:hAnsi="Times"/>
                <w:color w:val="000000"/>
                <w:sz w:val="18"/>
                <w:szCs w:val="18"/>
                <w:lang w:eastAsia="zh-CN"/>
              </w:rPr>
            </w:pPr>
          </w:p>
        </w:tc>
      </w:tr>
      <w:tr w:rsidR="00DB1D1F" w:rsidRPr="00DB1D1F" w14:paraId="1B9F2F15" w14:textId="77777777" w:rsidTr="00D72849">
        <w:trPr>
          <w:trHeight w:val="3002"/>
          <w:jc w:val="center"/>
        </w:trPr>
        <w:tc>
          <w:tcPr>
            <w:tcW w:w="2154" w:type="dxa"/>
            <w:vAlign w:val="center"/>
          </w:tcPr>
          <w:p w14:paraId="490ACB9D" w14:textId="77777777" w:rsidR="00DB1D1F" w:rsidRPr="00DB1D1F" w:rsidRDefault="00DB1D1F" w:rsidP="00DB1D1F">
            <w:pPr>
              <w:ind w:firstLineChars="0" w:firstLine="0"/>
              <w:rPr>
                <w:rFonts w:ascii="Times" w:eastAsia="宋体" w:hAnsi="Times"/>
                <w:b/>
                <w:szCs w:val="28"/>
                <w:lang w:eastAsia="zh-CN" w:bidi="ar-SA"/>
              </w:rPr>
            </w:pPr>
            <w:r w:rsidRPr="00DB1D1F">
              <w:rPr>
                <w:rFonts w:ascii="Times" w:eastAsia="宋体" w:hAnsi="Times" w:hint="eastAsia"/>
                <w:b/>
                <w:szCs w:val="28"/>
                <w:lang w:eastAsia="zh-CN" w:bidi="ar-SA"/>
              </w:rPr>
              <w:lastRenderedPageBreak/>
              <w:t>美股恐慌情绪急速升温。</w:t>
            </w:r>
          </w:p>
        </w:tc>
        <w:tc>
          <w:tcPr>
            <w:tcW w:w="300" w:type="dxa"/>
          </w:tcPr>
          <w:p w14:paraId="3E322472" w14:textId="77777777" w:rsidR="00DB1D1F" w:rsidRPr="00DB1D1F" w:rsidRDefault="00DB1D1F" w:rsidP="00DB1D1F">
            <w:pPr>
              <w:keepNext/>
              <w:keepLines/>
              <w:spacing w:before="260" w:after="260"/>
              <w:ind w:firstLine="480"/>
              <w:rPr>
                <w:rFonts w:ascii="Times" w:eastAsia="宋体" w:hAnsi="Times"/>
                <w:lang w:eastAsia="zh-CN"/>
              </w:rPr>
            </w:pPr>
          </w:p>
        </w:tc>
        <w:tc>
          <w:tcPr>
            <w:tcW w:w="7183" w:type="dxa"/>
          </w:tcPr>
          <w:p w14:paraId="24ACFE29" w14:textId="77777777" w:rsidR="00DB1D1F" w:rsidRPr="00DB1D1F" w:rsidRDefault="00DB1D1F" w:rsidP="00DB1D1F">
            <w:pPr>
              <w:ind w:firstLine="482"/>
              <w:rPr>
                <w:rFonts w:ascii="Times" w:eastAsia="宋体" w:hAnsi="Times"/>
                <w:bCs/>
                <w:lang w:eastAsia="zh-CN"/>
              </w:rPr>
            </w:pPr>
            <w:r w:rsidRPr="00DB1D1F">
              <w:rPr>
                <w:rFonts w:ascii="Times" w:eastAsia="宋体" w:hAnsi="Times" w:hint="eastAsia"/>
                <w:b/>
                <w:lang w:eastAsia="zh-CN"/>
              </w:rPr>
              <w:t>美股恐慌情绪大涨，但美元流动性并未受到影响。</w:t>
            </w:r>
            <w:r w:rsidRPr="00DB1D1F">
              <w:rPr>
                <w:rFonts w:ascii="Times" w:eastAsia="宋体" w:hAnsi="Times" w:hint="eastAsia"/>
                <w:bCs/>
                <w:lang w:eastAsia="zh-CN"/>
              </w:rPr>
              <w:t>3</w:t>
            </w:r>
            <w:r w:rsidRPr="00DB1D1F">
              <w:rPr>
                <w:rFonts w:ascii="Times" w:eastAsia="宋体" w:hAnsi="Times" w:hint="eastAsia"/>
                <w:bCs/>
                <w:lang w:eastAsia="zh-CN"/>
              </w:rPr>
              <w:t>月</w:t>
            </w:r>
            <w:r w:rsidRPr="00DB1D1F">
              <w:rPr>
                <w:rFonts w:ascii="Times" w:eastAsia="宋体" w:hAnsi="Times" w:hint="eastAsia"/>
                <w:bCs/>
                <w:lang w:eastAsia="zh-CN"/>
              </w:rPr>
              <w:t>11</w:t>
            </w:r>
            <w:r w:rsidRPr="00DB1D1F">
              <w:rPr>
                <w:rFonts w:ascii="Times" w:eastAsia="宋体" w:hAnsi="Times" w:hint="eastAsia"/>
                <w:bCs/>
                <w:lang w:eastAsia="zh-CN"/>
              </w:rPr>
              <w:t>日，美股三大股指全部下跌，迎来</w:t>
            </w:r>
            <w:r w:rsidRPr="00DB1D1F">
              <w:rPr>
                <w:rFonts w:ascii="Times" w:eastAsia="宋体" w:hAnsi="Times" w:hint="eastAsia"/>
                <w:bCs/>
                <w:lang w:eastAsia="zh-CN"/>
              </w:rPr>
              <w:t>2025</w:t>
            </w:r>
            <w:r w:rsidRPr="00DB1D1F">
              <w:rPr>
                <w:rFonts w:ascii="Times" w:eastAsia="宋体" w:hAnsi="Times" w:hint="eastAsia"/>
                <w:bCs/>
                <w:lang w:eastAsia="zh-CN"/>
              </w:rPr>
              <w:t>年第一个“黑色星期一”，美股</w:t>
            </w:r>
            <w:r w:rsidRPr="00DB1D1F">
              <w:rPr>
                <w:rFonts w:ascii="Times" w:eastAsia="宋体" w:hAnsi="Times" w:hint="eastAsia"/>
                <w:bCs/>
                <w:lang w:eastAsia="zh-CN"/>
              </w:rPr>
              <w:t>VIX</w:t>
            </w:r>
            <w:r w:rsidRPr="00DB1D1F">
              <w:rPr>
                <w:rFonts w:ascii="Times" w:eastAsia="宋体" w:hAnsi="Times" w:hint="eastAsia"/>
                <w:bCs/>
                <w:lang w:eastAsia="zh-CN"/>
              </w:rPr>
              <w:t>指数当天升至</w:t>
            </w:r>
            <w:r w:rsidRPr="00DB1D1F">
              <w:rPr>
                <w:rFonts w:ascii="Times" w:eastAsia="宋体" w:hAnsi="Times" w:hint="eastAsia"/>
                <w:bCs/>
                <w:lang w:eastAsia="zh-CN"/>
              </w:rPr>
              <w:t>25%</w:t>
            </w:r>
            <w:r w:rsidRPr="00DB1D1F">
              <w:rPr>
                <w:rFonts w:ascii="Times" w:eastAsia="宋体" w:hAnsi="Times" w:hint="eastAsia"/>
                <w:bCs/>
                <w:lang w:eastAsia="zh-CN"/>
              </w:rPr>
              <w:t>以上。</w:t>
            </w:r>
            <w:r w:rsidRPr="00DB1D1F">
              <w:rPr>
                <w:rFonts w:ascii="Times" w:eastAsia="宋体" w:hAnsi="Times" w:hint="eastAsia"/>
                <w:bCs/>
                <w:lang w:eastAsia="zh-CN"/>
              </w:rPr>
              <w:t>4</w:t>
            </w:r>
            <w:r w:rsidRPr="00DB1D1F">
              <w:rPr>
                <w:rFonts w:ascii="Times" w:eastAsia="宋体" w:hAnsi="Times" w:hint="eastAsia"/>
                <w:bCs/>
                <w:lang w:eastAsia="zh-CN"/>
              </w:rPr>
              <w:t>月，“对等关税”清单公布后，美股</w:t>
            </w:r>
            <w:r w:rsidRPr="00DB1D1F">
              <w:rPr>
                <w:rFonts w:ascii="Times" w:eastAsia="宋体" w:hAnsi="Times" w:hint="eastAsia"/>
                <w:bCs/>
                <w:lang w:eastAsia="zh-CN"/>
              </w:rPr>
              <w:t>VIX</w:t>
            </w:r>
            <w:r w:rsidRPr="00DB1D1F">
              <w:rPr>
                <w:rFonts w:ascii="Times" w:eastAsia="宋体" w:hAnsi="Times" w:hint="eastAsia"/>
                <w:bCs/>
                <w:lang w:eastAsia="zh-CN"/>
              </w:rPr>
              <w:t>指数急速上升至</w:t>
            </w:r>
            <w:r w:rsidRPr="00DB1D1F">
              <w:rPr>
                <w:rFonts w:ascii="Times" w:eastAsia="宋体" w:hAnsi="Times" w:hint="eastAsia"/>
                <w:bCs/>
                <w:lang w:eastAsia="zh-CN"/>
              </w:rPr>
              <w:t>50%</w:t>
            </w:r>
            <w:r w:rsidRPr="00DB1D1F">
              <w:rPr>
                <w:rFonts w:ascii="Times" w:eastAsia="宋体" w:hAnsi="Times" w:hint="eastAsia"/>
                <w:bCs/>
                <w:lang w:eastAsia="zh-CN"/>
              </w:rPr>
              <w:t>以上，仅次于</w:t>
            </w:r>
            <w:r w:rsidRPr="00DB1D1F">
              <w:rPr>
                <w:rFonts w:ascii="Times" w:eastAsia="宋体" w:hAnsi="Times" w:hint="eastAsia"/>
                <w:bCs/>
                <w:lang w:eastAsia="zh-CN"/>
              </w:rPr>
              <w:t>2008</w:t>
            </w:r>
            <w:r w:rsidRPr="00DB1D1F">
              <w:rPr>
                <w:rFonts w:ascii="Times" w:eastAsia="宋体" w:hAnsi="Times" w:hint="eastAsia"/>
                <w:bCs/>
                <w:lang w:eastAsia="zh-CN"/>
              </w:rPr>
              <w:t>年金融危机和</w:t>
            </w:r>
            <w:r w:rsidRPr="00DB1D1F">
              <w:rPr>
                <w:rFonts w:ascii="Times" w:eastAsia="宋体" w:hAnsi="Times" w:hint="eastAsia"/>
                <w:bCs/>
                <w:lang w:eastAsia="zh-CN"/>
              </w:rPr>
              <w:t>2020</w:t>
            </w:r>
            <w:r w:rsidRPr="00DB1D1F">
              <w:rPr>
                <w:rFonts w:ascii="Times" w:eastAsia="宋体" w:hAnsi="Times" w:hint="eastAsia"/>
                <w:bCs/>
                <w:lang w:eastAsia="zh-CN"/>
              </w:rPr>
              <w:t>年新冠肺炎疫情初期的水平。但目前来看，资产价格的大跌暂未引发美元流动性危机。</w:t>
            </w:r>
            <w:r w:rsidRPr="00DB1D1F">
              <w:rPr>
                <w:rFonts w:ascii="Times" w:eastAsia="宋体" w:hAnsi="Times"/>
                <w:bCs/>
                <w:lang w:eastAsia="zh-CN"/>
              </w:rPr>
              <w:t>TED</w:t>
            </w:r>
            <w:r w:rsidRPr="00DB1D1F">
              <w:rPr>
                <w:rFonts w:ascii="Times" w:eastAsia="宋体" w:hAnsi="Times" w:hint="eastAsia"/>
                <w:bCs/>
                <w:lang w:eastAsia="zh-CN"/>
              </w:rPr>
              <w:t>利差（美国</w:t>
            </w:r>
            <w:r w:rsidRPr="00DB1D1F">
              <w:rPr>
                <w:rFonts w:ascii="Times" w:eastAsia="宋体" w:hAnsi="Times"/>
                <w:bCs/>
                <w:lang w:eastAsia="zh-CN"/>
              </w:rPr>
              <w:t>3</w:t>
            </w:r>
            <w:r w:rsidRPr="00DB1D1F">
              <w:rPr>
                <w:rFonts w:ascii="Times" w:eastAsia="宋体" w:hAnsi="Times" w:hint="eastAsia"/>
                <w:bCs/>
                <w:lang w:eastAsia="zh-CN"/>
              </w:rPr>
              <w:t>个月</w:t>
            </w:r>
            <w:r w:rsidRPr="00DB1D1F">
              <w:rPr>
                <w:rFonts w:ascii="Times" w:eastAsia="宋体" w:hAnsi="Times"/>
                <w:bCs/>
                <w:lang w:eastAsia="zh-CN"/>
              </w:rPr>
              <w:t>SOFR</w:t>
            </w:r>
            <w:r w:rsidRPr="00DB1D1F">
              <w:rPr>
                <w:rFonts w:ascii="Times" w:eastAsia="宋体" w:hAnsi="Times" w:hint="eastAsia"/>
                <w:bCs/>
                <w:lang w:eastAsia="zh-CN"/>
              </w:rPr>
              <w:t>利率</w:t>
            </w:r>
            <w:r w:rsidRPr="00DB1D1F">
              <w:rPr>
                <w:rFonts w:ascii="Times" w:eastAsia="宋体" w:hAnsi="Times"/>
                <w:bCs/>
                <w:lang w:eastAsia="zh-CN"/>
              </w:rPr>
              <w:t>-</w:t>
            </w:r>
            <w:r w:rsidRPr="00DB1D1F">
              <w:rPr>
                <w:rFonts w:ascii="Times" w:eastAsia="宋体" w:hAnsi="Times" w:hint="eastAsia"/>
                <w:bCs/>
                <w:lang w:eastAsia="zh-CN"/>
              </w:rPr>
              <w:t>美国</w:t>
            </w:r>
            <w:r w:rsidRPr="00DB1D1F">
              <w:rPr>
                <w:rFonts w:ascii="Times" w:eastAsia="宋体" w:hAnsi="Times"/>
                <w:bCs/>
                <w:lang w:eastAsia="zh-CN"/>
              </w:rPr>
              <w:t>3</w:t>
            </w:r>
            <w:r w:rsidRPr="00DB1D1F">
              <w:rPr>
                <w:rFonts w:ascii="Times" w:eastAsia="宋体" w:hAnsi="Times" w:hint="eastAsia"/>
                <w:bCs/>
                <w:lang w:eastAsia="zh-CN"/>
              </w:rPr>
              <w:t>个月国债收益率）略有上升，表示美元流动性有所趋紧，但依然保持在</w:t>
            </w:r>
            <w:r w:rsidRPr="00DB1D1F">
              <w:rPr>
                <w:rFonts w:ascii="Times" w:eastAsia="宋体" w:hAnsi="Times" w:hint="eastAsia"/>
                <w:bCs/>
                <w:lang w:eastAsia="zh-CN"/>
              </w:rPr>
              <w:t>-0.01%</w:t>
            </w:r>
            <w:r w:rsidRPr="00DB1D1F">
              <w:rPr>
                <w:rFonts w:ascii="Times" w:eastAsia="宋体" w:hAnsi="Times" w:hint="eastAsia"/>
                <w:bCs/>
                <w:lang w:eastAsia="zh-CN"/>
              </w:rPr>
              <w:t>左右的低位。</w:t>
            </w:r>
          </w:p>
        </w:tc>
      </w:tr>
      <w:tr w:rsidR="00DB1D1F" w:rsidRPr="00DB1D1F" w14:paraId="1266C616" w14:textId="77777777" w:rsidTr="00D72849">
        <w:trPr>
          <w:trHeight w:val="422"/>
          <w:jc w:val="center"/>
        </w:trPr>
        <w:tc>
          <w:tcPr>
            <w:tcW w:w="9637" w:type="dxa"/>
            <w:gridSpan w:val="3"/>
          </w:tcPr>
          <w:p w14:paraId="44DDF758" w14:textId="6AFE50DF" w:rsidR="00DB1D1F" w:rsidRPr="00DB1D1F" w:rsidRDefault="00D37774" w:rsidP="00D37774">
            <w:pPr>
              <w:pStyle w:val="a4"/>
              <w:rPr>
                <w:szCs w:val="18"/>
              </w:rPr>
            </w:pPr>
            <w:bookmarkStart w:id="78" w:name="_Toc196399442"/>
            <w:r>
              <w:rPr>
                <w:rFonts w:hint="eastAsia"/>
              </w:rPr>
              <w:lastRenderedPageBreak/>
              <w:t xml:space="preserve">图表 </w:t>
            </w:r>
            <w:r>
              <w:rPr>
                <w:rFonts w:hint="eastAsia"/>
              </w:rPr>
              <w:fldChar w:fldCharType="begin"/>
            </w:r>
            <w:r>
              <w:rPr>
                <w:rFonts w:hint="eastAsia"/>
              </w:rPr>
              <w:instrText xml:space="preserve"> SEQ 图表 \* ARABIC </w:instrText>
            </w:r>
            <w:r>
              <w:rPr>
                <w:rFonts w:hint="eastAsia"/>
              </w:rPr>
              <w:fldChar w:fldCharType="separate"/>
            </w:r>
            <w:r w:rsidR="00530ED7">
              <w:rPr>
                <w:rFonts w:hint="eastAsia"/>
                <w:noProof/>
              </w:rPr>
              <w:t>31</w:t>
            </w:r>
            <w:r>
              <w:rPr>
                <w:rFonts w:hint="eastAsia"/>
              </w:rPr>
              <w:fldChar w:fldCharType="end"/>
            </w:r>
            <w:r>
              <w:rPr>
                <w:rFonts w:hint="eastAsia"/>
              </w:rPr>
              <w:t xml:space="preserve"> </w:t>
            </w:r>
            <w:r w:rsidR="00DB1D1F" w:rsidRPr="00DB1D1F">
              <w:t xml:space="preserve"> </w:t>
            </w:r>
            <w:r w:rsidR="00DB1D1F" w:rsidRPr="00DB1D1F">
              <w:rPr>
                <w:rFonts w:hint="eastAsia"/>
              </w:rPr>
              <w:t>全球金融市场风险状况图</w:t>
            </w:r>
            <w:bookmarkEnd w:id="78"/>
          </w:p>
        </w:tc>
      </w:tr>
      <w:tr w:rsidR="00DB1D1F" w:rsidRPr="00DB1D1F" w14:paraId="1E9F1F18" w14:textId="77777777" w:rsidTr="00D72849">
        <w:trPr>
          <w:trHeight w:val="4200"/>
          <w:jc w:val="center"/>
        </w:trPr>
        <w:tc>
          <w:tcPr>
            <w:tcW w:w="9637" w:type="dxa"/>
            <w:gridSpan w:val="3"/>
          </w:tcPr>
          <w:p w14:paraId="0BC9E8AD" w14:textId="77777777" w:rsidR="00DB1D1F" w:rsidRPr="00DB1D1F" w:rsidRDefault="00DB1D1F" w:rsidP="00DB1D1F">
            <w:pPr>
              <w:widowControl w:val="0"/>
              <w:ind w:firstLineChars="0" w:firstLine="0"/>
              <w:jc w:val="center"/>
              <w:rPr>
                <w:rFonts w:ascii="Times" w:eastAsia="宋体" w:hAnsi="Times"/>
                <w:bCs/>
                <w:sz w:val="21"/>
                <w:szCs w:val="18"/>
                <w:lang w:eastAsia="zh-CN"/>
              </w:rPr>
            </w:pPr>
            <w:r w:rsidRPr="00DB1D1F">
              <w:rPr>
                <w:rFonts w:ascii="等线" w:eastAsia="等线" w:hAnsi="等线"/>
                <w:noProof/>
                <w:sz w:val="21"/>
                <w:szCs w:val="22"/>
                <w:lang w:eastAsia="zh-CN" w:bidi="ar-SA"/>
              </w:rPr>
              <w:drawing>
                <wp:inline distT="0" distB="0" distL="114300" distR="114300" wp14:anchorId="00A37F9F" wp14:editId="1B63B328">
                  <wp:extent cx="5974080" cy="3312160"/>
                  <wp:effectExtent l="0" t="0" r="7620" b="254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56"/>
                          <a:stretch>
                            <a:fillRect/>
                          </a:stretch>
                        </pic:blipFill>
                        <pic:spPr>
                          <a:xfrm>
                            <a:off x="0" y="0"/>
                            <a:ext cx="5974080" cy="3312160"/>
                          </a:xfrm>
                          <a:prstGeom prst="rect">
                            <a:avLst/>
                          </a:prstGeom>
                          <a:noFill/>
                          <a:ln>
                            <a:noFill/>
                          </a:ln>
                        </pic:spPr>
                      </pic:pic>
                    </a:graphicData>
                  </a:graphic>
                </wp:inline>
              </w:drawing>
            </w:r>
          </w:p>
          <w:p w14:paraId="5BEFEE8B" w14:textId="77777777" w:rsidR="00DB1D1F" w:rsidRPr="00DB1D1F" w:rsidRDefault="00DB1D1F" w:rsidP="00DB1D1F">
            <w:pPr>
              <w:spacing w:line="240" w:lineRule="auto"/>
              <w:ind w:firstLine="360"/>
              <w:jc w:val="left"/>
              <w:rPr>
                <w:rFonts w:ascii="Times" w:eastAsia="宋体" w:hAnsi="Times"/>
                <w:sz w:val="18"/>
                <w:szCs w:val="18"/>
                <w:lang w:eastAsia="zh-CN"/>
              </w:rPr>
            </w:pPr>
            <w:r w:rsidRPr="00DB1D1F">
              <w:rPr>
                <w:rFonts w:ascii="Times" w:eastAsia="宋体" w:hAnsi="Times" w:hint="eastAsia"/>
                <w:color w:val="000000"/>
                <w:sz w:val="18"/>
                <w:szCs w:val="18"/>
                <w:lang w:eastAsia="zh-CN"/>
              </w:rPr>
              <w:t>注：数据来自</w:t>
            </w:r>
            <w:r w:rsidRPr="00DB1D1F">
              <w:rPr>
                <w:rFonts w:ascii="Times" w:eastAsia="宋体" w:hAnsi="Times"/>
                <w:color w:val="000000"/>
                <w:sz w:val="18"/>
                <w:szCs w:val="18"/>
                <w:lang w:eastAsia="zh-CN"/>
              </w:rPr>
              <w:t>Wind</w:t>
            </w:r>
            <w:r w:rsidRPr="00DB1D1F">
              <w:rPr>
                <w:rFonts w:ascii="Times" w:eastAsia="宋体" w:hAnsi="Times" w:hint="eastAsia"/>
                <w:color w:val="000000"/>
                <w:sz w:val="18"/>
                <w:szCs w:val="18"/>
                <w:lang w:eastAsia="zh-CN"/>
              </w:rPr>
              <w:t>数据库。阴影部分为</w:t>
            </w:r>
            <w:r w:rsidRPr="00DB1D1F">
              <w:rPr>
                <w:rFonts w:ascii="Times" w:eastAsia="宋体" w:hAnsi="Times"/>
                <w:color w:val="000000"/>
                <w:sz w:val="18"/>
                <w:szCs w:val="18"/>
                <w:lang w:eastAsia="zh-CN"/>
              </w:rPr>
              <w:t>202</w:t>
            </w:r>
            <w:r w:rsidRPr="00DB1D1F">
              <w:rPr>
                <w:rFonts w:ascii="Times" w:eastAsia="宋体" w:hAnsi="Times" w:hint="eastAsia"/>
                <w:color w:val="000000"/>
                <w:sz w:val="18"/>
                <w:szCs w:val="18"/>
                <w:lang w:eastAsia="zh-CN"/>
              </w:rPr>
              <w:t>5</w:t>
            </w:r>
            <w:r w:rsidRPr="00DB1D1F">
              <w:rPr>
                <w:rFonts w:ascii="Times" w:eastAsia="宋体" w:hAnsi="Times" w:hint="eastAsia"/>
                <w:color w:val="000000"/>
                <w:sz w:val="18"/>
                <w:szCs w:val="18"/>
                <w:lang w:eastAsia="zh-CN"/>
              </w:rPr>
              <w:t>年第</w:t>
            </w:r>
            <w:r w:rsidRPr="00DB1D1F">
              <w:rPr>
                <w:rFonts w:ascii="Times" w:eastAsia="宋体" w:hAnsi="Times" w:hint="eastAsia"/>
                <w:color w:val="000000"/>
                <w:sz w:val="18"/>
                <w:szCs w:val="18"/>
                <w:lang w:eastAsia="zh-CN"/>
              </w:rPr>
              <w:t>1</w:t>
            </w:r>
            <w:r w:rsidRPr="00DB1D1F">
              <w:rPr>
                <w:rFonts w:ascii="Times" w:eastAsia="宋体" w:hAnsi="Times" w:hint="eastAsia"/>
                <w:color w:val="000000"/>
                <w:sz w:val="18"/>
                <w:szCs w:val="18"/>
                <w:lang w:eastAsia="zh-CN"/>
              </w:rPr>
              <w:t>季度。</w:t>
            </w:r>
          </w:p>
        </w:tc>
      </w:tr>
      <w:tr w:rsidR="00DB1D1F" w:rsidRPr="00DB1D1F" w14:paraId="51DD80A2" w14:textId="77777777" w:rsidTr="00D72849">
        <w:trPr>
          <w:trHeight w:val="851"/>
          <w:jc w:val="center"/>
        </w:trPr>
        <w:tc>
          <w:tcPr>
            <w:tcW w:w="2154" w:type="dxa"/>
            <w:vAlign w:val="center"/>
          </w:tcPr>
          <w:p w14:paraId="597891F7" w14:textId="77777777" w:rsidR="00DB1D1F" w:rsidRPr="00DB1D1F" w:rsidRDefault="00DB1D1F" w:rsidP="00DB1D1F">
            <w:pPr>
              <w:ind w:firstLineChars="0" w:firstLine="0"/>
              <w:rPr>
                <w:rFonts w:ascii="Times" w:eastAsia="宋体" w:hAnsi="Times"/>
                <w:b/>
                <w:szCs w:val="28"/>
                <w:lang w:eastAsia="zh-CN" w:bidi="ar-SA"/>
              </w:rPr>
            </w:pPr>
            <w:r w:rsidRPr="00DB1D1F">
              <w:rPr>
                <w:rFonts w:ascii="Times" w:eastAsia="宋体" w:hAnsi="Times" w:hint="eastAsia"/>
                <w:b/>
                <w:szCs w:val="28"/>
                <w:lang w:eastAsia="zh-CN" w:bidi="ar-SA"/>
              </w:rPr>
              <w:t>美元贬值，其他经济体货币多升值。</w:t>
            </w:r>
          </w:p>
        </w:tc>
        <w:tc>
          <w:tcPr>
            <w:tcW w:w="300" w:type="dxa"/>
          </w:tcPr>
          <w:p w14:paraId="01849E0E" w14:textId="77777777" w:rsidR="00DB1D1F" w:rsidRPr="00DB1D1F" w:rsidRDefault="00DB1D1F" w:rsidP="00DB1D1F">
            <w:pPr>
              <w:keepNext/>
              <w:keepLines/>
              <w:spacing w:before="260" w:after="260"/>
              <w:ind w:firstLine="480"/>
              <w:rPr>
                <w:rFonts w:ascii="Times" w:eastAsia="宋体" w:hAnsi="Times"/>
                <w:lang w:eastAsia="zh-CN"/>
              </w:rPr>
            </w:pPr>
          </w:p>
        </w:tc>
        <w:tc>
          <w:tcPr>
            <w:tcW w:w="7183" w:type="dxa"/>
          </w:tcPr>
          <w:p w14:paraId="57B03316" w14:textId="77777777" w:rsidR="00DB1D1F" w:rsidRPr="00DB1D1F" w:rsidRDefault="00DB1D1F" w:rsidP="00DB1D1F">
            <w:pPr>
              <w:widowControl w:val="0"/>
              <w:numPr>
                <w:ilvl w:val="0"/>
                <w:numId w:val="2"/>
              </w:numPr>
              <w:spacing w:beforeLines="50" w:before="163" w:line="240" w:lineRule="auto"/>
              <w:ind w:left="0" w:firstLineChars="0"/>
              <w:rPr>
                <w:rFonts w:ascii="Times" w:eastAsia="宋体" w:hAnsi="Times"/>
                <w:b/>
                <w:color w:val="000000"/>
                <w:sz w:val="28"/>
                <w:lang w:eastAsia="zh-CN" w:bidi="ar-SA"/>
              </w:rPr>
            </w:pPr>
            <w:r w:rsidRPr="00DB1D1F">
              <w:rPr>
                <w:rFonts w:ascii="Times" w:eastAsia="宋体" w:hAnsi="Times" w:hint="eastAsia"/>
                <w:b/>
                <w:sz w:val="28"/>
                <w:szCs w:val="28"/>
                <w:lang w:eastAsia="zh-CN" w:bidi="ar-SA"/>
              </w:rPr>
              <w:t>二、全球金融分市场运行态势</w:t>
            </w:r>
          </w:p>
          <w:p w14:paraId="1DA4AF15" w14:textId="77777777" w:rsidR="00DB1D1F" w:rsidRPr="00DB1D1F" w:rsidRDefault="00DB1D1F" w:rsidP="00DB1D1F">
            <w:pPr>
              <w:ind w:firstLine="482"/>
              <w:contextualSpacing/>
              <w:rPr>
                <w:rFonts w:ascii="Times" w:eastAsia="宋体" w:hAnsi="Times"/>
                <w:bCs/>
                <w:color w:val="000000"/>
                <w:kern w:val="0"/>
                <w:szCs w:val="22"/>
                <w:lang w:eastAsia="zh-CN"/>
              </w:rPr>
            </w:pPr>
            <w:r w:rsidRPr="00DB1D1F">
              <w:rPr>
                <w:rFonts w:ascii="Times" w:eastAsia="宋体" w:hAnsi="Times" w:hint="eastAsia"/>
                <w:b/>
                <w:color w:val="000000"/>
                <w:kern w:val="0"/>
                <w:szCs w:val="22"/>
                <w:lang w:eastAsia="zh-CN"/>
              </w:rPr>
              <w:t>美元贬值，其他主要货币多升值。</w:t>
            </w:r>
            <w:r w:rsidRPr="00DB1D1F">
              <w:rPr>
                <w:rFonts w:ascii="Times" w:eastAsia="宋体" w:hAnsi="Times" w:hint="eastAsia"/>
                <w:bCs/>
                <w:color w:val="000000"/>
                <w:kern w:val="0"/>
                <w:szCs w:val="22"/>
                <w:lang w:eastAsia="zh-CN"/>
              </w:rPr>
              <w:t>2025</w:t>
            </w:r>
            <w:r w:rsidRPr="00DB1D1F">
              <w:rPr>
                <w:rFonts w:ascii="Times" w:eastAsia="宋体" w:hAnsi="Times" w:hint="eastAsia"/>
                <w:bCs/>
                <w:color w:val="000000"/>
                <w:kern w:val="0"/>
                <w:szCs w:val="22"/>
                <w:lang w:eastAsia="zh-CN"/>
              </w:rPr>
              <w:t>年</w:t>
            </w:r>
            <w:r w:rsidRPr="00DB1D1F">
              <w:rPr>
                <w:rFonts w:ascii="Times" w:eastAsia="宋体" w:hAnsi="Times" w:hint="eastAsia"/>
                <w:bCs/>
                <w:color w:val="000000"/>
                <w:kern w:val="0"/>
                <w:szCs w:val="22"/>
                <w:lang w:eastAsia="zh-CN"/>
              </w:rPr>
              <w:t>1</w:t>
            </w:r>
            <w:r w:rsidRPr="00DB1D1F">
              <w:rPr>
                <w:rFonts w:ascii="Times" w:eastAsia="宋体" w:hAnsi="Times" w:hint="eastAsia"/>
                <w:bCs/>
                <w:color w:val="000000"/>
                <w:kern w:val="0"/>
                <w:szCs w:val="22"/>
                <w:lang w:eastAsia="zh-CN"/>
              </w:rPr>
              <w:t>季度，受衰退预期和恐慌情绪影响，美元持续贬值，单季度贬值</w:t>
            </w:r>
            <w:r w:rsidRPr="00DB1D1F">
              <w:rPr>
                <w:rFonts w:ascii="Times" w:eastAsia="宋体" w:hAnsi="Times" w:hint="eastAsia"/>
                <w:bCs/>
                <w:color w:val="000000"/>
                <w:kern w:val="0"/>
                <w:szCs w:val="22"/>
                <w:lang w:eastAsia="zh-CN"/>
              </w:rPr>
              <w:t>4%</w:t>
            </w:r>
            <w:r w:rsidRPr="00DB1D1F">
              <w:rPr>
                <w:rFonts w:ascii="Times" w:eastAsia="宋体" w:hAnsi="Times" w:hint="eastAsia"/>
                <w:bCs/>
                <w:color w:val="000000"/>
                <w:kern w:val="0"/>
                <w:szCs w:val="22"/>
                <w:lang w:eastAsia="zh-CN"/>
              </w:rPr>
              <w:t>，其他主要经济体货币多升值。发达经济体中，日元、欧元、英镑升值幅度均较大，分别升值</w:t>
            </w:r>
            <w:r w:rsidRPr="00DB1D1F">
              <w:rPr>
                <w:rFonts w:ascii="Times" w:eastAsia="宋体" w:hAnsi="Times" w:hint="eastAsia"/>
                <w:bCs/>
                <w:color w:val="000000"/>
                <w:kern w:val="0"/>
                <w:szCs w:val="22"/>
                <w:lang w:eastAsia="zh-CN"/>
              </w:rPr>
              <w:t>5.3%</w:t>
            </w:r>
            <w:r w:rsidRPr="00DB1D1F">
              <w:rPr>
                <w:rFonts w:ascii="Times" w:eastAsia="宋体" w:hAnsi="Times" w:hint="eastAsia"/>
                <w:bCs/>
                <w:color w:val="000000"/>
                <w:kern w:val="0"/>
                <w:szCs w:val="22"/>
                <w:lang w:eastAsia="zh-CN"/>
              </w:rPr>
              <w:t>、</w:t>
            </w:r>
            <w:r w:rsidRPr="00DB1D1F">
              <w:rPr>
                <w:rFonts w:ascii="Times" w:eastAsia="宋体" w:hAnsi="Times" w:hint="eastAsia"/>
                <w:bCs/>
                <w:color w:val="000000"/>
                <w:kern w:val="0"/>
                <w:szCs w:val="22"/>
                <w:lang w:eastAsia="zh-CN"/>
              </w:rPr>
              <w:t>4.1%</w:t>
            </w:r>
            <w:r w:rsidRPr="00DB1D1F">
              <w:rPr>
                <w:rFonts w:ascii="Times" w:eastAsia="宋体" w:hAnsi="Times" w:hint="eastAsia"/>
                <w:bCs/>
                <w:color w:val="000000"/>
                <w:kern w:val="0"/>
                <w:szCs w:val="22"/>
                <w:lang w:eastAsia="zh-CN"/>
              </w:rPr>
              <w:t>、</w:t>
            </w:r>
            <w:r w:rsidRPr="00DB1D1F">
              <w:rPr>
                <w:rFonts w:ascii="Times" w:eastAsia="宋体" w:hAnsi="Times" w:hint="eastAsia"/>
                <w:bCs/>
                <w:color w:val="000000"/>
                <w:kern w:val="0"/>
                <w:szCs w:val="22"/>
                <w:lang w:eastAsia="zh-CN"/>
              </w:rPr>
              <w:t>3%</w:t>
            </w:r>
            <w:r w:rsidRPr="00DB1D1F">
              <w:rPr>
                <w:rFonts w:ascii="Times" w:eastAsia="宋体" w:hAnsi="Times" w:hint="eastAsia"/>
                <w:bCs/>
                <w:color w:val="000000"/>
                <w:kern w:val="0"/>
                <w:szCs w:val="22"/>
                <w:lang w:eastAsia="zh-CN"/>
              </w:rPr>
              <w:t>，新加坡元、澳元分别升值</w:t>
            </w:r>
            <w:r w:rsidRPr="00DB1D1F">
              <w:rPr>
                <w:rFonts w:ascii="Times" w:eastAsia="宋体" w:hAnsi="Times" w:hint="eastAsia"/>
                <w:bCs/>
                <w:color w:val="000000"/>
                <w:kern w:val="0"/>
                <w:szCs w:val="22"/>
                <w:lang w:eastAsia="zh-CN"/>
              </w:rPr>
              <w:t>1.4%</w:t>
            </w:r>
            <w:r w:rsidRPr="00DB1D1F">
              <w:rPr>
                <w:rFonts w:ascii="Times" w:eastAsia="宋体" w:hAnsi="Times" w:hint="eastAsia"/>
                <w:bCs/>
                <w:color w:val="000000"/>
                <w:kern w:val="0"/>
                <w:szCs w:val="22"/>
                <w:lang w:eastAsia="zh-CN"/>
              </w:rPr>
              <w:t>、</w:t>
            </w:r>
            <w:r w:rsidRPr="00DB1D1F">
              <w:rPr>
                <w:rFonts w:ascii="Times" w:eastAsia="宋体" w:hAnsi="Times" w:hint="eastAsia"/>
                <w:bCs/>
                <w:color w:val="000000"/>
                <w:kern w:val="0"/>
                <w:szCs w:val="22"/>
                <w:lang w:eastAsia="zh-CN"/>
              </w:rPr>
              <w:t>1%</w:t>
            </w:r>
            <w:r w:rsidRPr="00DB1D1F">
              <w:rPr>
                <w:rFonts w:ascii="Times" w:eastAsia="宋体" w:hAnsi="Times" w:hint="eastAsia"/>
                <w:bCs/>
                <w:color w:val="000000"/>
                <w:kern w:val="0"/>
                <w:szCs w:val="22"/>
                <w:lang w:eastAsia="zh-CN"/>
              </w:rPr>
              <w:t>。主要新兴经济体中，或受俄罗斯、乌克兰、美国开始谈判影响，俄罗斯卢布大涨，一季度升值</w:t>
            </w:r>
            <w:r w:rsidRPr="00DB1D1F">
              <w:rPr>
                <w:rFonts w:ascii="Times" w:eastAsia="宋体" w:hAnsi="Times" w:hint="eastAsia"/>
                <w:bCs/>
                <w:color w:val="000000"/>
                <w:kern w:val="0"/>
                <w:szCs w:val="22"/>
                <w:lang w:eastAsia="zh-CN"/>
              </w:rPr>
              <w:t>17.7%</w:t>
            </w:r>
            <w:r w:rsidRPr="00DB1D1F">
              <w:rPr>
                <w:rFonts w:ascii="Times" w:eastAsia="宋体" w:hAnsi="Times" w:hint="eastAsia"/>
                <w:bCs/>
                <w:color w:val="000000"/>
                <w:kern w:val="0"/>
                <w:szCs w:val="22"/>
                <w:lang w:eastAsia="zh-CN"/>
              </w:rPr>
              <w:t>。因通胀较高，巴西央行加息，巴西雷亚尔一季度升值</w:t>
            </w:r>
            <w:r w:rsidRPr="00DB1D1F">
              <w:rPr>
                <w:rFonts w:ascii="Times" w:eastAsia="宋体" w:hAnsi="Times" w:hint="eastAsia"/>
                <w:bCs/>
                <w:color w:val="000000"/>
                <w:kern w:val="0"/>
                <w:szCs w:val="22"/>
                <w:lang w:eastAsia="zh-CN"/>
              </w:rPr>
              <w:t>7.2%</w:t>
            </w:r>
            <w:r w:rsidRPr="00DB1D1F">
              <w:rPr>
                <w:rFonts w:ascii="Times" w:eastAsia="宋体" w:hAnsi="Times" w:hint="eastAsia"/>
                <w:bCs/>
                <w:color w:val="000000"/>
                <w:kern w:val="0"/>
                <w:szCs w:val="22"/>
                <w:lang w:eastAsia="zh-CN"/>
              </w:rPr>
              <w:t>。人民币和部分东南亚经济体货币总体保持稳定，小幅升值或小幅贬值。其中，泰铢、人民币分别升值</w:t>
            </w:r>
            <w:r w:rsidRPr="00DB1D1F">
              <w:rPr>
                <w:rFonts w:ascii="Times" w:eastAsia="宋体" w:hAnsi="Times" w:hint="eastAsia"/>
                <w:bCs/>
                <w:color w:val="000000"/>
                <w:kern w:val="0"/>
                <w:szCs w:val="22"/>
                <w:lang w:eastAsia="zh-CN"/>
              </w:rPr>
              <w:t>0.2%</w:t>
            </w:r>
            <w:r w:rsidRPr="00DB1D1F">
              <w:rPr>
                <w:rFonts w:ascii="Times" w:eastAsia="宋体" w:hAnsi="Times" w:hint="eastAsia"/>
                <w:bCs/>
                <w:color w:val="000000"/>
                <w:kern w:val="0"/>
                <w:szCs w:val="22"/>
                <w:lang w:eastAsia="zh-CN"/>
              </w:rPr>
              <w:t>、</w:t>
            </w:r>
            <w:r w:rsidRPr="00DB1D1F">
              <w:rPr>
                <w:rFonts w:ascii="Times" w:eastAsia="宋体" w:hAnsi="Times" w:hint="eastAsia"/>
                <w:bCs/>
                <w:color w:val="000000"/>
                <w:kern w:val="0"/>
                <w:szCs w:val="22"/>
                <w:lang w:eastAsia="zh-CN"/>
              </w:rPr>
              <w:t>0.1%</w:t>
            </w:r>
            <w:r w:rsidRPr="00DB1D1F">
              <w:rPr>
                <w:rFonts w:ascii="Times" w:eastAsia="宋体" w:hAnsi="Times" w:hint="eastAsia"/>
                <w:bCs/>
                <w:color w:val="000000"/>
                <w:kern w:val="0"/>
                <w:szCs w:val="22"/>
                <w:lang w:eastAsia="zh-CN"/>
              </w:rPr>
              <w:t>，印度卢比相对稳定。新台币、越南盾、印尼卢比贬值幅度相对明显，较上季末分别贬值</w:t>
            </w:r>
            <w:r w:rsidRPr="00DB1D1F">
              <w:rPr>
                <w:rFonts w:ascii="Times" w:eastAsia="宋体" w:hAnsi="Times" w:hint="eastAsia"/>
                <w:bCs/>
                <w:color w:val="000000"/>
                <w:kern w:val="0"/>
                <w:szCs w:val="22"/>
                <w:lang w:eastAsia="zh-CN"/>
              </w:rPr>
              <w:t>1.2%</w:t>
            </w:r>
            <w:r w:rsidRPr="00DB1D1F">
              <w:rPr>
                <w:rFonts w:ascii="Times" w:eastAsia="宋体" w:hAnsi="Times" w:hint="eastAsia"/>
                <w:bCs/>
                <w:color w:val="000000"/>
                <w:kern w:val="0"/>
                <w:szCs w:val="22"/>
                <w:lang w:eastAsia="zh-CN"/>
              </w:rPr>
              <w:t>、</w:t>
            </w:r>
            <w:r w:rsidRPr="00DB1D1F">
              <w:rPr>
                <w:rFonts w:ascii="Times" w:eastAsia="宋体" w:hAnsi="Times" w:hint="eastAsia"/>
                <w:bCs/>
                <w:color w:val="000000"/>
                <w:kern w:val="0"/>
                <w:szCs w:val="22"/>
                <w:lang w:eastAsia="zh-CN"/>
              </w:rPr>
              <w:t>2.1%</w:t>
            </w:r>
            <w:r w:rsidRPr="00DB1D1F">
              <w:rPr>
                <w:rFonts w:ascii="Times" w:eastAsia="宋体" w:hAnsi="Times" w:hint="eastAsia"/>
                <w:bCs/>
                <w:color w:val="000000"/>
                <w:kern w:val="0"/>
                <w:szCs w:val="22"/>
                <w:lang w:eastAsia="zh-CN"/>
              </w:rPr>
              <w:t>、</w:t>
            </w:r>
            <w:r w:rsidRPr="00DB1D1F">
              <w:rPr>
                <w:rFonts w:ascii="Times" w:eastAsia="宋体" w:hAnsi="Times" w:hint="eastAsia"/>
                <w:bCs/>
                <w:color w:val="000000"/>
                <w:kern w:val="0"/>
                <w:szCs w:val="22"/>
                <w:lang w:eastAsia="zh-CN"/>
              </w:rPr>
              <w:t>2.5%</w:t>
            </w:r>
            <w:r w:rsidRPr="00DB1D1F">
              <w:rPr>
                <w:rFonts w:ascii="Times" w:eastAsia="宋体" w:hAnsi="Times" w:hint="eastAsia"/>
                <w:bCs/>
                <w:color w:val="000000"/>
                <w:kern w:val="0"/>
                <w:szCs w:val="22"/>
                <w:lang w:eastAsia="zh-CN"/>
              </w:rPr>
              <w:t>。阿根廷、土耳其等高风险货币继续大幅贬值。</w:t>
            </w:r>
          </w:p>
        </w:tc>
      </w:tr>
      <w:tr w:rsidR="00DB1D1F" w:rsidRPr="00DB1D1F" w14:paraId="3D9EF0D9" w14:textId="77777777" w:rsidTr="00D72849">
        <w:trPr>
          <w:trHeight w:val="851"/>
          <w:jc w:val="center"/>
        </w:trPr>
        <w:tc>
          <w:tcPr>
            <w:tcW w:w="9637" w:type="dxa"/>
            <w:gridSpan w:val="3"/>
          </w:tcPr>
          <w:p w14:paraId="399CB60C" w14:textId="5B1150E2" w:rsidR="00DB1D1F" w:rsidRPr="00DB1D1F" w:rsidRDefault="00D37774" w:rsidP="00D37774">
            <w:pPr>
              <w:pStyle w:val="a4"/>
            </w:pPr>
            <w:bookmarkStart w:id="79" w:name="_Toc196399443"/>
            <w:r>
              <w:rPr>
                <w:rFonts w:hint="eastAsia"/>
              </w:rPr>
              <w:lastRenderedPageBreak/>
              <w:t xml:space="preserve">图表 </w:t>
            </w:r>
            <w:r>
              <w:rPr>
                <w:rFonts w:hint="eastAsia"/>
              </w:rPr>
              <w:fldChar w:fldCharType="begin"/>
            </w:r>
            <w:r>
              <w:rPr>
                <w:rFonts w:hint="eastAsia"/>
              </w:rPr>
              <w:instrText xml:space="preserve"> SEQ 图表 \* ARABIC </w:instrText>
            </w:r>
            <w:r>
              <w:rPr>
                <w:rFonts w:hint="eastAsia"/>
              </w:rPr>
              <w:fldChar w:fldCharType="separate"/>
            </w:r>
            <w:r w:rsidR="00530ED7">
              <w:rPr>
                <w:rFonts w:hint="eastAsia"/>
                <w:noProof/>
              </w:rPr>
              <w:t>32</w:t>
            </w:r>
            <w:r>
              <w:rPr>
                <w:rFonts w:hint="eastAsia"/>
              </w:rPr>
              <w:fldChar w:fldCharType="end"/>
            </w:r>
            <w:r w:rsidRPr="00D37774">
              <w:t xml:space="preserve">  </w:t>
            </w:r>
            <w:r w:rsidR="00DB1D1F" w:rsidRPr="00DB1D1F">
              <w:rPr>
                <w:rFonts w:hint="eastAsia"/>
              </w:rPr>
              <w:t>主要发达和新兴经济体季度汇率波动幅度（</w:t>
            </w:r>
            <w:r w:rsidR="00DB1D1F" w:rsidRPr="00DB1D1F">
              <w:t>202</w:t>
            </w:r>
            <w:r w:rsidR="00DB1D1F" w:rsidRPr="00DB1D1F">
              <w:rPr>
                <w:rFonts w:hint="eastAsia"/>
              </w:rPr>
              <w:t>5年一季度）</w:t>
            </w:r>
            <w:bookmarkEnd w:id="79"/>
          </w:p>
          <w:p w14:paraId="4C00B31D" w14:textId="77777777" w:rsidR="00DB1D1F" w:rsidRPr="00DB1D1F" w:rsidRDefault="00DB1D1F" w:rsidP="00DB1D1F">
            <w:pPr>
              <w:widowControl w:val="0"/>
              <w:spacing w:beforeLines="50" w:before="163"/>
              <w:ind w:firstLineChars="0" w:firstLine="0"/>
              <w:jc w:val="center"/>
              <w:rPr>
                <w:rFonts w:ascii="Times" w:eastAsia="宋体" w:hAnsi="Times"/>
                <w:b/>
                <w:bCs/>
                <w:sz w:val="18"/>
                <w:szCs w:val="18"/>
                <w:lang w:eastAsia="zh-CN"/>
              </w:rPr>
            </w:pPr>
            <w:r w:rsidRPr="00DB1D1F">
              <w:rPr>
                <w:rFonts w:ascii="等线" w:eastAsia="等线" w:hAnsi="等线"/>
                <w:noProof/>
                <w:sz w:val="21"/>
                <w:szCs w:val="22"/>
                <w:lang w:eastAsia="zh-CN" w:bidi="ar-SA"/>
              </w:rPr>
              <w:drawing>
                <wp:inline distT="0" distB="0" distL="114300" distR="114300" wp14:anchorId="5ADCC871" wp14:editId="63028442">
                  <wp:extent cx="5977890" cy="3282315"/>
                  <wp:effectExtent l="0" t="0" r="3810" b="13335"/>
                  <wp:docPr id="1669444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57"/>
                          <a:stretch>
                            <a:fillRect/>
                          </a:stretch>
                        </pic:blipFill>
                        <pic:spPr>
                          <a:xfrm>
                            <a:off x="0" y="0"/>
                            <a:ext cx="5977890" cy="3282315"/>
                          </a:xfrm>
                          <a:prstGeom prst="rect">
                            <a:avLst/>
                          </a:prstGeom>
                          <a:noFill/>
                          <a:ln>
                            <a:noFill/>
                          </a:ln>
                        </pic:spPr>
                      </pic:pic>
                    </a:graphicData>
                  </a:graphic>
                </wp:inline>
              </w:drawing>
            </w:r>
          </w:p>
          <w:p w14:paraId="51E447AF" w14:textId="77777777" w:rsidR="00DB1D1F" w:rsidRPr="00DB1D1F" w:rsidRDefault="00DB1D1F" w:rsidP="00DB1D1F">
            <w:pPr>
              <w:spacing w:line="240" w:lineRule="auto"/>
              <w:ind w:firstLine="360"/>
              <w:rPr>
                <w:rFonts w:ascii="Times" w:eastAsia="宋体" w:hAnsi="Times"/>
                <w:sz w:val="18"/>
                <w:szCs w:val="18"/>
                <w:lang w:eastAsia="zh-CN"/>
              </w:rPr>
            </w:pPr>
            <w:r w:rsidRPr="00DB1D1F">
              <w:rPr>
                <w:rFonts w:ascii="Times" w:eastAsia="宋体" w:hAnsi="Times" w:hint="eastAsia"/>
                <w:sz w:val="18"/>
                <w:szCs w:val="18"/>
                <w:lang w:eastAsia="zh-CN"/>
              </w:rPr>
              <w:t>注：原始数据来源于</w:t>
            </w:r>
            <w:r w:rsidRPr="00DB1D1F">
              <w:rPr>
                <w:rFonts w:ascii="Times" w:eastAsia="宋体" w:hAnsi="Times"/>
                <w:sz w:val="18"/>
                <w:szCs w:val="18"/>
                <w:lang w:eastAsia="zh-CN"/>
              </w:rPr>
              <w:t>Wind</w:t>
            </w:r>
            <w:r w:rsidRPr="00DB1D1F">
              <w:rPr>
                <w:rFonts w:ascii="Times" w:eastAsia="宋体" w:hAnsi="Times" w:hint="eastAsia"/>
                <w:sz w:val="18"/>
                <w:szCs w:val="18"/>
                <w:lang w:eastAsia="zh-CN"/>
              </w:rPr>
              <w:t>数据库，经笔者计算。数据截至日期为</w:t>
            </w:r>
            <w:r w:rsidRPr="00DB1D1F">
              <w:rPr>
                <w:rFonts w:ascii="Times" w:eastAsia="宋体" w:hAnsi="Times"/>
                <w:sz w:val="18"/>
                <w:szCs w:val="18"/>
                <w:lang w:eastAsia="zh-CN"/>
              </w:rPr>
              <w:t>2024</w:t>
            </w:r>
            <w:r w:rsidRPr="00DB1D1F">
              <w:rPr>
                <w:rFonts w:ascii="Times" w:eastAsia="宋体" w:hAnsi="Times" w:hint="eastAsia"/>
                <w:sz w:val="18"/>
                <w:szCs w:val="18"/>
                <w:lang w:eastAsia="zh-CN"/>
              </w:rPr>
              <w:t>年</w:t>
            </w:r>
            <w:r w:rsidRPr="00DB1D1F">
              <w:rPr>
                <w:rFonts w:ascii="Times" w:eastAsia="宋体" w:hAnsi="Times"/>
                <w:sz w:val="18"/>
                <w:szCs w:val="18"/>
                <w:lang w:eastAsia="zh-CN"/>
              </w:rPr>
              <w:t>12</w:t>
            </w:r>
            <w:r w:rsidRPr="00DB1D1F">
              <w:rPr>
                <w:rFonts w:ascii="Times" w:eastAsia="宋体" w:hAnsi="Times" w:hint="eastAsia"/>
                <w:sz w:val="18"/>
                <w:szCs w:val="18"/>
                <w:lang w:eastAsia="zh-CN"/>
              </w:rPr>
              <w:t>月</w:t>
            </w:r>
            <w:r w:rsidRPr="00DB1D1F">
              <w:rPr>
                <w:rFonts w:ascii="Times" w:eastAsia="宋体" w:hAnsi="Times"/>
                <w:sz w:val="18"/>
                <w:szCs w:val="18"/>
                <w:lang w:eastAsia="zh-CN"/>
              </w:rPr>
              <w:t>31</w:t>
            </w:r>
            <w:r w:rsidRPr="00DB1D1F">
              <w:rPr>
                <w:rFonts w:ascii="Times" w:eastAsia="宋体" w:hAnsi="Times" w:hint="eastAsia"/>
                <w:sz w:val="18"/>
                <w:szCs w:val="18"/>
                <w:lang w:eastAsia="zh-CN"/>
              </w:rPr>
              <w:t>日。波动幅度根据相邻两季度的季末值计算，波幅为正表示本季度末汇率较上季末升值，波幅为负代表贬值。阿根廷比索贬值幅度过大，本图中未给予充分展示。</w:t>
            </w:r>
          </w:p>
        </w:tc>
      </w:tr>
      <w:tr w:rsidR="00DB1D1F" w:rsidRPr="00DB1D1F" w14:paraId="6C9C5A5F" w14:textId="77777777" w:rsidTr="00D72849">
        <w:trPr>
          <w:trHeight w:val="851"/>
          <w:jc w:val="center"/>
        </w:trPr>
        <w:tc>
          <w:tcPr>
            <w:tcW w:w="2154" w:type="dxa"/>
            <w:vAlign w:val="center"/>
          </w:tcPr>
          <w:p w14:paraId="158A7A5E" w14:textId="77777777" w:rsidR="00DB1D1F" w:rsidRPr="00DB1D1F" w:rsidRDefault="00DB1D1F" w:rsidP="00DB1D1F">
            <w:pPr>
              <w:ind w:firstLineChars="0" w:firstLine="0"/>
              <w:rPr>
                <w:rFonts w:ascii="Times" w:eastAsia="宋体" w:hAnsi="Times"/>
                <w:b/>
                <w:szCs w:val="28"/>
                <w:lang w:eastAsia="zh-CN" w:bidi="ar-SA"/>
              </w:rPr>
            </w:pPr>
            <w:r w:rsidRPr="00DB1D1F">
              <w:rPr>
                <w:rFonts w:ascii="Times" w:eastAsia="宋体" w:hAnsi="Times" w:hint="eastAsia"/>
                <w:b/>
                <w:szCs w:val="28"/>
                <w:lang w:eastAsia="zh-CN" w:bidi="ar-SA"/>
              </w:rPr>
              <w:t>美股大跌</w:t>
            </w:r>
          </w:p>
        </w:tc>
        <w:tc>
          <w:tcPr>
            <w:tcW w:w="300" w:type="dxa"/>
          </w:tcPr>
          <w:p w14:paraId="7C853133" w14:textId="77777777" w:rsidR="00DB1D1F" w:rsidRPr="00DB1D1F" w:rsidRDefault="00DB1D1F" w:rsidP="00DB1D1F">
            <w:pPr>
              <w:keepNext/>
              <w:keepLines/>
              <w:spacing w:before="260" w:after="260"/>
              <w:ind w:firstLine="480"/>
              <w:rPr>
                <w:rFonts w:ascii="Times" w:eastAsia="宋体" w:hAnsi="Times"/>
                <w:lang w:eastAsia="zh-CN"/>
              </w:rPr>
            </w:pPr>
          </w:p>
        </w:tc>
        <w:tc>
          <w:tcPr>
            <w:tcW w:w="7183" w:type="dxa"/>
          </w:tcPr>
          <w:p w14:paraId="1CBD758E" w14:textId="77777777" w:rsidR="00DB1D1F" w:rsidRPr="00DB1D1F" w:rsidRDefault="00DB1D1F" w:rsidP="00DB1D1F">
            <w:pPr>
              <w:ind w:firstLineChars="249" w:firstLine="600"/>
              <w:contextualSpacing/>
              <w:rPr>
                <w:rFonts w:ascii="Times" w:eastAsia="宋体" w:hAnsi="Times"/>
                <w:bCs/>
                <w:color w:val="000000"/>
                <w:kern w:val="0"/>
                <w:szCs w:val="22"/>
                <w:lang w:eastAsia="zh-CN"/>
              </w:rPr>
            </w:pPr>
            <w:r w:rsidRPr="00DB1D1F">
              <w:rPr>
                <w:rFonts w:ascii="Times" w:eastAsia="宋体" w:hAnsi="Times" w:hint="eastAsia"/>
                <w:b/>
                <w:color w:val="000000"/>
                <w:kern w:val="0"/>
                <w:szCs w:val="22"/>
                <w:lang w:eastAsia="zh-CN"/>
              </w:rPr>
              <w:t>美国关税政策引发美股大跌。一</w:t>
            </w:r>
            <w:r w:rsidRPr="00DB1D1F">
              <w:rPr>
                <w:rFonts w:ascii="Times" w:eastAsia="宋体" w:hAnsi="Times" w:hint="eastAsia"/>
                <w:bCs/>
                <w:color w:val="000000"/>
                <w:kern w:val="0"/>
                <w:szCs w:val="22"/>
                <w:lang w:eastAsia="zh-CN"/>
              </w:rPr>
              <w:t>季度，美股大幅回调，标普</w:t>
            </w:r>
            <w:r w:rsidRPr="00DB1D1F">
              <w:rPr>
                <w:rFonts w:ascii="Times" w:eastAsia="宋体" w:hAnsi="Times"/>
                <w:bCs/>
                <w:color w:val="000000"/>
                <w:kern w:val="0"/>
                <w:szCs w:val="22"/>
                <w:lang w:eastAsia="zh-CN"/>
              </w:rPr>
              <w:t>500</w:t>
            </w:r>
            <w:r w:rsidRPr="00DB1D1F">
              <w:rPr>
                <w:rFonts w:ascii="Times" w:eastAsia="宋体" w:hAnsi="Times" w:hint="eastAsia"/>
                <w:bCs/>
                <w:color w:val="000000"/>
                <w:kern w:val="0"/>
                <w:szCs w:val="22"/>
                <w:lang w:eastAsia="zh-CN"/>
              </w:rPr>
              <w:t>指数较上季末度下跌</w:t>
            </w:r>
            <w:r w:rsidRPr="00DB1D1F">
              <w:rPr>
                <w:rFonts w:ascii="Times" w:eastAsia="宋体" w:hAnsi="Times" w:hint="eastAsia"/>
                <w:bCs/>
                <w:color w:val="000000"/>
                <w:kern w:val="0"/>
                <w:szCs w:val="22"/>
                <w:lang w:eastAsia="zh-CN"/>
              </w:rPr>
              <w:t>4.59%</w:t>
            </w:r>
            <w:r w:rsidRPr="00DB1D1F">
              <w:rPr>
                <w:rFonts w:ascii="Times" w:eastAsia="宋体" w:hAnsi="Times" w:hint="eastAsia"/>
                <w:bCs/>
                <w:color w:val="000000"/>
                <w:kern w:val="0"/>
                <w:szCs w:val="22"/>
                <w:lang w:eastAsia="zh-CN"/>
              </w:rPr>
              <w:t>，季内波幅高达</w:t>
            </w:r>
            <w:r w:rsidRPr="00DB1D1F">
              <w:rPr>
                <w:rFonts w:ascii="Times" w:eastAsia="宋体" w:hAnsi="Times" w:hint="eastAsia"/>
                <w:bCs/>
                <w:color w:val="000000"/>
                <w:kern w:val="0"/>
                <w:szCs w:val="22"/>
                <w:lang w:eastAsia="zh-CN"/>
              </w:rPr>
              <w:t>11.28</w:t>
            </w:r>
            <w:r w:rsidRPr="00DB1D1F">
              <w:rPr>
                <w:rFonts w:ascii="Times" w:eastAsia="宋体" w:hAnsi="Times"/>
                <w:bCs/>
                <w:color w:val="000000"/>
                <w:kern w:val="0"/>
                <w:szCs w:val="22"/>
                <w:lang w:eastAsia="zh-CN"/>
              </w:rPr>
              <w:t>%</w:t>
            </w:r>
            <w:r w:rsidRPr="00DB1D1F">
              <w:rPr>
                <w:rFonts w:ascii="Times" w:eastAsia="宋体" w:hAnsi="Times" w:hint="eastAsia"/>
                <w:bCs/>
                <w:color w:val="000000"/>
                <w:kern w:val="0"/>
                <w:szCs w:val="22"/>
                <w:lang w:eastAsia="zh-CN"/>
              </w:rPr>
              <w:t>。受企业盈利预期改善和军工股行情影响，欧洲股市大涨。德国</w:t>
            </w:r>
            <w:r w:rsidRPr="00DB1D1F">
              <w:rPr>
                <w:rFonts w:ascii="Times" w:eastAsia="宋体" w:hAnsi="Times"/>
                <w:bCs/>
                <w:color w:val="000000"/>
                <w:kern w:val="0"/>
                <w:szCs w:val="22"/>
                <w:lang w:eastAsia="zh-CN"/>
              </w:rPr>
              <w:t>DAX</w:t>
            </w:r>
            <w:r w:rsidRPr="00DB1D1F">
              <w:rPr>
                <w:rFonts w:ascii="Times" w:eastAsia="宋体" w:hAnsi="Times" w:hint="eastAsia"/>
                <w:bCs/>
                <w:color w:val="000000"/>
                <w:kern w:val="0"/>
                <w:szCs w:val="22"/>
                <w:lang w:eastAsia="zh-CN"/>
              </w:rPr>
              <w:t>指数、法国巴黎</w:t>
            </w:r>
            <w:r w:rsidRPr="00DB1D1F">
              <w:rPr>
                <w:rFonts w:ascii="Times" w:eastAsia="宋体" w:hAnsi="Times" w:hint="eastAsia"/>
                <w:bCs/>
                <w:color w:val="000000"/>
                <w:kern w:val="0"/>
                <w:szCs w:val="22"/>
                <w:lang w:eastAsia="zh-CN"/>
              </w:rPr>
              <w:t>CAC</w:t>
            </w:r>
            <w:r w:rsidRPr="00DB1D1F">
              <w:rPr>
                <w:rFonts w:ascii="Times" w:eastAsia="宋体" w:hAnsi="Times" w:hint="eastAsia"/>
                <w:bCs/>
                <w:color w:val="000000"/>
                <w:kern w:val="0"/>
                <w:szCs w:val="22"/>
                <w:lang w:eastAsia="zh-CN"/>
              </w:rPr>
              <w:t>指数季末环比分别上涨</w:t>
            </w:r>
            <w:r w:rsidRPr="00DB1D1F">
              <w:rPr>
                <w:rFonts w:ascii="Times" w:eastAsia="宋体" w:hAnsi="Times" w:hint="eastAsia"/>
                <w:bCs/>
                <w:color w:val="000000"/>
                <w:kern w:val="0"/>
                <w:szCs w:val="22"/>
                <w:lang w:eastAsia="zh-CN"/>
              </w:rPr>
              <w:t>11.32</w:t>
            </w:r>
            <w:r w:rsidRPr="00DB1D1F">
              <w:rPr>
                <w:rFonts w:ascii="Times" w:eastAsia="宋体" w:hAnsi="Times"/>
                <w:bCs/>
                <w:color w:val="000000"/>
                <w:kern w:val="0"/>
                <w:szCs w:val="22"/>
                <w:lang w:eastAsia="zh-CN"/>
              </w:rPr>
              <w:t>%</w:t>
            </w:r>
            <w:r w:rsidRPr="00DB1D1F">
              <w:rPr>
                <w:rFonts w:ascii="Times" w:eastAsia="宋体" w:hAnsi="Times" w:hint="eastAsia"/>
                <w:bCs/>
                <w:color w:val="000000"/>
                <w:kern w:val="0"/>
                <w:szCs w:val="22"/>
                <w:lang w:eastAsia="zh-CN"/>
              </w:rPr>
              <w:t>、</w:t>
            </w:r>
            <w:r w:rsidRPr="00DB1D1F">
              <w:rPr>
                <w:rFonts w:ascii="Times" w:eastAsia="宋体" w:hAnsi="Times"/>
                <w:bCs/>
                <w:color w:val="000000"/>
                <w:kern w:val="0"/>
                <w:szCs w:val="22"/>
                <w:lang w:eastAsia="zh-CN"/>
              </w:rPr>
              <w:t>5.</w:t>
            </w:r>
            <w:r w:rsidRPr="00DB1D1F">
              <w:rPr>
                <w:rFonts w:ascii="Times" w:eastAsia="宋体" w:hAnsi="Times" w:hint="eastAsia"/>
                <w:bCs/>
                <w:color w:val="000000"/>
                <w:kern w:val="0"/>
                <w:szCs w:val="22"/>
                <w:lang w:eastAsia="zh-CN"/>
              </w:rPr>
              <w:t>55</w:t>
            </w:r>
            <w:r w:rsidRPr="00DB1D1F">
              <w:rPr>
                <w:rFonts w:ascii="Times" w:eastAsia="宋体" w:hAnsi="Times"/>
                <w:bCs/>
                <w:color w:val="000000"/>
                <w:kern w:val="0"/>
                <w:szCs w:val="22"/>
                <w:lang w:eastAsia="zh-CN"/>
              </w:rPr>
              <w:t>%</w:t>
            </w:r>
            <w:r w:rsidRPr="00DB1D1F">
              <w:rPr>
                <w:rFonts w:ascii="Times" w:eastAsia="宋体" w:hAnsi="Times" w:hint="eastAsia"/>
                <w:bCs/>
                <w:color w:val="000000"/>
                <w:kern w:val="0"/>
                <w:szCs w:val="22"/>
                <w:lang w:eastAsia="zh-CN"/>
              </w:rPr>
              <w:t>，季内波幅分别达</w:t>
            </w:r>
            <w:r w:rsidRPr="00DB1D1F">
              <w:rPr>
                <w:rFonts w:ascii="Times" w:eastAsia="宋体" w:hAnsi="Times" w:hint="eastAsia"/>
                <w:bCs/>
                <w:color w:val="000000"/>
                <w:kern w:val="0"/>
                <w:szCs w:val="22"/>
                <w:lang w:eastAsia="zh-CN"/>
              </w:rPr>
              <w:t>17</w:t>
            </w:r>
            <w:r w:rsidRPr="00DB1D1F">
              <w:rPr>
                <w:rFonts w:ascii="Times" w:eastAsia="宋体" w:hAnsi="Times"/>
                <w:bCs/>
                <w:color w:val="000000"/>
                <w:kern w:val="0"/>
                <w:szCs w:val="22"/>
                <w:lang w:eastAsia="zh-CN"/>
              </w:rPr>
              <w:t>%</w:t>
            </w:r>
            <w:r w:rsidRPr="00DB1D1F">
              <w:rPr>
                <w:rFonts w:ascii="Times" w:eastAsia="宋体" w:hAnsi="Times" w:hint="eastAsia"/>
                <w:bCs/>
                <w:color w:val="000000"/>
                <w:kern w:val="0"/>
                <w:szCs w:val="22"/>
                <w:lang w:eastAsia="zh-CN"/>
              </w:rPr>
              <w:t>、</w:t>
            </w:r>
            <w:r w:rsidRPr="00DB1D1F">
              <w:rPr>
                <w:rFonts w:ascii="Times" w:eastAsia="宋体" w:hAnsi="Times" w:hint="eastAsia"/>
                <w:bCs/>
                <w:color w:val="000000"/>
                <w:kern w:val="0"/>
                <w:szCs w:val="22"/>
                <w:lang w:eastAsia="zh-CN"/>
              </w:rPr>
              <w:t>12</w:t>
            </w:r>
            <w:r w:rsidRPr="00DB1D1F">
              <w:rPr>
                <w:rFonts w:ascii="Times" w:eastAsia="宋体" w:hAnsi="Times"/>
                <w:bCs/>
                <w:color w:val="000000"/>
                <w:kern w:val="0"/>
                <w:szCs w:val="22"/>
                <w:lang w:eastAsia="zh-CN"/>
              </w:rPr>
              <w:t>%</w:t>
            </w:r>
            <w:r w:rsidRPr="00DB1D1F">
              <w:rPr>
                <w:rFonts w:ascii="Times" w:eastAsia="宋体" w:hAnsi="Times" w:hint="eastAsia"/>
                <w:bCs/>
                <w:color w:val="000000"/>
                <w:kern w:val="0"/>
                <w:szCs w:val="22"/>
                <w:lang w:eastAsia="zh-CN"/>
              </w:rPr>
              <w:t>。东亚发达经济体中，日经大跌，韩国股市上涨。一季度，受美国关税政策预期冲击和通胀高企下的加息预期影响，日经季末环比跌幅达</w:t>
            </w:r>
            <w:r w:rsidRPr="00DB1D1F">
              <w:rPr>
                <w:rFonts w:ascii="Times" w:eastAsia="宋体" w:hAnsi="Times" w:hint="eastAsia"/>
                <w:bCs/>
                <w:color w:val="000000"/>
                <w:kern w:val="0"/>
                <w:szCs w:val="22"/>
                <w:lang w:eastAsia="zh-CN"/>
              </w:rPr>
              <w:t>11%</w:t>
            </w:r>
            <w:r w:rsidRPr="00DB1D1F">
              <w:rPr>
                <w:rFonts w:ascii="Times" w:eastAsia="宋体" w:hAnsi="Times" w:hint="eastAsia"/>
                <w:bCs/>
                <w:color w:val="000000"/>
                <w:kern w:val="0"/>
                <w:szCs w:val="22"/>
                <w:lang w:eastAsia="zh-CN"/>
              </w:rPr>
              <w:t>，季内波幅达</w:t>
            </w:r>
            <w:r w:rsidRPr="00DB1D1F">
              <w:rPr>
                <w:rFonts w:ascii="Times" w:eastAsia="宋体" w:hAnsi="Times" w:hint="eastAsia"/>
                <w:bCs/>
                <w:color w:val="000000"/>
                <w:kern w:val="0"/>
                <w:szCs w:val="22"/>
                <w:lang w:eastAsia="zh-CN"/>
              </w:rPr>
              <w:t>12.54%</w:t>
            </w:r>
            <w:r w:rsidRPr="00DB1D1F">
              <w:rPr>
                <w:rFonts w:ascii="Times" w:eastAsia="宋体" w:hAnsi="Times" w:hint="eastAsia"/>
                <w:bCs/>
                <w:color w:val="000000"/>
                <w:kern w:val="0"/>
                <w:szCs w:val="22"/>
                <w:lang w:eastAsia="zh-CN"/>
              </w:rPr>
              <w:t>。韩国综合指数环比上涨</w:t>
            </w:r>
            <w:r w:rsidRPr="00DB1D1F">
              <w:rPr>
                <w:rFonts w:ascii="Times" w:eastAsia="宋体" w:hAnsi="Times" w:hint="eastAsia"/>
                <w:bCs/>
                <w:color w:val="000000"/>
                <w:kern w:val="0"/>
                <w:szCs w:val="22"/>
                <w:lang w:eastAsia="zh-CN"/>
              </w:rPr>
              <w:t>3.4%</w:t>
            </w:r>
            <w:r w:rsidRPr="00DB1D1F">
              <w:rPr>
                <w:rFonts w:ascii="Times" w:eastAsia="宋体" w:hAnsi="Times" w:hint="eastAsia"/>
                <w:bCs/>
                <w:color w:val="000000"/>
                <w:kern w:val="0"/>
                <w:szCs w:val="22"/>
                <w:lang w:eastAsia="zh-CN"/>
              </w:rPr>
              <w:t>，季内波幅高达</w:t>
            </w:r>
            <w:r w:rsidRPr="00DB1D1F">
              <w:rPr>
                <w:rFonts w:ascii="Times" w:eastAsia="宋体" w:hAnsi="Times" w:hint="eastAsia"/>
                <w:bCs/>
                <w:color w:val="000000"/>
                <w:kern w:val="0"/>
                <w:szCs w:val="22"/>
                <w:lang w:eastAsia="zh-CN"/>
              </w:rPr>
              <w:t>11.36</w:t>
            </w:r>
            <w:r w:rsidRPr="00DB1D1F">
              <w:rPr>
                <w:rFonts w:ascii="Times" w:eastAsia="宋体" w:hAnsi="Times"/>
                <w:bCs/>
                <w:color w:val="000000"/>
                <w:kern w:val="0"/>
                <w:szCs w:val="22"/>
                <w:lang w:eastAsia="zh-CN"/>
              </w:rPr>
              <w:t>%</w:t>
            </w:r>
            <w:r w:rsidRPr="00DB1D1F">
              <w:rPr>
                <w:rFonts w:ascii="Times" w:eastAsia="宋体" w:hAnsi="Times" w:hint="eastAsia"/>
                <w:bCs/>
                <w:color w:val="000000"/>
                <w:kern w:val="0"/>
                <w:szCs w:val="22"/>
                <w:lang w:eastAsia="zh-CN"/>
              </w:rPr>
              <w:t>。主要新兴经济体中，巴西、俄罗斯股市均在上涨。</w:t>
            </w:r>
          </w:p>
          <w:p w14:paraId="2B537E29" w14:textId="77777777" w:rsidR="00DB1D1F" w:rsidRPr="00DB1D1F" w:rsidRDefault="00DB1D1F" w:rsidP="00DB1D1F">
            <w:pPr>
              <w:ind w:firstLineChars="249" w:firstLine="598"/>
              <w:contextualSpacing/>
              <w:rPr>
                <w:rFonts w:ascii="Times" w:eastAsia="宋体" w:hAnsi="Times"/>
                <w:bCs/>
                <w:color w:val="000000"/>
                <w:kern w:val="0"/>
                <w:szCs w:val="22"/>
                <w:lang w:eastAsia="zh-CN"/>
              </w:rPr>
            </w:pPr>
          </w:p>
          <w:p w14:paraId="3D1BBFDD" w14:textId="77777777" w:rsidR="00DB1D1F" w:rsidRPr="00DB1D1F" w:rsidRDefault="00DB1D1F" w:rsidP="00DB1D1F">
            <w:pPr>
              <w:ind w:firstLineChars="249" w:firstLine="598"/>
              <w:contextualSpacing/>
              <w:rPr>
                <w:rFonts w:ascii="Times" w:eastAsia="宋体" w:hAnsi="Times"/>
                <w:bCs/>
                <w:color w:val="000000"/>
                <w:kern w:val="0"/>
                <w:szCs w:val="22"/>
                <w:lang w:eastAsia="zh-CN"/>
              </w:rPr>
            </w:pPr>
          </w:p>
        </w:tc>
      </w:tr>
      <w:tr w:rsidR="00DB1D1F" w:rsidRPr="00DB1D1F" w14:paraId="59F26CD3" w14:textId="77777777" w:rsidTr="00D72849">
        <w:trPr>
          <w:trHeight w:val="12026"/>
          <w:jc w:val="center"/>
        </w:trPr>
        <w:tc>
          <w:tcPr>
            <w:tcW w:w="9637" w:type="dxa"/>
            <w:gridSpan w:val="3"/>
          </w:tcPr>
          <w:p w14:paraId="4543ED97" w14:textId="3121F1C3" w:rsidR="00DB1D1F" w:rsidRPr="00DB1D1F" w:rsidRDefault="00D37774" w:rsidP="00D37774">
            <w:pPr>
              <w:pStyle w:val="a4"/>
            </w:pPr>
            <w:bookmarkStart w:id="80" w:name="_Toc196399444"/>
            <w:r>
              <w:rPr>
                <w:rFonts w:hint="eastAsia"/>
              </w:rPr>
              <w:lastRenderedPageBreak/>
              <w:t xml:space="preserve">图表 </w:t>
            </w:r>
            <w:r>
              <w:rPr>
                <w:rFonts w:hint="eastAsia"/>
              </w:rPr>
              <w:fldChar w:fldCharType="begin"/>
            </w:r>
            <w:r>
              <w:rPr>
                <w:rFonts w:hint="eastAsia"/>
              </w:rPr>
              <w:instrText xml:space="preserve"> SEQ 图表 \* ARABIC </w:instrText>
            </w:r>
            <w:r>
              <w:rPr>
                <w:rFonts w:hint="eastAsia"/>
              </w:rPr>
              <w:fldChar w:fldCharType="separate"/>
            </w:r>
            <w:r w:rsidR="00530ED7">
              <w:rPr>
                <w:rFonts w:hint="eastAsia"/>
                <w:noProof/>
              </w:rPr>
              <w:t>33</w:t>
            </w:r>
            <w:r>
              <w:rPr>
                <w:rFonts w:hint="eastAsia"/>
              </w:rPr>
              <w:fldChar w:fldCharType="end"/>
            </w:r>
            <w:r w:rsidRPr="00D37774">
              <w:t xml:space="preserve">  </w:t>
            </w:r>
            <w:r w:rsidR="00DB1D1F" w:rsidRPr="00DB1D1F">
              <w:rPr>
                <w:rFonts w:hint="eastAsia"/>
              </w:rPr>
              <w:t>全球主要发达与新兴经济体股市季度涨跌幅（</w:t>
            </w:r>
            <w:r w:rsidR="00DB1D1F" w:rsidRPr="00DB1D1F">
              <w:t>202</w:t>
            </w:r>
            <w:r w:rsidR="00DB1D1F" w:rsidRPr="00DB1D1F">
              <w:rPr>
                <w:rFonts w:hint="eastAsia"/>
              </w:rPr>
              <w:t>5年1季度）</w:t>
            </w:r>
            <w:bookmarkEnd w:id="80"/>
          </w:p>
          <w:p w14:paraId="59FE9617" w14:textId="77777777" w:rsidR="00DB1D1F" w:rsidRPr="00DB1D1F" w:rsidRDefault="00DB1D1F" w:rsidP="00DB1D1F">
            <w:pPr>
              <w:ind w:firstLineChars="0" w:firstLine="0"/>
              <w:jc w:val="center"/>
              <w:rPr>
                <w:rFonts w:ascii="Times" w:eastAsia="宋体" w:hAnsi="Times"/>
                <w:b/>
                <w:color w:val="000000"/>
                <w:lang w:eastAsia="zh-CN"/>
              </w:rPr>
            </w:pPr>
            <w:r w:rsidRPr="00DB1D1F">
              <w:rPr>
                <w:rFonts w:ascii="等线" w:eastAsia="等线" w:hAnsi="等线"/>
                <w:noProof/>
                <w:sz w:val="21"/>
                <w:szCs w:val="22"/>
                <w:lang w:eastAsia="zh-CN" w:bidi="ar-SA"/>
              </w:rPr>
              <w:drawing>
                <wp:inline distT="0" distB="0" distL="114300" distR="114300" wp14:anchorId="7298BB07" wp14:editId="684C00B0">
                  <wp:extent cx="5977890" cy="3050540"/>
                  <wp:effectExtent l="0" t="0" r="3810" b="16510"/>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58"/>
                          <a:stretch>
                            <a:fillRect/>
                          </a:stretch>
                        </pic:blipFill>
                        <pic:spPr>
                          <a:xfrm>
                            <a:off x="0" y="0"/>
                            <a:ext cx="5977890" cy="3050540"/>
                          </a:xfrm>
                          <a:prstGeom prst="rect">
                            <a:avLst/>
                          </a:prstGeom>
                          <a:noFill/>
                          <a:ln>
                            <a:noFill/>
                          </a:ln>
                        </pic:spPr>
                      </pic:pic>
                    </a:graphicData>
                  </a:graphic>
                </wp:inline>
              </w:drawing>
            </w:r>
          </w:p>
          <w:p w14:paraId="16D0E133" w14:textId="77777777" w:rsidR="00DB1D1F" w:rsidRPr="00DB1D1F" w:rsidRDefault="00DB1D1F" w:rsidP="00DB1D1F">
            <w:pPr>
              <w:spacing w:line="240" w:lineRule="auto"/>
              <w:ind w:firstLine="360"/>
              <w:jc w:val="left"/>
              <w:rPr>
                <w:rFonts w:ascii="Times" w:eastAsia="宋体" w:hAnsi="Times"/>
                <w:color w:val="000000"/>
                <w:sz w:val="18"/>
                <w:szCs w:val="18"/>
                <w:lang w:eastAsia="zh-CN"/>
              </w:rPr>
            </w:pPr>
            <w:r w:rsidRPr="00DB1D1F">
              <w:rPr>
                <w:rFonts w:ascii="Times" w:eastAsia="宋体" w:hAnsi="Times" w:hint="eastAsia"/>
                <w:color w:val="000000"/>
                <w:sz w:val="18"/>
                <w:szCs w:val="18"/>
                <w:lang w:eastAsia="zh-CN"/>
              </w:rPr>
              <w:t>注：原始数据来自</w:t>
            </w:r>
            <w:r w:rsidRPr="00DB1D1F">
              <w:rPr>
                <w:rFonts w:ascii="Times" w:eastAsia="宋体" w:hAnsi="Times"/>
                <w:color w:val="000000"/>
                <w:sz w:val="18"/>
                <w:szCs w:val="18"/>
                <w:lang w:eastAsia="zh-CN"/>
              </w:rPr>
              <w:t>Wind</w:t>
            </w:r>
            <w:r w:rsidRPr="00DB1D1F">
              <w:rPr>
                <w:rFonts w:ascii="Times" w:eastAsia="宋体" w:hAnsi="Times" w:hint="eastAsia"/>
                <w:color w:val="000000"/>
                <w:sz w:val="18"/>
                <w:szCs w:val="18"/>
                <w:lang w:eastAsia="zh-CN"/>
              </w:rPr>
              <w:t>数据库。波动涨跌幅根据相邻两季度的季末值计算。数据截至</w:t>
            </w:r>
            <w:r w:rsidRPr="00DB1D1F">
              <w:rPr>
                <w:rFonts w:ascii="Times" w:eastAsia="宋体" w:hAnsi="Times"/>
                <w:color w:val="000000"/>
                <w:sz w:val="18"/>
                <w:szCs w:val="18"/>
                <w:lang w:eastAsia="zh-CN"/>
              </w:rPr>
              <w:t>2024</w:t>
            </w:r>
            <w:r w:rsidRPr="00DB1D1F">
              <w:rPr>
                <w:rFonts w:ascii="Times" w:eastAsia="宋体" w:hAnsi="Times" w:hint="eastAsia"/>
                <w:color w:val="000000"/>
                <w:sz w:val="18"/>
                <w:szCs w:val="18"/>
                <w:lang w:eastAsia="zh-CN"/>
              </w:rPr>
              <w:t>年</w:t>
            </w:r>
            <w:r w:rsidRPr="00DB1D1F">
              <w:rPr>
                <w:rFonts w:ascii="Times" w:eastAsia="宋体" w:hAnsi="Times"/>
                <w:color w:val="000000"/>
                <w:sz w:val="18"/>
                <w:szCs w:val="18"/>
                <w:lang w:eastAsia="zh-CN"/>
              </w:rPr>
              <w:t>12</w:t>
            </w:r>
            <w:r w:rsidRPr="00DB1D1F">
              <w:rPr>
                <w:rFonts w:ascii="Times" w:eastAsia="宋体" w:hAnsi="Times" w:hint="eastAsia"/>
                <w:color w:val="000000"/>
                <w:sz w:val="18"/>
                <w:szCs w:val="18"/>
                <w:lang w:eastAsia="zh-CN"/>
              </w:rPr>
              <w:t>月</w:t>
            </w:r>
            <w:r w:rsidRPr="00DB1D1F">
              <w:rPr>
                <w:rFonts w:ascii="Times" w:eastAsia="宋体" w:hAnsi="Times"/>
                <w:color w:val="000000"/>
                <w:sz w:val="18"/>
                <w:szCs w:val="18"/>
                <w:lang w:eastAsia="zh-CN"/>
              </w:rPr>
              <w:t>31</w:t>
            </w:r>
            <w:r w:rsidRPr="00DB1D1F">
              <w:rPr>
                <w:rFonts w:ascii="Times" w:eastAsia="宋体" w:hAnsi="Times" w:hint="eastAsia"/>
                <w:color w:val="000000"/>
                <w:sz w:val="18"/>
                <w:szCs w:val="18"/>
                <w:lang w:eastAsia="zh-CN"/>
              </w:rPr>
              <w:t>日。图中红色柱为发达经济体，蓝色柱为新兴经济体。</w:t>
            </w:r>
          </w:p>
          <w:p w14:paraId="665C2A21" w14:textId="15D7C9C9" w:rsidR="00DB1D1F" w:rsidRPr="00DB1D1F" w:rsidRDefault="00D37774" w:rsidP="00D37774">
            <w:pPr>
              <w:pStyle w:val="a4"/>
            </w:pPr>
            <w:bookmarkStart w:id="81" w:name="_Toc196399445"/>
            <w:r>
              <w:rPr>
                <w:rFonts w:hint="eastAsia"/>
              </w:rPr>
              <w:t xml:space="preserve">图表 </w:t>
            </w:r>
            <w:r>
              <w:rPr>
                <w:rFonts w:hint="eastAsia"/>
              </w:rPr>
              <w:fldChar w:fldCharType="begin"/>
            </w:r>
            <w:r>
              <w:rPr>
                <w:rFonts w:hint="eastAsia"/>
              </w:rPr>
              <w:instrText xml:space="preserve"> SEQ 图表 \* ARABIC </w:instrText>
            </w:r>
            <w:r>
              <w:rPr>
                <w:rFonts w:hint="eastAsia"/>
              </w:rPr>
              <w:fldChar w:fldCharType="separate"/>
            </w:r>
            <w:r w:rsidR="00530ED7">
              <w:rPr>
                <w:rFonts w:hint="eastAsia"/>
                <w:noProof/>
              </w:rPr>
              <w:t>34</w:t>
            </w:r>
            <w:r>
              <w:rPr>
                <w:rFonts w:hint="eastAsia"/>
              </w:rPr>
              <w:fldChar w:fldCharType="end"/>
            </w:r>
            <w:r w:rsidRPr="00D37774">
              <w:t xml:space="preserve">  </w:t>
            </w:r>
            <w:r w:rsidR="00DB1D1F" w:rsidRPr="00DB1D1F">
              <w:t>全球主要发达与新兴经济体股市季内波动（202</w:t>
            </w:r>
            <w:r w:rsidR="00DB1D1F" w:rsidRPr="00DB1D1F">
              <w:rPr>
                <w:rFonts w:hint="eastAsia"/>
              </w:rPr>
              <w:t>5</w:t>
            </w:r>
            <w:r w:rsidR="00DB1D1F" w:rsidRPr="00DB1D1F">
              <w:t xml:space="preserve"> 年 </w:t>
            </w:r>
            <w:r w:rsidR="00DB1D1F" w:rsidRPr="00DB1D1F">
              <w:rPr>
                <w:rFonts w:hint="eastAsia"/>
              </w:rPr>
              <w:t>1</w:t>
            </w:r>
            <w:r w:rsidR="00DB1D1F" w:rsidRPr="00DB1D1F">
              <w:t>季度）</w:t>
            </w:r>
            <w:bookmarkEnd w:id="81"/>
          </w:p>
          <w:p w14:paraId="78C93490" w14:textId="77777777" w:rsidR="00DB1D1F" w:rsidRPr="00DB1D1F" w:rsidRDefault="00DB1D1F" w:rsidP="00DB1D1F">
            <w:pPr>
              <w:spacing w:line="240" w:lineRule="auto"/>
              <w:ind w:firstLineChars="0" w:firstLine="0"/>
              <w:jc w:val="left"/>
              <w:rPr>
                <w:rFonts w:ascii="Times" w:eastAsia="宋体" w:hAnsi="Times"/>
                <w:sz w:val="21"/>
                <w:szCs w:val="22"/>
                <w:lang w:eastAsia="zh-CN" w:bidi="ar-SA"/>
              </w:rPr>
            </w:pPr>
            <w:r w:rsidRPr="00DB1D1F">
              <w:rPr>
                <w:rFonts w:ascii="Times" w:eastAsia="宋体" w:hAnsi="Times" w:hint="eastAsia"/>
                <w:noProof/>
                <w:sz w:val="21"/>
                <w:szCs w:val="22"/>
                <w:lang w:eastAsia="zh-CN" w:bidi="ar-SA"/>
              </w:rPr>
              <mc:AlternateContent>
                <mc:Choice Requires="wps">
                  <w:drawing>
                    <wp:anchor distT="0" distB="0" distL="114300" distR="114300" simplePos="0" relativeHeight="251670528" behindDoc="0" locked="0" layoutInCell="1" allowOverlap="1" wp14:anchorId="46C35799" wp14:editId="4F04657E">
                      <wp:simplePos x="0" y="0"/>
                      <wp:positionH relativeFrom="column">
                        <wp:posOffset>3651885</wp:posOffset>
                      </wp:positionH>
                      <wp:positionV relativeFrom="paragraph">
                        <wp:posOffset>232410</wp:posOffset>
                      </wp:positionV>
                      <wp:extent cx="251460" cy="909320"/>
                      <wp:effectExtent l="0" t="0" r="15240" b="5080"/>
                      <wp:wrapNone/>
                      <wp:docPr id="434490729" name="Rectangle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 cy="909320"/>
                              </a:xfrm>
                              <a:prstGeom prst="rect">
                                <a:avLst/>
                              </a:prstGeom>
                              <a:solidFill>
                                <a:srgbClr val="BFBFBF">
                                  <a:alpha val="39999"/>
                                </a:srgbClr>
                              </a:solidFill>
                              <a:ln>
                                <a:noFill/>
                              </a:ln>
                            </wps:spPr>
                            <wps:bodyPr rot="0" vert="horz" wrap="square" lIns="91440" tIns="45720" rIns="91440" bIns="45720" anchor="t" anchorCtr="0" upright="1">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CD9FDD" id="Rectangle 182" o:spid="_x0000_s1026" style="position:absolute;margin-left:287.55pt;margin-top:18.3pt;width:19.8pt;height:71.6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" fillcolor="#bfbfbf" stroked="f">
                      <v:fill opacity="26214f"/>
                    </v:rect>
                  </w:pict>
                </mc:Fallback>
              </mc:AlternateContent>
            </w:r>
            <w:r w:rsidRPr="00DB1D1F">
              <w:rPr>
                <w:rFonts w:ascii="等线" w:eastAsia="等线" w:hAnsi="等线"/>
                <w:noProof/>
                <w:sz w:val="21"/>
                <w:szCs w:val="22"/>
                <w:lang w:eastAsia="zh-CN" w:bidi="ar-SA"/>
              </w:rPr>
              <w:drawing>
                <wp:inline distT="0" distB="0" distL="114300" distR="114300" wp14:anchorId="76B6759A" wp14:editId="50CA8530">
                  <wp:extent cx="5981700" cy="4431665"/>
                  <wp:effectExtent l="0" t="0" r="0" b="6985"/>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59"/>
                          <a:stretch>
                            <a:fillRect/>
                          </a:stretch>
                        </pic:blipFill>
                        <pic:spPr>
                          <a:xfrm>
                            <a:off x="0" y="0"/>
                            <a:ext cx="5981700" cy="4431665"/>
                          </a:xfrm>
                          <a:prstGeom prst="rect">
                            <a:avLst/>
                          </a:prstGeom>
                          <a:noFill/>
                          <a:ln>
                            <a:noFill/>
                          </a:ln>
                        </pic:spPr>
                      </pic:pic>
                    </a:graphicData>
                  </a:graphic>
                </wp:inline>
              </w:drawing>
            </w:r>
          </w:p>
        </w:tc>
      </w:tr>
      <w:tr w:rsidR="00DB1D1F" w:rsidRPr="00DB1D1F" w14:paraId="095E892D" w14:textId="77777777" w:rsidTr="00D72849">
        <w:trPr>
          <w:trHeight w:val="851"/>
          <w:jc w:val="center"/>
        </w:trPr>
        <w:tc>
          <w:tcPr>
            <w:tcW w:w="2154" w:type="dxa"/>
            <w:vAlign w:val="center"/>
          </w:tcPr>
          <w:p w14:paraId="4445C5E0" w14:textId="77777777" w:rsidR="00DB1D1F" w:rsidRPr="00DB1D1F" w:rsidRDefault="00DB1D1F" w:rsidP="00DB1D1F">
            <w:pPr>
              <w:ind w:firstLineChars="0" w:firstLine="0"/>
              <w:rPr>
                <w:rFonts w:ascii="Times" w:eastAsia="宋体" w:hAnsi="Times"/>
                <w:b/>
                <w:szCs w:val="28"/>
                <w:lang w:eastAsia="zh-CN" w:bidi="ar-SA"/>
              </w:rPr>
            </w:pPr>
            <w:r w:rsidRPr="00DB1D1F">
              <w:rPr>
                <w:rFonts w:ascii="Times" w:eastAsia="宋体" w:hAnsi="Times" w:hint="eastAsia"/>
                <w:b/>
                <w:szCs w:val="28"/>
                <w:lang w:eastAsia="zh-CN" w:bidi="ar-SA"/>
              </w:rPr>
              <w:lastRenderedPageBreak/>
              <w:t>美联储按兵不动，日本央行加息、欧央行降息。</w:t>
            </w:r>
          </w:p>
        </w:tc>
        <w:tc>
          <w:tcPr>
            <w:tcW w:w="300" w:type="dxa"/>
          </w:tcPr>
          <w:p w14:paraId="43C4F971" w14:textId="77777777" w:rsidR="00DB1D1F" w:rsidRPr="00DB1D1F" w:rsidRDefault="00DB1D1F" w:rsidP="00DB1D1F">
            <w:pPr>
              <w:keepNext/>
              <w:keepLines/>
              <w:spacing w:before="260" w:after="260"/>
              <w:ind w:firstLine="480"/>
              <w:rPr>
                <w:rFonts w:ascii="Times" w:eastAsia="宋体" w:hAnsi="Times"/>
                <w:strike/>
                <w:lang w:eastAsia="zh-CN"/>
              </w:rPr>
            </w:pPr>
          </w:p>
        </w:tc>
        <w:tc>
          <w:tcPr>
            <w:tcW w:w="7183" w:type="dxa"/>
          </w:tcPr>
          <w:p w14:paraId="76A2406F" w14:textId="77777777" w:rsidR="00DB1D1F" w:rsidRPr="00DB1D1F" w:rsidRDefault="00DB1D1F" w:rsidP="00DB1D1F">
            <w:pPr>
              <w:shd w:val="clear" w:color="auto" w:fill="FFFFFF"/>
              <w:spacing w:line="480" w:lineRule="atLeast"/>
              <w:ind w:firstLineChars="0" w:firstLine="0"/>
              <w:rPr>
                <w:rFonts w:ascii="Times" w:eastAsia="宋体" w:hAnsi="Times" w:cs="宋体"/>
                <w:b/>
                <w:color w:val="000000"/>
                <w:kern w:val="0"/>
                <w:lang w:eastAsia="zh-CN"/>
              </w:rPr>
            </w:pPr>
          </w:p>
          <w:p w14:paraId="498EE11A" w14:textId="77777777" w:rsidR="00DB1D1F" w:rsidRPr="00DB1D1F" w:rsidRDefault="00DB1D1F" w:rsidP="00DB1D1F">
            <w:pPr>
              <w:shd w:val="clear" w:color="auto" w:fill="FFFFFF"/>
              <w:spacing w:line="480" w:lineRule="atLeast"/>
              <w:ind w:firstLine="482"/>
              <w:rPr>
                <w:rFonts w:ascii="Times" w:eastAsia="宋体" w:hAnsi="Times" w:cs="宋体"/>
                <w:bCs/>
                <w:color w:val="000000"/>
                <w:kern w:val="0"/>
                <w:lang w:eastAsia="zh-CN"/>
              </w:rPr>
            </w:pPr>
            <w:r w:rsidRPr="00DB1D1F">
              <w:rPr>
                <w:rFonts w:ascii="Times" w:eastAsia="宋体" w:hAnsi="Times" w:cs="宋体" w:hint="eastAsia"/>
                <w:b/>
                <w:kern w:val="0"/>
                <w:szCs w:val="28"/>
                <w:lang w:eastAsia="zh-CN" w:bidi="ar-SA"/>
              </w:rPr>
              <w:t>美联储按兵不动，日本央行加息、欧央行降息</w:t>
            </w:r>
            <w:r w:rsidRPr="00DB1D1F">
              <w:rPr>
                <w:rFonts w:ascii="Times" w:eastAsia="宋体" w:hAnsi="Times" w:cs="宋体" w:hint="eastAsia"/>
                <w:b/>
                <w:color w:val="000000"/>
                <w:kern w:val="0"/>
                <w:lang w:eastAsia="zh-CN"/>
              </w:rPr>
              <w:t>。</w:t>
            </w:r>
            <w:r w:rsidRPr="00DB1D1F">
              <w:rPr>
                <w:rFonts w:ascii="Times" w:eastAsia="宋体" w:hAnsi="Times" w:cs="宋体" w:hint="eastAsia"/>
                <w:bCs/>
                <w:color w:val="000000"/>
                <w:kern w:val="0"/>
                <w:lang w:eastAsia="zh-CN"/>
              </w:rPr>
              <w:t>1</w:t>
            </w:r>
            <w:r w:rsidRPr="00DB1D1F">
              <w:rPr>
                <w:rFonts w:ascii="Times" w:eastAsia="宋体" w:hAnsi="Times" w:cs="宋体" w:hint="eastAsia"/>
                <w:bCs/>
                <w:color w:val="000000"/>
                <w:kern w:val="0"/>
                <w:lang w:eastAsia="zh-CN"/>
              </w:rPr>
              <w:t>季度，美联储未调整联邦基金目标利率，联邦基金利率几乎保持不变。</w:t>
            </w:r>
            <w:r w:rsidRPr="00DB1D1F">
              <w:rPr>
                <w:rFonts w:ascii="Times" w:eastAsia="宋体" w:hAnsi="Times" w:cs="宋体" w:hint="eastAsia"/>
                <w:bCs/>
                <w:color w:val="000000"/>
                <w:kern w:val="0"/>
                <w:lang w:eastAsia="zh-CN"/>
              </w:rPr>
              <w:t>2</w:t>
            </w:r>
            <w:r w:rsidRPr="00DB1D1F">
              <w:rPr>
                <w:rFonts w:ascii="Times" w:eastAsia="宋体" w:hAnsi="Times" w:cs="宋体" w:hint="eastAsia"/>
                <w:bCs/>
                <w:color w:val="000000"/>
                <w:kern w:val="0"/>
                <w:lang w:eastAsia="zh-CN"/>
              </w:rPr>
              <w:t>月、</w:t>
            </w:r>
            <w:r w:rsidRPr="00DB1D1F">
              <w:rPr>
                <w:rFonts w:ascii="Times" w:eastAsia="宋体" w:hAnsi="Times" w:cs="宋体" w:hint="eastAsia"/>
                <w:bCs/>
                <w:color w:val="000000"/>
                <w:kern w:val="0"/>
                <w:lang w:eastAsia="zh-CN"/>
              </w:rPr>
              <w:t>3</w:t>
            </w:r>
            <w:r w:rsidRPr="00DB1D1F">
              <w:rPr>
                <w:rFonts w:ascii="Times" w:eastAsia="宋体" w:hAnsi="Times" w:cs="宋体" w:hint="eastAsia"/>
                <w:bCs/>
                <w:color w:val="000000"/>
                <w:kern w:val="0"/>
                <w:lang w:eastAsia="zh-CN"/>
              </w:rPr>
              <w:t>月，欧央行将主要再融资利率两次分别下调</w:t>
            </w:r>
            <w:r w:rsidRPr="00DB1D1F">
              <w:rPr>
                <w:rFonts w:ascii="Times" w:eastAsia="宋体" w:hAnsi="Times" w:cs="宋体"/>
                <w:bCs/>
                <w:color w:val="000000"/>
                <w:kern w:val="0"/>
                <w:lang w:eastAsia="zh-CN"/>
              </w:rPr>
              <w:t>25bp</w:t>
            </w:r>
            <w:r w:rsidRPr="00DB1D1F">
              <w:rPr>
                <w:rFonts w:ascii="Times" w:eastAsia="宋体" w:hAnsi="Times" w:cs="宋体" w:hint="eastAsia"/>
                <w:bCs/>
                <w:color w:val="000000"/>
                <w:kern w:val="0"/>
                <w:lang w:eastAsia="zh-CN"/>
              </w:rPr>
              <w:t>至</w:t>
            </w:r>
            <w:r w:rsidRPr="00DB1D1F">
              <w:rPr>
                <w:rFonts w:ascii="Times" w:eastAsia="宋体" w:hAnsi="Times" w:cs="宋体" w:hint="eastAsia"/>
                <w:bCs/>
                <w:color w:val="000000"/>
                <w:kern w:val="0"/>
                <w:lang w:eastAsia="zh-CN"/>
              </w:rPr>
              <w:t>2.65</w:t>
            </w:r>
            <w:r w:rsidRPr="00DB1D1F">
              <w:rPr>
                <w:rFonts w:ascii="Times" w:eastAsia="宋体" w:hAnsi="Times" w:cs="宋体"/>
                <w:bCs/>
                <w:color w:val="000000"/>
                <w:kern w:val="0"/>
                <w:lang w:eastAsia="zh-CN"/>
              </w:rPr>
              <w:t>%</w:t>
            </w:r>
            <w:r w:rsidRPr="00DB1D1F">
              <w:rPr>
                <w:rFonts w:ascii="Times" w:eastAsia="宋体" w:hAnsi="Times" w:cs="宋体" w:hint="eastAsia"/>
                <w:bCs/>
                <w:color w:val="000000"/>
                <w:kern w:val="0"/>
                <w:lang w:eastAsia="zh-CN"/>
              </w:rPr>
              <w:t>，存款便利利率、贷款便利利率同步累计下调</w:t>
            </w:r>
            <w:r w:rsidRPr="00DB1D1F">
              <w:rPr>
                <w:rFonts w:ascii="Times" w:eastAsia="宋体" w:hAnsi="Times" w:cs="宋体"/>
                <w:bCs/>
                <w:color w:val="000000"/>
                <w:kern w:val="0"/>
                <w:lang w:eastAsia="zh-CN"/>
              </w:rPr>
              <w:t>50bp</w:t>
            </w:r>
            <w:r w:rsidRPr="00DB1D1F">
              <w:rPr>
                <w:rFonts w:ascii="Times" w:eastAsia="宋体" w:hAnsi="Times" w:cs="宋体" w:hint="eastAsia"/>
                <w:bCs/>
                <w:color w:val="000000"/>
                <w:kern w:val="0"/>
                <w:lang w:eastAsia="zh-CN"/>
              </w:rPr>
              <w:t>至</w:t>
            </w:r>
            <w:r w:rsidRPr="00DB1D1F">
              <w:rPr>
                <w:rFonts w:ascii="Times" w:eastAsia="宋体" w:hAnsi="Times" w:cs="宋体" w:hint="eastAsia"/>
                <w:bCs/>
                <w:color w:val="000000"/>
                <w:kern w:val="0"/>
                <w:lang w:eastAsia="zh-CN"/>
              </w:rPr>
              <w:t>2.5</w:t>
            </w:r>
            <w:r w:rsidRPr="00DB1D1F">
              <w:rPr>
                <w:rFonts w:ascii="Times" w:eastAsia="宋体" w:hAnsi="Times" w:cs="宋体"/>
                <w:bCs/>
                <w:color w:val="000000"/>
                <w:kern w:val="0"/>
                <w:lang w:eastAsia="zh-CN"/>
              </w:rPr>
              <w:t>%</w:t>
            </w:r>
            <w:r w:rsidRPr="00DB1D1F">
              <w:rPr>
                <w:rFonts w:ascii="Times" w:eastAsia="宋体" w:hAnsi="Times" w:cs="宋体" w:hint="eastAsia"/>
                <w:bCs/>
                <w:color w:val="000000"/>
                <w:kern w:val="0"/>
                <w:lang w:eastAsia="zh-CN"/>
              </w:rPr>
              <w:t>、</w:t>
            </w:r>
            <w:r w:rsidRPr="00DB1D1F">
              <w:rPr>
                <w:rFonts w:ascii="Times" w:eastAsia="宋体" w:hAnsi="Times" w:cs="宋体" w:hint="eastAsia"/>
                <w:bCs/>
                <w:color w:val="000000"/>
                <w:kern w:val="0"/>
                <w:lang w:eastAsia="zh-CN"/>
              </w:rPr>
              <w:t>2.9</w:t>
            </w:r>
            <w:r w:rsidRPr="00DB1D1F">
              <w:rPr>
                <w:rFonts w:ascii="Times" w:eastAsia="宋体" w:hAnsi="Times" w:cs="宋体"/>
                <w:bCs/>
                <w:color w:val="000000"/>
                <w:kern w:val="0"/>
                <w:lang w:eastAsia="zh-CN"/>
              </w:rPr>
              <w:t>%</w:t>
            </w:r>
            <w:r w:rsidRPr="00DB1D1F">
              <w:rPr>
                <w:rFonts w:ascii="Times" w:eastAsia="宋体" w:hAnsi="Times" w:cs="宋体" w:hint="eastAsia"/>
                <w:bCs/>
                <w:color w:val="000000"/>
                <w:kern w:val="0"/>
                <w:lang w:eastAsia="zh-CN"/>
              </w:rPr>
              <w:t>。欧元</w:t>
            </w:r>
            <w:r w:rsidRPr="00DB1D1F">
              <w:rPr>
                <w:rFonts w:ascii="Times" w:eastAsia="宋体" w:hAnsi="Times" w:cs="宋体"/>
                <w:bCs/>
                <w:color w:val="000000"/>
                <w:kern w:val="0"/>
                <w:lang w:eastAsia="zh-CN"/>
              </w:rPr>
              <w:t>Euribor</w:t>
            </w:r>
            <w:r w:rsidRPr="00DB1D1F">
              <w:rPr>
                <w:rFonts w:ascii="Times" w:eastAsia="宋体" w:hAnsi="Times" w:cs="宋体" w:hint="eastAsia"/>
                <w:bCs/>
                <w:color w:val="000000"/>
                <w:kern w:val="0"/>
                <w:lang w:eastAsia="zh-CN"/>
              </w:rPr>
              <w:t>季内波幅为</w:t>
            </w:r>
            <w:r w:rsidRPr="00DB1D1F">
              <w:rPr>
                <w:rFonts w:ascii="Times" w:eastAsia="宋体" w:hAnsi="Times" w:cs="宋体" w:hint="eastAsia"/>
                <w:bCs/>
                <w:color w:val="000000"/>
                <w:kern w:val="0"/>
                <w:lang w:eastAsia="zh-CN"/>
              </w:rPr>
              <w:t>54.9</w:t>
            </w:r>
            <w:r w:rsidRPr="00DB1D1F">
              <w:rPr>
                <w:rFonts w:ascii="Times" w:eastAsia="宋体" w:hAnsi="Times" w:cs="宋体"/>
                <w:bCs/>
                <w:color w:val="000000"/>
                <w:kern w:val="0"/>
                <w:lang w:eastAsia="zh-CN"/>
              </w:rPr>
              <w:t>bp</w:t>
            </w:r>
            <w:r w:rsidRPr="00DB1D1F">
              <w:rPr>
                <w:rFonts w:ascii="Times" w:eastAsia="宋体" w:hAnsi="Times" w:cs="宋体" w:hint="eastAsia"/>
                <w:bCs/>
                <w:color w:val="000000"/>
                <w:kern w:val="0"/>
                <w:lang w:eastAsia="zh-CN"/>
              </w:rPr>
              <w:t>，下行幅度稍大于主要再融资利率下调幅度。日本央行</w:t>
            </w:r>
            <w:r w:rsidRPr="00DB1D1F">
              <w:rPr>
                <w:rFonts w:ascii="Times" w:eastAsia="宋体" w:hAnsi="Times" w:cs="宋体" w:hint="eastAsia"/>
                <w:bCs/>
                <w:color w:val="000000"/>
                <w:kern w:val="0"/>
                <w:lang w:eastAsia="zh-CN"/>
              </w:rPr>
              <w:t>1</w:t>
            </w:r>
            <w:r w:rsidRPr="00DB1D1F">
              <w:rPr>
                <w:rFonts w:ascii="Times" w:eastAsia="宋体" w:hAnsi="Times" w:cs="宋体" w:hint="eastAsia"/>
                <w:bCs/>
                <w:color w:val="000000"/>
                <w:kern w:val="0"/>
                <w:lang w:eastAsia="zh-CN"/>
              </w:rPr>
              <w:t>月加息</w:t>
            </w:r>
            <w:r w:rsidRPr="00DB1D1F">
              <w:rPr>
                <w:rFonts w:ascii="Times" w:eastAsia="宋体" w:hAnsi="Times" w:cs="宋体" w:hint="eastAsia"/>
                <w:bCs/>
                <w:color w:val="000000"/>
                <w:kern w:val="0"/>
                <w:lang w:eastAsia="zh-CN"/>
              </w:rPr>
              <w:t>25bp</w:t>
            </w:r>
            <w:r w:rsidRPr="00DB1D1F">
              <w:rPr>
                <w:rFonts w:ascii="Times" w:eastAsia="宋体" w:hAnsi="Times" w:cs="宋体" w:hint="eastAsia"/>
                <w:bCs/>
                <w:color w:val="000000"/>
                <w:kern w:val="0"/>
                <w:lang w:eastAsia="zh-CN"/>
              </w:rPr>
              <w:t>，日本</w:t>
            </w:r>
            <w:r w:rsidRPr="00DB1D1F">
              <w:rPr>
                <w:rFonts w:ascii="Times" w:eastAsia="宋体" w:hAnsi="Times" w:cs="宋体"/>
                <w:bCs/>
                <w:color w:val="000000"/>
                <w:kern w:val="0"/>
                <w:lang w:eastAsia="zh-CN"/>
              </w:rPr>
              <w:t>Tibor</w:t>
            </w:r>
            <w:r w:rsidRPr="00DB1D1F">
              <w:rPr>
                <w:rFonts w:ascii="Times" w:eastAsia="宋体" w:hAnsi="Times" w:cs="宋体" w:hint="eastAsia"/>
                <w:bCs/>
                <w:color w:val="000000"/>
                <w:kern w:val="0"/>
                <w:lang w:eastAsia="zh-CN"/>
              </w:rPr>
              <w:t>波幅约</w:t>
            </w:r>
            <w:r w:rsidRPr="00DB1D1F">
              <w:rPr>
                <w:rFonts w:ascii="Times" w:eastAsia="宋体" w:hAnsi="Times" w:cs="宋体" w:hint="eastAsia"/>
                <w:bCs/>
                <w:color w:val="000000"/>
                <w:kern w:val="0"/>
                <w:lang w:eastAsia="zh-CN"/>
              </w:rPr>
              <w:t>25.73</w:t>
            </w:r>
            <w:r w:rsidRPr="00DB1D1F">
              <w:rPr>
                <w:rFonts w:ascii="Times" w:eastAsia="宋体" w:hAnsi="Times" w:cs="宋体"/>
                <w:bCs/>
                <w:color w:val="000000"/>
                <w:kern w:val="0"/>
                <w:lang w:eastAsia="zh-CN"/>
              </w:rPr>
              <w:t>bp</w:t>
            </w:r>
            <w:r w:rsidRPr="00DB1D1F">
              <w:rPr>
                <w:rFonts w:ascii="Times" w:eastAsia="宋体" w:hAnsi="Times" w:cs="宋体" w:hint="eastAsia"/>
                <w:bCs/>
                <w:color w:val="000000"/>
                <w:kern w:val="0"/>
                <w:lang w:eastAsia="zh-CN"/>
              </w:rPr>
              <w:t>。新兴市场货币市场利率波动较大，印度央行加息</w:t>
            </w:r>
            <w:r w:rsidRPr="00DB1D1F">
              <w:rPr>
                <w:rFonts w:ascii="Times" w:eastAsia="宋体" w:hAnsi="Times" w:cs="宋体" w:hint="eastAsia"/>
                <w:bCs/>
                <w:color w:val="000000"/>
                <w:kern w:val="0"/>
                <w:lang w:eastAsia="zh-CN"/>
              </w:rPr>
              <w:t>1</w:t>
            </w:r>
            <w:r w:rsidRPr="00DB1D1F">
              <w:rPr>
                <w:rFonts w:ascii="Times" w:eastAsia="宋体" w:hAnsi="Times" w:cs="宋体" w:hint="eastAsia"/>
                <w:bCs/>
                <w:color w:val="000000"/>
                <w:kern w:val="0"/>
                <w:lang w:eastAsia="zh-CN"/>
              </w:rPr>
              <w:t>次，同业拆借利率中枢下行，季内波幅超过</w:t>
            </w:r>
            <w:r w:rsidRPr="00DB1D1F">
              <w:rPr>
                <w:rFonts w:ascii="Times" w:eastAsia="宋体" w:hAnsi="Times" w:cs="宋体" w:hint="eastAsia"/>
                <w:bCs/>
                <w:color w:val="000000"/>
                <w:kern w:val="0"/>
                <w:lang w:eastAsia="zh-CN"/>
              </w:rPr>
              <w:t>100</w:t>
            </w:r>
            <w:r w:rsidRPr="00DB1D1F">
              <w:rPr>
                <w:rFonts w:ascii="Times" w:eastAsia="宋体" w:hAnsi="Times" w:cs="宋体"/>
                <w:bCs/>
                <w:color w:val="000000"/>
                <w:kern w:val="0"/>
                <w:lang w:eastAsia="zh-CN"/>
              </w:rPr>
              <w:t>bp</w:t>
            </w:r>
            <w:r w:rsidRPr="00DB1D1F">
              <w:rPr>
                <w:rFonts w:ascii="Times" w:eastAsia="宋体" w:hAnsi="Times" w:cs="宋体" w:hint="eastAsia"/>
                <w:bCs/>
                <w:color w:val="000000"/>
                <w:kern w:val="0"/>
                <w:lang w:eastAsia="zh-CN"/>
              </w:rPr>
              <w:t>；俄罗斯央行关键利率保持不变，同业拆借利率季内波幅较大、达</w:t>
            </w:r>
            <w:r w:rsidRPr="00DB1D1F">
              <w:rPr>
                <w:rFonts w:ascii="Times" w:eastAsia="宋体" w:hAnsi="Times" w:cs="宋体" w:hint="eastAsia"/>
                <w:bCs/>
                <w:color w:val="000000"/>
                <w:kern w:val="0"/>
                <w:lang w:eastAsia="zh-CN"/>
              </w:rPr>
              <w:t>125bp</w:t>
            </w:r>
            <w:r w:rsidRPr="00DB1D1F">
              <w:rPr>
                <w:rFonts w:ascii="Times" w:eastAsia="宋体" w:hAnsi="Times" w:cs="宋体" w:hint="eastAsia"/>
                <w:bCs/>
                <w:color w:val="000000"/>
                <w:kern w:val="0"/>
                <w:lang w:eastAsia="zh-CN"/>
              </w:rPr>
              <w:t>。人民银行并未进一步降息降准，公开市场净回笼</w:t>
            </w:r>
            <w:r w:rsidRPr="00DB1D1F">
              <w:rPr>
                <w:rFonts w:ascii="Times" w:eastAsia="宋体" w:hAnsi="Times" w:cs="宋体" w:hint="eastAsia"/>
                <w:bCs/>
                <w:color w:val="000000"/>
                <w:kern w:val="0"/>
                <w:lang w:eastAsia="zh-CN"/>
              </w:rPr>
              <w:t>2882</w:t>
            </w:r>
            <w:r w:rsidRPr="00DB1D1F">
              <w:rPr>
                <w:rFonts w:ascii="Times" w:eastAsia="宋体" w:hAnsi="Times" w:cs="宋体" w:hint="eastAsia"/>
                <w:bCs/>
                <w:color w:val="000000"/>
                <w:kern w:val="0"/>
                <w:lang w:eastAsia="zh-CN"/>
              </w:rPr>
              <w:t>亿元（不含国库现金），银行间资金面偏紧，央行释放出降息降准预期，但短端货币市场利率未对预期做明显反应，</w:t>
            </w:r>
            <w:r w:rsidRPr="00DB1D1F">
              <w:rPr>
                <w:rFonts w:ascii="Times" w:eastAsia="宋体" w:hAnsi="Times" w:cs="宋体" w:hint="eastAsia"/>
                <w:bCs/>
                <w:color w:val="000000"/>
                <w:kern w:val="0"/>
                <w:lang w:eastAsia="zh-CN"/>
              </w:rPr>
              <w:t>1</w:t>
            </w:r>
            <w:r w:rsidRPr="00DB1D1F">
              <w:rPr>
                <w:rFonts w:ascii="Times" w:eastAsia="宋体" w:hAnsi="Times" w:cs="宋体" w:hint="eastAsia"/>
                <w:bCs/>
                <w:color w:val="000000"/>
                <w:kern w:val="0"/>
                <w:lang w:eastAsia="zh-CN"/>
              </w:rPr>
              <w:t>季度人民币货币市场利率中枢抬升，波动较大、季内波幅接近</w:t>
            </w:r>
            <w:r w:rsidRPr="00DB1D1F">
              <w:rPr>
                <w:rFonts w:ascii="Times" w:eastAsia="宋体" w:hAnsi="Times" w:cs="宋体" w:hint="eastAsia"/>
                <w:bCs/>
                <w:color w:val="000000"/>
                <w:kern w:val="0"/>
                <w:lang w:eastAsia="zh-CN"/>
              </w:rPr>
              <w:t>70bp</w:t>
            </w:r>
            <w:r w:rsidRPr="00DB1D1F">
              <w:rPr>
                <w:rFonts w:ascii="Times" w:eastAsia="宋体" w:hAnsi="Times" w:cs="宋体" w:hint="eastAsia"/>
                <w:bCs/>
                <w:color w:val="000000"/>
                <w:kern w:val="0"/>
                <w:lang w:eastAsia="zh-CN"/>
              </w:rPr>
              <w:t>。</w:t>
            </w:r>
          </w:p>
        </w:tc>
      </w:tr>
      <w:tr w:rsidR="00DB1D1F" w:rsidRPr="00DB1D1F" w14:paraId="4429D8C3" w14:textId="77777777" w:rsidTr="00D72849">
        <w:trPr>
          <w:trHeight w:val="4752"/>
          <w:jc w:val="center"/>
        </w:trPr>
        <w:tc>
          <w:tcPr>
            <w:tcW w:w="9637" w:type="dxa"/>
            <w:gridSpan w:val="3"/>
          </w:tcPr>
          <w:p w14:paraId="0AC137F3" w14:textId="0814FE38" w:rsidR="00DB1D1F" w:rsidRPr="00D37774" w:rsidRDefault="00D37774" w:rsidP="00D37774">
            <w:pPr>
              <w:pStyle w:val="a4"/>
            </w:pPr>
            <w:bookmarkStart w:id="82" w:name="_Toc487804459"/>
            <w:bookmarkStart w:id="83" w:name="_Toc479962495"/>
            <w:bookmarkStart w:id="84" w:name="_Toc464667701"/>
            <w:bookmarkStart w:id="85" w:name="_Toc196399446"/>
            <w:r w:rsidRPr="00D37774">
              <w:rPr>
                <w:rFonts w:hint="eastAsia"/>
              </w:rPr>
              <w:lastRenderedPageBreak/>
              <w:t xml:space="preserve">图表 </w:t>
            </w:r>
            <w:r w:rsidRPr="00D37774">
              <w:rPr>
                <w:rFonts w:hint="eastAsia"/>
              </w:rPr>
              <w:fldChar w:fldCharType="begin"/>
            </w:r>
            <w:r w:rsidRPr="00D37774">
              <w:rPr>
                <w:rFonts w:hint="eastAsia"/>
              </w:rPr>
              <w:instrText xml:space="preserve"> SEQ 图表 \* ARABIC </w:instrText>
            </w:r>
            <w:r w:rsidRPr="00D37774">
              <w:rPr>
                <w:rFonts w:hint="eastAsia"/>
              </w:rPr>
              <w:fldChar w:fldCharType="separate"/>
            </w:r>
            <w:r w:rsidR="00530ED7">
              <w:rPr>
                <w:rFonts w:hint="eastAsia"/>
                <w:noProof/>
              </w:rPr>
              <w:t>35</w:t>
            </w:r>
            <w:r w:rsidRPr="00D37774">
              <w:rPr>
                <w:rFonts w:hint="eastAsia"/>
              </w:rPr>
              <w:fldChar w:fldCharType="end"/>
            </w:r>
            <w:bookmarkEnd w:id="82"/>
            <w:bookmarkEnd w:id="83"/>
            <w:bookmarkEnd w:id="84"/>
            <w:r w:rsidRPr="00D37774">
              <w:t xml:space="preserve">  </w:t>
            </w:r>
            <w:r w:rsidR="00DB1D1F" w:rsidRPr="00D37774">
              <w:rPr>
                <w:rFonts w:hint="eastAsia"/>
              </w:rPr>
              <w:t>全球主要发达与新兴经济体货币市场走势一览</w:t>
            </w:r>
            <w:bookmarkEnd w:id="85"/>
          </w:p>
          <w:p w14:paraId="318C2C63" w14:textId="77777777" w:rsidR="00DB1D1F" w:rsidRPr="00DB1D1F" w:rsidRDefault="00DB1D1F" w:rsidP="00DB1D1F">
            <w:pPr>
              <w:spacing w:line="240" w:lineRule="auto"/>
              <w:ind w:firstLineChars="0" w:firstLine="0"/>
              <w:jc w:val="left"/>
              <w:rPr>
                <w:rFonts w:ascii="Times" w:eastAsia="宋体" w:hAnsi="Times"/>
                <w:color w:val="000000"/>
                <w:sz w:val="18"/>
                <w:szCs w:val="18"/>
                <w:lang w:eastAsia="zh-CN"/>
              </w:rPr>
            </w:pPr>
            <w:r w:rsidRPr="00DB1D1F">
              <w:rPr>
                <w:rFonts w:ascii="等线" w:eastAsia="等线" w:hAnsi="等线"/>
                <w:noProof/>
                <w:sz w:val="21"/>
                <w:szCs w:val="22"/>
                <w:lang w:eastAsia="zh-CN" w:bidi="ar-SA"/>
              </w:rPr>
              <w:drawing>
                <wp:inline distT="0" distB="0" distL="114300" distR="114300" wp14:anchorId="0464602D" wp14:editId="19CA5ABE">
                  <wp:extent cx="5977890" cy="2851150"/>
                  <wp:effectExtent l="0" t="0" r="3810" b="6350"/>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60"/>
                          <a:stretch>
                            <a:fillRect/>
                          </a:stretch>
                        </pic:blipFill>
                        <pic:spPr>
                          <a:xfrm>
                            <a:off x="0" y="0"/>
                            <a:ext cx="5977890" cy="2851150"/>
                          </a:xfrm>
                          <a:prstGeom prst="rect">
                            <a:avLst/>
                          </a:prstGeom>
                          <a:noFill/>
                          <a:ln>
                            <a:noFill/>
                          </a:ln>
                        </pic:spPr>
                      </pic:pic>
                    </a:graphicData>
                  </a:graphic>
                </wp:inline>
              </w:drawing>
            </w:r>
          </w:p>
          <w:p w14:paraId="698F93E6" w14:textId="77777777" w:rsidR="00DB1D1F" w:rsidRPr="00DB1D1F" w:rsidRDefault="00DB1D1F" w:rsidP="00DB1D1F">
            <w:pPr>
              <w:spacing w:line="240" w:lineRule="auto"/>
              <w:ind w:firstLineChars="0" w:firstLine="0"/>
              <w:jc w:val="left"/>
              <w:rPr>
                <w:rFonts w:ascii="Times" w:eastAsia="宋体" w:hAnsi="Times"/>
                <w:color w:val="000000"/>
                <w:sz w:val="18"/>
                <w:szCs w:val="18"/>
                <w:lang w:eastAsia="zh-CN"/>
              </w:rPr>
            </w:pPr>
            <w:r w:rsidRPr="00DB1D1F">
              <w:rPr>
                <w:rFonts w:ascii="Times" w:eastAsia="宋体" w:hAnsi="Times" w:hint="eastAsia"/>
                <w:color w:val="000000"/>
                <w:sz w:val="18"/>
                <w:szCs w:val="18"/>
                <w:lang w:eastAsia="zh-CN"/>
              </w:rPr>
              <w:t>注：同上。</w:t>
            </w:r>
          </w:p>
        </w:tc>
      </w:tr>
      <w:tr w:rsidR="00DB1D1F" w:rsidRPr="00DB1D1F" w14:paraId="761FEB8F" w14:textId="77777777" w:rsidTr="00D72849">
        <w:trPr>
          <w:trHeight w:val="851"/>
          <w:jc w:val="center"/>
        </w:trPr>
        <w:tc>
          <w:tcPr>
            <w:tcW w:w="9637" w:type="dxa"/>
            <w:gridSpan w:val="3"/>
          </w:tcPr>
          <w:p w14:paraId="146D947F" w14:textId="51905D9C" w:rsidR="00DB1D1F" w:rsidRPr="00DB1D1F" w:rsidRDefault="00D37774" w:rsidP="00D37774">
            <w:pPr>
              <w:pStyle w:val="a4"/>
              <w:rPr>
                <w:rFonts w:ascii="Times" w:hAnsi="Times"/>
                <w:szCs w:val="21"/>
              </w:rPr>
            </w:pPr>
            <w:bookmarkStart w:id="86" w:name="_Toc196399447"/>
            <w:r w:rsidRPr="00D37774">
              <w:rPr>
                <w:rFonts w:hint="eastAsia"/>
              </w:rPr>
              <w:t xml:space="preserve">图表 </w:t>
            </w:r>
            <w:r w:rsidRPr="00D37774">
              <w:rPr>
                <w:rFonts w:hint="eastAsia"/>
              </w:rPr>
              <w:fldChar w:fldCharType="begin"/>
            </w:r>
            <w:r w:rsidRPr="00D37774">
              <w:rPr>
                <w:rFonts w:hint="eastAsia"/>
              </w:rPr>
              <w:instrText xml:space="preserve"> SEQ 图表 \* ARABIC </w:instrText>
            </w:r>
            <w:r w:rsidRPr="00D37774">
              <w:rPr>
                <w:rFonts w:hint="eastAsia"/>
              </w:rPr>
              <w:fldChar w:fldCharType="separate"/>
            </w:r>
            <w:r w:rsidR="00530ED7">
              <w:rPr>
                <w:rFonts w:hint="eastAsia"/>
                <w:noProof/>
              </w:rPr>
              <w:t>36</w:t>
            </w:r>
            <w:r w:rsidRPr="00D37774">
              <w:rPr>
                <w:rFonts w:hint="eastAsia"/>
              </w:rPr>
              <w:fldChar w:fldCharType="end"/>
            </w:r>
            <w:r w:rsidRPr="00D37774">
              <w:rPr>
                <w:rFonts w:ascii="Times" w:hAnsi="Times"/>
                <w:sz w:val="18"/>
              </w:rPr>
              <w:t xml:space="preserve"> </w:t>
            </w:r>
            <w:r w:rsidRPr="00D37774">
              <w:rPr>
                <w:rFonts w:ascii="Times" w:hAnsi="Times"/>
              </w:rPr>
              <w:t xml:space="preserve"> </w:t>
            </w:r>
            <w:r w:rsidR="00DB1D1F" w:rsidRPr="00DB1D1F">
              <w:rPr>
                <w:rFonts w:ascii="Times" w:hAnsi="Times" w:hint="eastAsia"/>
                <w:szCs w:val="21"/>
              </w:rPr>
              <w:t>全球主要发达与新兴经济体长期国债市场走势一览</w:t>
            </w:r>
            <w:bookmarkEnd w:id="86"/>
          </w:p>
          <w:p w14:paraId="4AE695F1" w14:textId="77777777" w:rsidR="00DB1D1F" w:rsidRPr="00DB1D1F" w:rsidRDefault="00DB1D1F" w:rsidP="00DB1D1F">
            <w:pPr>
              <w:ind w:firstLineChars="0" w:firstLine="0"/>
              <w:jc w:val="center"/>
              <w:rPr>
                <w:rFonts w:ascii="Times" w:eastAsia="宋体" w:hAnsi="Times"/>
                <w:color w:val="000000"/>
                <w:sz w:val="28"/>
                <w:szCs w:val="28"/>
                <w:lang w:eastAsia="zh-CN" w:bidi="ar-SA"/>
              </w:rPr>
            </w:pPr>
            <w:r w:rsidRPr="00DB1D1F">
              <w:rPr>
                <w:rFonts w:ascii="等线" w:eastAsia="等线" w:hAnsi="等线"/>
                <w:noProof/>
                <w:sz w:val="21"/>
                <w:szCs w:val="22"/>
                <w:lang w:eastAsia="zh-CN" w:bidi="ar-SA"/>
              </w:rPr>
              <w:drawing>
                <wp:inline distT="0" distB="0" distL="114300" distR="114300" wp14:anchorId="0307EDF0" wp14:editId="623FCB87">
                  <wp:extent cx="5981065" cy="4338320"/>
                  <wp:effectExtent l="0" t="0" r="635" b="5080"/>
                  <wp:docPr id="1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pic:cNvPicPr>
                            <a:picLocks noChangeAspect="1"/>
                          </pic:cNvPicPr>
                        </pic:nvPicPr>
                        <pic:blipFill>
                          <a:blip r:embed="rId61"/>
                          <a:stretch>
                            <a:fillRect/>
                          </a:stretch>
                        </pic:blipFill>
                        <pic:spPr>
                          <a:xfrm>
                            <a:off x="0" y="0"/>
                            <a:ext cx="5981065" cy="4338320"/>
                          </a:xfrm>
                          <a:prstGeom prst="rect">
                            <a:avLst/>
                          </a:prstGeom>
                          <a:noFill/>
                          <a:ln>
                            <a:noFill/>
                          </a:ln>
                        </pic:spPr>
                      </pic:pic>
                    </a:graphicData>
                  </a:graphic>
                </wp:inline>
              </w:drawing>
            </w:r>
          </w:p>
          <w:p w14:paraId="0B13152C" w14:textId="77777777" w:rsidR="00DB1D1F" w:rsidRPr="00DB1D1F" w:rsidRDefault="00DB1D1F" w:rsidP="00DB1D1F">
            <w:pPr>
              <w:ind w:firstLineChars="0" w:firstLine="0"/>
              <w:rPr>
                <w:rFonts w:ascii="Times" w:eastAsia="宋体" w:hAnsi="Times"/>
                <w:color w:val="000000"/>
                <w:sz w:val="18"/>
                <w:szCs w:val="18"/>
                <w:lang w:eastAsia="zh-CN"/>
              </w:rPr>
            </w:pPr>
            <w:r w:rsidRPr="00DB1D1F">
              <w:rPr>
                <w:rFonts w:ascii="Times" w:eastAsia="宋体" w:hAnsi="Times" w:hint="eastAsia"/>
                <w:color w:val="000000"/>
                <w:sz w:val="18"/>
                <w:szCs w:val="18"/>
                <w:lang w:eastAsia="zh-CN"/>
              </w:rPr>
              <w:t>注：同上。</w:t>
            </w:r>
          </w:p>
        </w:tc>
      </w:tr>
      <w:tr w:rsidR="00DB1D1F" w:rsidRPr="00DB1D1F" w14:paraId="0C338284" w14:textId="77777777" w:rsidTr="00D72849">
        <w:trPr>
          <w:trHeight w:val="851"/>
          <w:jc w:val="center"/>
        </w:trPr>
        <w:tc>
          <w:tcPr>
            <w:tcW w:w="2154" w:type="dxa"/>
            <w:vAlign w:val="center"/>
          </w:tcPr>
          <w:p w14:paraId="419CBE17" w14:textId="77777777" w:rsidR="00DB1D1F" w:rsidRPr="00DB1D1F" w:rsidRDefault="00DB1D1F" w:rsidP="00DB1D1F">
            <w:pPr>
              <w:ind w:firstLineChars="0" w:firstLine="0"/>
              <w:rPr>
                <w:rFonts w:ascii="Times" w:eastAsia="宋体" w:hAnsi="Times"/>
                <w:b/>
                <w:szCs w:val="28"/>
                <w:lang w:eastAsia="zh-CN" w:bidi="ar-SA"/>
              </w:rPr>
            </w:pPr>
            <w:r w:rsidRPr="00DB1D1F">
              <w:rPr>
                <w:rFonts w:ascii="Times" w:eastAsia="宋体" w:hAnsi="Times" w:hint="eastAsia"/>
                <w:b/>
                <w:szCs w:val="28"/>
                <w:lang w:eastAsia="zh-CN" w:bidi="ar-SA"/>
              </w:rPr>
              <w:lastRenderedPageBreak/>
              <w:t>美债收益率下行</w:t>
            </w:r>
          </w:p>
          <w:p w14:paraId="35355CFC" w14:textId="77777777" w:rsidR="00DB1D1F" w:rsidRPr="00DB1D1F" w:rsidRDefault="00DB1D1F" w:rsidP="00DB1D1F">
            <w:pPr>
              <w:ind w:firstLineChars="0" w:firstLine="0"/>
              <w:rPr>
                <w:rFonts w:ascii="Times" w:eastAsia="宋体" w:hAnsi="Times"/>
                <w:b/>
                <w:szCs w:val="28"/>
                <w:lang w:eastAsia="zh-CN" w:bidi="ar-SA"/>
              </w:rPr>
            </w:pPr>
          </w:p>
          <w:p w14:paraId="5B3D0736" w14:textId="77777777" w:rsidR="00DB1D1F" w:rsidRPr="00DB1D1F" w:rsidRDefault="00DB1D1F" w:rsidP="00DB1D1F">
            <w:pPr>
              <w:ind w:firstLineChars="0" w:firstLine="0"/>
              <w:rPr>
                <w:rFonts w:ascii="Times" w:eastAsia="宋体" w:hAnsi="Times"/>
                <w:b/>
                <w:szCs w:val="28"/>
                <w:lang w:eastAsia="zh-CN" w:bidi="ar-SA"/>
              </w:rPr>
            </w:pPr>
          </w:p>
          <w:p w14:paraId="4F4A9063" w14:textId="77777777" w:rsidR="00DB1D1F" w:rsidRPr="00DB1D1F" w:rsidRDefault="00DB1D1F" w:rsidP="00DB1D1F">
            <w:pPr>
              <w:ind w:firstLineChars="0" w:firstLine="0"/>
              <w:rPr>
                <w:rFonts w:ascii="Times" w:eastAsia="宋体" w:hAnsi="Times"/>
                <w:b/>
                <w:szCs w:val="28"/>
                <w:lang w:eastAsia="zh-CN" w:bidi="ar-SA"/>
              </w:rPr>
            </w:pPr>
          </w:p>
        </w:tc>
        <w:tc>
          <w:tcPr>
            <w:tcW w:w="300" w:type="dxa"/>
          </w:tcPr>
          <w:p w14:paraId="7A9203C6" w14:textId="77777777" w:rsidR="00DB1D1F" w:rsidRPr="00DB1D1F" w:rsidRDefault="00DB1D1F" w:rsidP="00DB1D1F">
            <w:pPr>
              <w:keepNext/>
              <w:keepLines/>
              <w:spacing w:before="260" w:after="260"/>
              <w:ind w:firstLine="480"/>
              <w:rPr>
                <w:rFonts w:ascii="Times" w:eastAsia="宋体" w:hAnsi="Times"/>
                <w:lang w:eastAsia="zh-CN"/>
              </w:rPr>
            </w:pPr>
          </w:p>
        </w:tc>
        <w:tc>
          <w:tcPr>
            <w:tcW w:w="7183" w:type="dxa"/>
          </w:tcPr>
          <w:p w14:paraId="4EA7ACA7" w14:textId="77777777" w:rsidR="00DB1D1F" w:rsidRPr="00DB1D1F" w:rsidRDefault="00DB1D1F" w:rsidP="00DB1D1F">
            <w:pPr>
              <w:ind w:firstLine="482"/>
              <w:rPr>
                <w:rFonts w:ascii="Times" w:eastAsia="宋体" w:hAnsi="Times"/>
                <w:bCs/>
                <w:lang w:eastAsia="zh-CN"/>
              </w:rPr>
            </w:pPr>
            <w:r w:rsidRPr="00DB1D1F">
              <w:rPr>
                <w:rFonts w:ascii="Times" w:eastAsia="宋体" w:hAnsi="Times" w:hint="eastAsia"/>
                <w:b/>
                <w:lang w:eastAsia="zh-CN"/>
              </w:rPr>
              <w:t>美债收益率下行，其他主要经济体收益率上行。</w:t>
            </w:r>
            <w:r w:rsidRPr="00DB1D1F">
              <w:rPr>
                <w:rFonts w:ascii="Times" w:eastAsia="宋体" w:hAnsi="Times" w:hint="eastAsia"/>
                <w:bCs/>
                <w:lang w:eastAsia="zh-CN"/>
              </w:rPr>
              <w:t>1</w:t>
            </w:r>
            <w:r w:rsidRPr="00DB1D1F">
              <w:rPr>
                <w:rFonts w:ascii="Times" w:eastAsia="宋体" w:hAnsi="Times" w:hint="eastAsia"/>
                <w:bCs/>
                <w:lang w:eastAsia="zh-CN"/>
              </w:rPr>
              <w:t>季度，美债交易衰退预期，美国十年期国债收益率下行，季内波幅达</w:t>
            </w:r>
            <w:r w:rsidRPr="00DB1D1F">
              <w:rPr>
                <w:rFonts w:ascii="Times" w:eastAsia="宋体" w:hAnsi="Times" w:hint="eastAsia"/>
                <w:bCs/>
                <w:lang w:eastAsia="zh-CN"/>
              </w:rPr>
              <w:t>63bp</w:t>
            </w:r>
            <w:r w:rsidRPr="00DB1D1F">
              <w:rPr>
                <w:rFonts w:ascii="Times" w:eastAsia="宋体" w:hAnsi="Times" w:hint="eastAsia"/>
                <w:bCs/>
                <w:lang w:eastAsia="zh-CN"/>
              </w:rPr>
              <w:t>。欧央行降息，欧洲通胀平稳、国防开支预期增加，德国、欧元区十年期国债收益率上行幅度分别</w:t>
            </w:r>
            <w:r w:rsidRPr="00DB1D1F">
              <w:rPr>
                <w:rFonts w:ascii="Times" w:eastAsia="宋体" w:hAnsi="Times" w:hint="eastAsia"/>
                <w:bCs/>
                <w:lang w:eastAsia="zh-CN"/>
              </w:rPr>
              <w:t>5</w:t>
            </w:r>
            <w:r w:rsidRPr="00DB1D1F">
              <w:rPr>
                <w:rFonts w:ascii="Times" w:eastAsia="宋体" w:hAnsi="Times"/>
                <w:bCs/>
                <w:lang w:eastAsia="zh-CN"/>
              </w:rPr>
              <w:t>8bp</w:t>
            </w:r>
            <w:r w:rsidRPr="00DB1D1F">
              <w:rPr>
                <w:rFonts w:ascii="Times" w:eastAsia="宋体" w:hAnsi="Times" w:hint="eastAsia"/>
                <w:bCs/>
                <w:lang w:eastAsia="zh-CN"/>
              </w:rPr>
              <w:t>、</w:t>
            </w:r>
            <w:r w:rsidRPr="00DB1D1F">
              <w:rPr>
                <w:rFonts w:ascii="Times" w:eastAsia="宋体" w:hAnsi="Times" w:hint="eastAsia"/>
                <w:bCs/>
                <w:lang w:eastAsia="zh-CN"/>
              </w:rPr>
              <w:t>52.5</w:t>
            </w:r>
            <w:r w:rsidRPr="00DB1D1F">
              <w:rPr>
                <w:rFonts w:ascii="Times" w:eastAsia="宋体" w:hAnsi="Times"/>
                <w:bCs/>
                <w:lang w:eastAsia="zh-CN"/>
              </w:rPr>
              <w:t>bp</w:t>
            </w:r>
            <w:r w:rsidRPr="00DB1D1F">
              <w:rPr>
                <w:rFonts w:ascii="Times" w:eastAsia="宋体" w:hAnsi="Times" w:hint="eastAsia"/>
                <w:bCs/>
                <w:lang w:eastAsia="zh-CN"/>
              </w:rPr>
              <w:t>。日本央行加息，日本通胀维持在</w:t>
            </w:r>
            <w:r w:rsidRPr="00DB1D1F">
              <w:rPr>
                <w:rFonts w:ascii="Times" w:eastAsia="宋体" w:hAnsi="Times" w:hint="eastAsia"/>
                <w:bCs/>
                <w:lang w:eastAsia="zh-CN"/>
              </w:rPr>
              <w:t>4%</w:t>
            </w:r>
            <w:r w:rsidRPr="00DB1D1F">
              <w:rPr>
                <w:rFonts w:ascii="Times" w:eastAsia="宋体" w:hAnsi="Times" w:hint="eastAsia"/>
                <w:bCs/>
                <w:lang w:eastAsia="zh-CN"/>
              </w:rPr>
              <w:t>左右的高位，日本十年期国债收益率</w:t>
            </w:r>
            <w:r w:rsidRPr="00DB1D1F">
              <w:rPr>
                <w:rFonts w:ascii="Times" w:eastAsia="宋体" w:hAnsi="Times" w:hint="eastAsia"/>
                <w:bCs/>
                <w:lang w:eastAsia="zh-CN"/>
              </w:rPr>
              <w:t>1</w:t>
            </w:r>
            <w:r w:rsidRPr="00DB1D1F">
              <w:rPr>
                <w:rFonts w:ascii="Times" w:eastAsia="宋体" w:hAnsi="Times" w:hint="eastAsia"/>
                <w:bCs/>
                <w:lang w:eastAsia="zh-CN"/>
              </w:rPr>
              <w:t>季度上行接近</w:t>
            </w:r>
            <w:r w:rsidRPr="00DB1D1F">
              <w:rPr>
                <w:rFonts w:ascii="Times" w:eastAsia="宋体" w:hAnsi="Times" w:hint="eastAsia"/>
                <w:bCs/>
                <w:lang w:eastAsia="zh-CN"/>
              </w:rPr>
              <w:t>50</w:t>
            </w:r>
            <w:r w:rsidRPr="00DB1D1F">
              <w:rPr>
                <w:rFonts w:ascii="Times" w:eastAsia="宋体" w:hAnsi="Times" w:hint="eastAsia"/>
                <w:bCs/>
                <w:lang w:eastAsia="zh-CN"/>
              </w:rPr>
              <w:t>个基点。巴西广义消费者物价指数继续上升至</w:t>
            </w:r>
            <w:r w:rsidRPr="00DB1D1F">
              <w:rPr>
                <w:rFonts w:ascii="Times" w:eastAsia="宋体" w:hAnsi="Times" w:hint="eastAsia"/>
                <w:bCs/>
                <w:lang w:eastAsia="zh-CN"/>
              </w:rPr>
              <w:t>5%</w:t>
            </w:r>
            <w:r w:rsidRPr="00DB1D1F">
              <w:rPr>
                <w:rFonts w:ascii="Times" w:eastAsia="宋体" w:hAnsi="Times" w:hint="eastAsia"/>
                <w:bCs/>
                <w:lang w:eastAsia="zh-CN"/>
              </w:rPr>
              <w:t>以上、巴西央行连续两次加息累计</w:t>
            </w:r>
            <w:r w:rsidRPr="00DB1D1F">
              <w:rPr>
                <w:rFonts w:ascii="Times" w:eastAsia="宋体" w:hAnsi="Times" w:hint="eastAsia"/>
                <w:bCs/>
                <w:lang w:eastAsia="zh-CN"/>
              </w:rPr>
              <w:t>200</w:t>
            </w:r>
            <w:r w:rsidRPr="00DB1D1F">
              <w:rPr>
                <w:rFonts w:ascii="Times" w:eastAsia="宋体" w:hAnsi="Times"/>
                <w:bCs/>
                <w:lang w:eastAsia="zh-CN"/>
              </w:rPr>
              <w:t>bp</w:t>
            </w:r>
            <w:r w:rsidRPr="00DB1D1F">
              <w:rPr>
                <w:rFonts w:ascii="Times" w:eastAsia="宋体" w:hAnsi="Times" w:hint="eastAsia"/>
                <w:bCs/>
                <w:lang w:eastAsia="zh-CN"/>
              </w:rPr>
              <w:t>，巴西十年期国债收益率上升至</w:t>
            </w:r>
            <w:r w:rsidRPr="00DB1D1F">
              <w:rPr>
                <w:rFonts w:ascii="Times" w:eastAsia="宋体" w:hAnsi="Times" w:hint="eastAsia"/>
                <w:bCs/>
                <w:lang w:eastAsia="zh-CN"/>
              </w:rPr>
              <w:t>15%</w:t>
            </w:r>
            <w:r w:rsidRPr="00DB1D1F">
              <w:rPr>
                <w:rFonts w:ascii="Times" w:eastAsia="宋体" w:hAnsi="Times" w:hint="eastAsia"/>
                <w:bCs/>
                <w:lang w:eastAsia="zh-CN"/>
              </w:rPr>
              <w:t>以上。人民银行保持资金面紧平衡，在通胀低迷的情况下，中国十年期国债收益率因流动性收紧有所抬升。</w:t>
            </w:r>
            <w:r w:rsidRPr="00DB1D1F">
              <w:rPr>
                <w:rFonts w:ascii="Times" w:eastAsia="宋体" w:hAnsi="Times"/>
                <w:bCs/>
                <w:lang w:eastAsia="zh-CN"/>
              </w:rPr>
              <w:t>2025</w:t>
            </w:r>
            <w:r w:rsidRPr="00DB1D1F">
              <w:rPr>
                <w:rFonts w:ascii="Times" w:eastAsia="宋体" w:hAnsi="Times" w:hint="eastAsia"/>
                <w:bCs/>
                <w:lang w:eastAsia="zh-CN"/>
              </w:rPr>
              <w:t>年</w:t>
            </w:r>
            <w:r w:rsidRPr="00DB1D1F">
              <w:rPr>
                <w:rFonts w:ascii="Times" w:eastAsia="宋体" w:hAnsi="Times" w:hint="eastAsia"/>
                <w:bCs/>
                <w:lang w:eastAsia="zh-CN"/>
              </w:rPr>
              <w:t>3</w:t>
            </w:r>
            <w:r w:rsidRPr="00DB1D1F">
              <w:rPr>
                <w:rFonts w:ascii="Times" w:eastAsia="宋体" w:hAnsi="Times" w:hint="eastAsia"/>
                <w:bCs/>
                <w:lang w:eastAsia="zh-CN"/>
              </w:rPr>
              <w:t>月，中国十年期国债收益率再度上升至</w:t>
            </w:r>
            <w:r w:rsidRPr="00DB1D1F">
              <w:rPr>
                <w:rFonts w:ascii="Times" w:eastAsia="宋体" w:hAnsi="Times" w:hint="eastAsia"/>
                <w:bCs/>
                <w:lang w:eastAsia="zh-CN"/>
              </w:rPr>
              <w:t>1.9%</w:t>
            </w:r>
            <w:r w:rsidRPr="00DB1D1F">
              <w:rPr>
                <w:rFonts w:ascii="Times" w:eastAsia="宋体" w:hAnsi="Times" w:hint="eastAsia"/>
                <w:bCs/>
                <w:lang w:eastAsia="zh-CN"/>
              </w:rPr>
              <w:t>。</w:t>
            </w:r>
            <w:r w:rsidRPr="00DB1D1F">
              <w:rPr>
                <w:rFonts w:ascii="Times" w:eastAsia="宋体" w:hAnsi="Times" w:hint="eastAsia"/>
                <w:bCs/>
                <w:lang w:eastAsia="zh-CN"/>
              </w:rPr>
              <w:t>1</w:t>
            </w:r>
            <w:r w:rsidRPr="00DB1D1F">
              <w:rPr>
                <w:rFonts w:ascii="Times" w:eastAsia="宋体" w:hAnsi="Times" w:hint="eastAsia"/>
                <w:bCs/>
                <w:lang w:eastAsia="zh-CN"/>
              </w:rPr>
              <w:t>季度印度通胀回落，印度十年期国债收益率季内下行接近</w:t>
            </w:r>
            <w:r w:rsidRPr="00DB1D1F">
              <w:rPr>
                <w:rFonts w:ascii="Times" w:eastAsia="宋体" w:hAnsi="Times" w:hint="eastAsia"/>
                <w:bCs/>
                <w:lang w:eastAsia="zh-CN"/>
              </w:rPr>
              <w:t>30bp</w:t>
            </w:r>
            <w:r w:rsidRPr="00DB1D1F">
              <w:rPr>
                <w:rFonts w:ascii="Times" w:eastAsia="宋体" w:hAnsi="Times" w:hint="eastAsia"/>
                <w:bCs/>
                <w:lang w:eastAsia="zh-CN"/>
              </w:rPr>
              <w:t>。土耳其扩大对叙利亚的渗透和控制，地缘政治风险上升，主权债务风险溢价上升，十年期国债收益率一季度大幅上升</w:t>
            </w:r>
            <w:r w:rsidRPr="00DB1D1F">
              <w:rPr>
                <w:rFonts w:ascii="Times" w:eastAsia="宋体" w:hAnsi="Times" w:hint="eastAsia"/>
                <w:bCs/>
                <w:lang w:eastAsia="zh-CN"/>
              </w:rPr>
              <w:t>609bp</w:t>
            </w:r>
            <w:r w:rsidRPr="00DB1D1F">
              <w:rPr>
                <w:rFonts w:ascii="Times" w:eastAsia="宋体" w:hAnsi="Times" w:hint="eastAsia"/>
                <w:bCs/>
                <w:lang w:eastAsia="zh-CN"/>
              </w:rPr>
              <w:t>。</w:t>
            </w:r>
          </w:p>
          <w:p w14:paraId="119767E6" w14:textId="77777777" w:rsidR="00DB1D1F" w:rsidRPr="00DB1D1F" w:rsidRDefault="00DB1D1F" w:rsidP="00DB1D1F">
            <w:pPr>
              <w:ind w:firstLineChars="0" w:firstLine="0"/>
              <w:rPr>
                <w:rFonts w:ascii="Times" w:eastAsia="宋体" w:hAnsi="Times"/>
                <w:bCs/>
                <w:lang w:eastAsia="zh-CN"/>
              </w:rPr>
            </w:pPr>
            <w:r w:rsidRPr="00DB1D1F">
              <w:rPr>
                <w:rFonts w:ascii="Times" w:eastAsia="宋体" w:hAnsi="Times" w:hint="eastAsia"/>
                <w:b/>
                <w:sz w:val="28"/>
                <w:szCs w:val="28"/>
                <w:lang w:eastAsia="zh-CN" w:bidi="ar-SA"/>
              </w:rPr>
              <w:t>三、美债安全属性动摇，美股将在震荡中下行</w:t>
            </w:r>
          </w:p>
          <w:p w14:paraId="7879A53D" w14:textId="77777777" w:rsidR="00DB1D1F" w:rsidRPr="00DB1D1F" w:rsidRDefault="00DB1D1F" w:rsidP="00DB1D1F">
            <w:pPr>
              <w:ind w:firstLine="480"/>
              <w:rPr>
                <w:rFonts w:ascii="Times" w:eastAsia="宋体" w:hAnsi="Times"/>
                <w:bCs/>
                <w:lang w:eastAsia="zh-CN"/>
              </w:rPr>
            </w:pPr>
            <w:r w:rsidRPr="00DB1D1F">
              <w:rPr>
                <w:rFonts w:ascii="Times" w:eastAsia="宋体" w:hAnsi="Times" w:hint="eastAsia"/>
                <w:bCs/>
                <w:lang w:eastAsia="zh-CN"/>
              </w:rPr>
              <w:t>特朗普执政风格不确定性过高急剧削弱美元信用和美债信用。由于特朗普的发言和政策经常发生改变，美国金融市场的波动加大，美国国债等“优质”美元资产不再是“</w:t>
            </w:r>
            <w:r w:rsidRPr="00DB1D1F">
              <w:rPr>
                <w:rFonts w:ascii="Times" w:eastAsia="宋体" w:hAnsi="Times" w:hint="eastAsia"/>
                <w:bCs/>
                <w:lang w:eastAsia="zh-CN"/>
              </w:rPr>
              <w:t>flight to safety</w:t>
            </w:r>
            <w:r w:rsidRPr="00DB1D1F">
              <w:rPr>
                <w:rFonts w:ascii="Times" w:eastAsia="宋体" w:hAnsi="Times" w:hint="eastAsia"/>
                <w:bCs/>
                <w:lang w:eastAsia="zh-CN"/>
              </w:rPr>
              <w:t>”的首选，美国反而成为全球金融市场的风险源头。美债抛售风险和再融资风险均在上升。</w:t>
            </w:r>
            <w:r w:rsidRPr="00DB1D1F">
              <w:rPr>
                <w:rFonts w:ascii="Times" w:eastAsia="宋体" w:hAnsi="Times" w:hint="eastAsia"/>
                <w:bCs/>
                <w:lang w:eastAsia="zh-CN"/>
              </w:rPr>
              <w:t>4</w:t>
            </w:r>
            <w:r w:rsidRPr="00DB1D1F">
              <w:rPr>
                <w:rFonts w:ascii="Times" w:eastAsia="宋体" w:hAnsi="Times" w:hint="eastAsia"/>
                <w:bCs/>
                <w:lang w:eastAsia="zh-CN"/>
              </w:rPr>
              <w:t>月</w:t>
            </w:r>
            <w:r w:rsidRPr="00DB1D1F">
              <w:rPr>
                <w:rFonts w:ascii="Times" w:eastAsia="宋体" w:hAnsi="Times" w:hint="eastAsia"/>
                <w:bCs/>
                <w:lang w:eastAsia="zh-CN"/>
              </w:rPr>
              <w:t>4</w:t>
            </w:r>
            <w:r w:rsidRPr="00DB1D1F">
              <w:rPr>
                <w:rFonts w:ascii="Times" w:eastAsia="宋体" w:hAnsi="Times" w:hint="eastAsia"/>
                <w:bCs/>
                <w:lang w:eastAsia="zh-CN"/>
              </w:rPr>
              <w:t>日至</w:t>
            </w:r>
            <w:r w:rsidRPr="00DB1D1F">
              <w:rPr>
                <w:rFonts w:ascii="Times" w:eastAsia="宋体" w:hAnsi="Times" w:hint="eastAsia"/>
                <w:bCs/>
                <w:lang w:eastAsia="zh-CN"/>
              </w:rPr>
              <w:t>4</w:t>
            </w:r>
            <w:r w:rsidRPr="00DB1D1F">
              <w:rPr>
                <w:rFonts w:ascii="Times" w:eastAsia="宋体" w:hAnsi="Times" w:hint="eastAsia"/>
                <w:bCs/>
                <w:lang w:eastAsia="zh-CN"/>
              </w:rPr>
              <w:t>月</w:t>
            </w:r>
            <w:r w:rsidRPr="00DB1D1F">
              <w:rPr>
                <w:rFonts w:ascii="Times" w:eastAsia="宋体" w:hAnsi="Times" w:hint="eastAsia"/>
                <w:bCs/>
                <w:lang w:eastAsia="zh-CN"/>
              </w:rPr>
              <w:t>10</w:t>
            </w:r>
            <w:r w:rsidRPr="00DB1D1F">
              <w:rPr>
                <w:rFonts w:ascii="Times" w:eastAsia="宋体" w:hAnsi="Times" w:hint="eastAsia"/>
                <w:bCs/>
                <w:lang w:eastAsia="zh-CN"/>
              </w:rPr>
              <w:t>日，十年期美国国债收益率迅速上升接近</w:t>
            </w:r>
            <w:r w:rsidRPr="00DB1D1F">
              <w:rPr>
                <w:rFonts w:ascii="Times" w:eastAsia="宋体" w:hAnsi="Times" w:hint="eastAsia"/>
                <w:bCs/>
                <w:lang w:eastAsia="zh-CN"/>
              </w:rPr>
              <w:t>40bp</w:t>
            </w:r>
            <w:r w:rsidRPr="00DB1D1F">
              <w:rPr>
                <w:rFonts w:ascii="Times" w:eastAsia="宋体" w:hAnsi="Times" w:hint="eastAsia"/>
                <w:bCs/>
                <w:lang w:eastAsia="zh-CN"/>
              </w:rPr>
              <w:t>至</w:t>
            </w:r>
            <w:r w:rsidRPr="00DB1D1F">
              <w:rPr>
                <w:rFonts w:ascii="Times" w:eastAsia="宋体" w:hAnsi="Times" w:hint="eastAsia"/>
                <w:bCs/>
                <w:lang w:eastAsia="zh-CN"/>
              </w:rPr>
              <w:t>4.38%</w:t>
            </w:r>
            <w:r w:rsidRPr="00DB1D1F">
              <w:rPr>
                <w:rFonts w:ascii="Times" w:eastAsia="宋体" w:hAnsi="Times" w:hint="eastAsia"/>
                <w:bCs/>
                <w:lang w:eastAsia="zh-CN"/>
              </w:rPr>
              <w:t>。此次特朗普“对等关税”公布后，美元、美股、美债均出现明显的价格下跌，日元、欧元反而成为全球资金暂时的“避风港”。</w:t>
            </w:r>
          </w:p>
          <w:p w14:paraId="6DC50853" w14:textId="77777777" w:rsidR="00DB1D1F" w:rsidRPr="00DB1D1F" w:rsidRDefault="00DB1D1F" w:rsidP="00DB1D1F">
            <w:pPr>
              <w:ind w:firstLine="480"/>
              <w:rPr>
                <w:rFonts w:ascii="Times" w:eastAsia="宋体" w:hAnsi="Times"/>
                <w:bCs/>
                <w:lang w:eastAsia="zh-CN"/>
              </w:rPr>
            </w:pPr>
            <w:r w:rsidRPr="00DB1D1F">
              <w:rPr>
                <w:rFonts w:ascii="Times" w:eastAsia="宋体" w:hAnsi="Times" w:hint="eastAsia"/>
                <w:bCs/>
                <w:lang w:eastAsia="zh-CN"/>
              </w:rPr>
              <w:t>未来美股可能在震荡中下行。一是特朗普执政风格不确定性极高，且其频繁通过社交媒体发声影响金融市场，美股波动性将明显上升，主权基金和对冲基金对美股的风险敞口将下降，美股市场流动性下降将导致股价上涨动力不足。二是关税政策将带来需求下降和成本上升的双重冲击，影响头部美股科技公司的盈利，盈利预期下滑难以支撑“七姐妹”的股价持续上涨。三是特朗普戏剧化的关税政策会导致市场避险情绪上升，资金会流出美股，流向安全资</w:t>
            </w:r>
            <w:r w:rsidRPr="00DB1D1F">
              <w:rPr>
                <w:rFonts w:ascii="Times" w:eastAsia="宋体" w:hAnsi="Times" w:hint="eastAsia"/>
                <w:bCs/>
                <w:lang w:eastAsia="zh-CN"/>
              </w:rPr>
              <w:lastRenderedPageBreak/>
              <w:t>产。而当前美元和美债的避险功能也有越来越多的短期替代品。</w:t>
            </w:r>
          </w:p>
          <w:p w14:paraId="3ADD3909" w14:textId="77777777" w:rsidR="00DB1D1F" w:rsidRPr="00DB1D1F" w:rsidRDefault="00DB1D1F" w:rsidP="00DB1D1F">
            <w:pPr>
              <w:ind w:firstLine="480"/>
              <w:rPr>
                <w:rFonts w:ascii="Times" w:eastAsia="宋体" w:hAnsi="Times"/>
                <w:bCs/>
                <w:lang w:eastAsia="zh-CN"/>
              </w:rPr>
            </w:pPr>
          </w:p>
          <w:p w14:paraId="53E1E2DD" w14:textId="77777777" w:rsidR="00DB1D1F" w:rsidRPr="00DB1D1F" w:rsidRDefault="00DB1D1F" w:rsidP="00DB1D1F">
            <w:pPr>
              <w:ind w:firstLine="480"/>
              <w:rPr>
                <w:rFonts w:ascii="Times" w:eastAsia="宋体" w:hAnsi="Times"/>
                <w:bCs/>
                <w:lang w:eastAsia="zh-CN"/>
              </w:rPr>
            </w:pPr>
          </w:p>
          <w:p w14:paraId="1BC914E6" w14:textId="77777777" w:rsidR="00DB1D1F" w:rsidRPr="00DB1D1F" w:rsidRDefault="00DB1D1F" w:rsidP="00DB1D1F">
            <w:pPr>
              <w:ind w:firstLine="480"/>
              <w:rPr>
                <w:rFonts w:ascii="Times" w:eastAsia="宋体" w:hAnsi="Times"/>
                <w:bCs/>
                <w:lang w:eastAsia="zh-CN"/>
              </w:rPr>
            </w:pPr>
          </w:p>
        </w:tc>
      </w:tr>
    </w:tbl>
    <w:p w14:paraId="61AB2DBA" w14:textId="7ECCA8D7" w:rsidR="00DB1D1F" w:rsidRPr="00DB1D1F" w:rsidRDefault="00DB1D1F" w:rsidP="00DB1D1F">
      <w:pPr>
        <w:spacing w:line="240" w:lineRule="auto"/>
        <w:ind w:firstLineChars="0" w:firstLine="0"/>
        <w:jc w:val="left"/>
        <w:rPr>
          <w:rFonts w:ascii="Times" w:eastAsia="宋体" w:hAnsi="Times"/>
          <w:sz w:val="21"/>
          <w:szCs w:val="22"/>
          <w:lang w:eastAsia="zh-CN" w:bidi="ar-SA"/>
        </w:rPr>
      </w:pPr>
    </w:p>
    <w:tbl>
      <w:tblPr>
        <w:tblW w:w="9923" w:type="dxa"/>
        <w:tblInd w:w="-743" w:type="dxa"/>
        <w:tblLayout w:type="fixed"/>
        <w:tblLook w:val="04A0" w:firstRow="1" w:lastRow="0" w:firstColumn="1" w:lastColumn="0" w:noHBand="0" w:noVBand="1"/>
      </w:tblPr>
      <w:tblGrid>
        <w:gridCol w:w="2529"/>
        <w:gridCol w:w="316"/>
        <w:gridCol w:w="7078"/>
      </w:tblGrid>
      <w:tr w:rsidR="00DB1D1F" w:rsidRPr="00DB1D1F" w14:paraId="5385CBD6" w14:textId="77777777" w:rsidTr="00D72849">
        <w:trPr>
          <w:trHeight w:val="851"/>
        </w:trPr>
        <w:tc>
          <w:tcPr>
            <w:tcW w:w="2529" w:type="dxa"/>
          </w:tcPr>
          <w:p w14:paraId="7F061B79" w14:textId="77777777" w:rsidR="00DB1D1F" w:rsidRPr="00DB1D1F" w:rsidRDefault="00DB1D1F" w:rsidP="00DB1D1F">
            <w:pPr>
              <w:ind w:firstLineChars="0" w:firstLine="0"/>
              <w:rPr>
                <w:rFonts w:eastAsia="楷体"/>
                <w:b/>
                <w:sz w:val="28"/>
                <w:szCs w:val="28"/>
                <w:lang w:eastAsia="zh-CN"/>
              </w:rPr>
            </w:pPr>
            <w:bookmarkStart w:id="87" w:name="OLE_LINK1"/>
            <w:bookmarkStart w:id="88" w:name="OLE_LINK2"/>
          </w:p>
          <w:p w14:paraId="2858E82B" w14:textId="77777777" w:rsidR="00DB1D1F" w:rsidRPr="00DB1D1F" w:rsidRDefault="00DB1D1F" w:rsidP="00DB1D1F">
            <w:pPr>
              <w:ind w:firstLineChars="0" w:firstLine="0"/>
              <w:rPr>
                <w:rFonts w:eastAsia="楷体"/>
                <w:b/>
                <w:sz w:val="28"/>
                <w:szCs w:val="28"/>
                <w:lang w:eastAsia="zh-CN"/>
              </w:rPr>
            </w:pPr>
            <w:r w:rsidRPr="00DB1D1F">
              <w:rPr>
                <w:rFonts w:eastAsia="楷体" w:hint="eastAsia"/>
                <w:b/>
                <w:szCs w:val="28"/>
                <w:lang w:eastAsia="zh-CN"/>
              </w:rPr>
              <w:t>1</w:t>
            </w:r>
            <w:r w:rsidRPr="00DB1D1F">
              <w:rPr>
                <w:rFonts w:eastAsia="楷体" w:hint="eastAsia"/>
                <w:b/>
                <w:szCs w:val="28"/>
                <w:lang w:eastAsia="zh-CN"/>
              </w:rPr>
              <w:t>季度银行代客涉外收入、对外付款与上季度同期基本持平，跨境收支顺差相比上季度同期缩小。</w:t>
            </w:r>
          </w:p>
        </w:tc>
        <w:tc>
          <w:tcPr>
            <w:tcW w:w="316" w:type="dxa"/>
          </w:tcPr>
          <w:p w14:paraId="75CF9328" w14:textId="77777777" w:rsidR="00DB1D1F" w:rsidRPr="00DB1D1F" w:rsidRDefault="00DB1D1F" w:rsidP="00DB1D1F">
            <w:pPr>
              <w:keepNext/>
              <w:keepLines/>
              <w:spacing w:before="260" w:after="260"/>
              <w:ind w:firstLine="480"/>
              <w:rPr>
                <w:rFonts w:eastAsia="楷体_GB2312"/>
                <w:lang w:eastAsia="zh-CN"/>
              </w:rPr>
            </w:pPr>
          </w:p>
        </w:tc>
        <w:tc>
          <w:tcPr>
            <w:tcW w:w="7078" w:type="dxa"/>
          </w:tcPr>
          <w:p w14:paraId="374D680F" w14:textId="5D547CD4" w:rsidR="00DB1D1F" w:rsidRPr="00DB1D1F" w:rsidRDefault="00DB1D1F" w:rsidP="00DB1D1F">
            <w:pPr>
              <w:ind w:firstLineChars="0" w:firstLine="0"/>
              <w:rPr>
                <w:rFonts w:eastAsia="宋体"/>
                <w:b/>
                <w:sz w:val="28"/>
                <w:lang w:eastAsia="zh-CN"/>
              </w:rPr>
            </w:pPr>
            <w:r w:rsidRPr="00DB1D1F">
              <w:rPr>
                <w:rFonts w:eastAsia="宋体"/>
                <w:b/>
                <w:sz w:val="28"/>
                <w:szCs w:val="28"/>
                <w:lang w:eastAsia="zh-CN"/>
              </w:rPr>
              <w:t>四、</w:t>
            </w:r>
            <w:r w:rsidRPr="00DB1D1F">
              <w:rPr>
                <w:rFonts w:eastAsia="宋体" w:hint="eastAsia"/>
                <w:b/>
                <w:sz w:val="28"/>
                <w:szCs w:val="28"/>
                <w:lang w:eastAsia="zh-CN"/>
              </w:rPr>
              <w:t>涉外收款、对外</w:t>
            </w:r>
            <w:r w:rsidR="00642F6A">
              <w:rPr>
                <w:rFonts w:eastAsia="宋体" w:hint="eastAsia"/>
                <w:b/>
                <w:sz w:val="28"/>
                <w:szCs w:val="28"/>
                <w:lang w:eastAsia="zh-CN"/>
              </w:rPr>
              <w:t>支</w:t>
            </w:r>
            <w:r w:rsidRPr="00DB1D1F">
              <w:rPr>
                <w:rFonts w:eastAsia="宋体" w:hint="eastAsia"/>
                <w:b/>
                <w:sz w:val="28"/>
                <w:szCs w:val="28"/>
                <w:lang w:eastAsia="zh-CN"/>
              </w:rPr>
              <w:t>出规模均下降</w:t>
            </w:r>
          </w:p>
          <w:p w14:paraId="2F9DCB1C" w14:textId="77777777" w:rsidR="00DB1D1F" w:rsidRPr="00DB1D1F" w:rsidRDefault="00DB1D1F" w:rsidP="00DB1D1F">
            <w:pPr>
              <w:ind w:firstLine="480"/>
              <w:rPr>
                <w:rFonts w:eastAsia="宋体"/>
                <w:lang w:eastAsia="zh-CN"/>
              </w:rPr>
            </w:pPr>
            <w:r w:rsidRPr="00DB1D1F">
              <w:rPr>
                <w:rFonts w:eastAsia="宋体" w:hint="eastAsia"/>
                <w:lang w:eastAsia="zh-CN"/>
              </w:rPr>
              <w:t>2025</w:t>
            </w:r>
            <w:r w:rsidRPr="00DB1D1F">
              <w:rPr>
                <w:rFonts w:eastAsia="宋体" w:hint="eastAsia"/>
                <w:lang w:eastAsia="zh-CN"/>
              </w:rPr>
              <w:t>年</w:t>
            </w:r>
            <w:r w:rsidRPr="00DB1D1F">
              <w:rPr>
                <w:rFonts w:eastAsia="宋体" w:hint="eastAsia"/>
                <w:lang w:eastAsia="zh-CN"/>
              </w:rPr>
              <w:t>1</w:t>
            </w:r>
            <w:r w:rsidRPr="00DB1D1F">
              <w:rPr>
                <w:rFonts w:eastAsia="宋体" w:hint="eastAsia"/>
                <w:lang w:eastAsia="zh-CN"/>
              </w:rPr>
              <w:t>季度前两个月，银行代客涉外收入、对外付款分别为</w:t>
            </w:r>
            <w:r w:rsidRPr="00DB1D1F">
              <w:rPr>
                <w:rFonts w:eastAsia="宋体" w:hint="eastAsia"/>
                <w:lang w:eastAsia="zh-CN"/>
              </w:rPr>
              <w:t>11950.8</w:t>
            </w:r>
            <w:r w:rsidRPr="00DB1D1F">
              <w:rPr>
                <w:rFonts w:eastAsia="宋体" w:hint="eastAsia"/>
                <w:lang w:eastAsia="zh-CN"/>
              </w:rPr>
              <w:t>亿美元和</w:t>
            </w:r>
            <w:r w:rsidRPr="00DB1D1F">
              <w:rPr>
                <w:rFonts w:eastAsia="宋体" w:hint="eastAsia"/>
                <w:lang w:eastAsia="zh-CN"/>
              </w:rPr>
              <w:t>11925.8</w:t>
            </w:r>
            <w:r w:rsidRPr="00DB1D1F">
              <w:rPr>
                <w:rFonts w:eastAsia="宋体"/>
                <w:lang w:eastAsia="zh-CN"/>
              </w:rPr>
              <w:t>亿美元</w:t>
            </w:r>
            <w:r w:rsidRPr="00DB1D1F">
              <w:rPr>
                <w:rFonts w:eastAsia="宋体" w:hint="eastAsia"/>
                <w:lang w:eastAsia="zh-CN"/>
              </w:rPr>
              <w:t>，跨境收支录得顺差</w:t>
            </w:r>
            <w:r w:rsidRPr="00DB1D1F">
              <w:rPr>
                <w:rFonts w:eastAsia="宋体" w:hint="eastAsia"/>
                <w:lang w:eastAsia="zh-CN"/>
              </w:rPr>
              <w:t>25.0</w:t>
            </w:r>
            <w:r w:rsidRPr="00DB1D1F">
              <w:rPr>
                <w:rFonts w:eastAsia="宋体" w:hint="eastAsia"/>
                <w:lang w:eastAsia="zh-CN"/>
              </w:rPr>
              <w:t>亿美元。</w:t>
            </w:r>
            <w:r w:rsidRPr="00DB1D1F">
              <w:rPr>
                <w:rFonts w:eastAsia="宋体"/>
                <w:lang w:eastAsia="zh-CN"/>
              </w:rPr>
              <w:t>银行代客涉外收入与支出总额为</w:t>
            </w:r>
            <w:r w:rsidRPr="00DB1D1F">
              <w:rPr>
                <w:rFonts w:eastAsia="宋体" w:hint="eastAsia"/>
                <w:lang w:eastAsia="zh-CN"/>
              </w:rPr>
              <w:t>2</w:t>
            </w:r>
            <w:r w:rsidRPr="00DB1D1F">
              <w:rPr>
                <w:rFonts w:eastAsia="宋体"/>
                <w:lang w:eastAsia="zh-CN"/>
              </w:rPr>
              <w:t>.</w:t>
            </w:r>
            <w:r w:rsidRPr="00DB1D1F">
              <w:rPr>
                <w:rFonts w:eastAsia="宋体" w:hint="eastAsia"/>
                <w:lang w:eastAsia="zh-CN"/>
              </w:rPr>
              <w:t>388</w:t>
            </w:r>
            <w:r w:rsidRPr="00DB1D1F">
              <w:rPr>
                <w:rFonts w:eastAsia="宋体" w:hint="eastAsia"/>
                <w:lang w:eastAsia="zh-CN"/>
              </w:rPr>
              <w:t>万</w:t>
            </w:r>
            <w:r w:rsidRPr="00DB1D1F">
              <w:rPr>
                <w:rFonts w:eastAsia="宋体"/>
                <w:lang w:eastAsia="zh-CN"/>
              </w:rPr>
              <w:t>亿美元，</w:t>
            </w:r>
            <w:r w:rsidRPr="00DB1D1F">
              <w:rPr>
                <w:rFonts w:eastAsia="宋体" w:hint="eastAsia"/>
                <w:lang w:eastAsia="zh-CN"/>
              </w:rPr>
              <w:t>相比去年同期上升</w:t>
            </w:r>
            <w:r w:rsidRPr="00DB1D1F">
              <w:rPr>
                <w:rFonts w:eastAsia="宋体" w:hint="eastAsia"/>
                <w:lang w:eastAsia="zh-CN"/>
              </w:rPr>
              <w:t>14</w:t>
            </w:r>
            <w:r w:rsidRPr="00DB1D1F">
              <w:rPr>
                <w:rFonts w:eastAsia="宋体"/>
                <w:lang w:eastAsia="zh-CN"/>
              </w:rPr>
              <w:t>.</w:t>
            </w:r>
            <w:r w:rsidRPr="00DB1D1F">
              <w:rPr>
                <w:rFonts w:eastAsia="宋体" w:hint="eastAsia"/>
                <w:lang w:eastAsia="zh-CN"/>
              </w:rPr>
              <w:t>4</w:t>
            </w:r>
            <w:r w:rsidRPr="00DB1D1F">
              <w:rPr>
                <w:rFonts w:eastAsia="宋体"/>
                <w:lang w:eastAsia="zh-CN"/>
              </w:rPr>
              <w:t>%</w:t>
            </w:r>
            <w:r w:rsidRPr="00DB1D1F">
              <w:rPr>
                <w:rFonts w:eastAsia="宋体" w:hint="eastAsia"/>
                <w:lang w:eastAsia="zh-CN"/>
              </w:rPr>
              <w:t>，相比上一季度同期下降</w:t>
            </w:r>
            <w:r w:rsidRPr="00DB1D1F">
              <w:rPr>
                <w:rFonts w:eastAsia="宋体" w:hint="eastAsia"/>
                <w:lang w:eastAsia="zh-CN"/>
              </w:rPr>
              <w:t>0.2</w:t>
            </w:r>
            <w:r w:rsidRPr="00DB1D1F">
              <w:rPr>
                <w:rFonts w:eastAsia="宋体"/>
                <w:lang w:eastAsia="zh-CN"/>
              </w:rPr>
              <w:t>%</w:t>
            </w:r>
            <w:r w:rsidRPr="00DB1D1F">
              <w:rPr>
                <w:rFonts w:eastAsia="宋体"/>
                <w:lang w:eastAsia="zh-CN"/>
              </w:rPr>
              <w:t>。</w:t>
            </w:r>
            <w:r w:rsidRPr="00DB1D1F">
              <w:rPr>
                <w:rFonts w:eastAsia="宋体" w:hint="eastAsia"/>
                <w:lang w:eastAsia="zh-CN"/>
              </w:rPr>
              <w:t>收入项上，相比去年同期，银行代客涉外收入上升</w:t>
            </w:r>
            <w:r w:rsidRPr="00DB1D1F">
              <w:rPr>
                <w:rFonts w:eastAsia="宋体" w:hint="eastAsia"/>
                <w:lang w:eastAsia="zh-CN"/>
              </w:rPr>
              <w:t>13.5%</w:t>
            </w:r>
            <w:r w:rsidRPr="00DB1D1F">
              <w:rPr>
                <w:rFonts w:eastAsia="宋体" w:hint="eastAsia"/>
                <w:lang w:eastAsia="zh-CN"/>
              </w:rPr>
              <w:t>；相比</w:t>
            </w:r>
            <w:r w:rsidRPr="00DB1D1F">
              <w:rPr>
                <w:rFonts w:eastAsia="宋体" w:hint="eastAsia"/>
                <w:lang w:eastAsia="zh-CN"/>
              </w:rPr>
              <w:t>2024</w:t>
            </w:r>
            <w:r w:rsidRPr="00DB1D1F">
              <w:rPr>
                <w:rFonts w:eastAsia="宋体" w:hint="eastAsia"/>
                <w:lang w:eastAsia="zh-CN"/>
              </w:rPr>
              <w:t>年</w:t>
            </w:r>
            <w:r w:rsidRPr="00DB1D1F">
              <w:rPr>
                <w:rFonts w:eastAsia="宋体" w:hint="eastAsia"/>
                <w:lang w:eastAsia="zh-CN"/>
              </w:rPr>
              <w:t>4</w:t>
            </w:r>
            <w:r w:rsidRPr="00DB1D1F">
              <w:rPr>
                <w:rFonts w:eastAsia="宋体" w:hint="eastAsia"/>
                <w:lang w:eastAsia="zh-CN"/>
              </w:rPr>
              <w:t>季度同期，涉外收入下降</w:t>
            </w:r>
            <w:r w:rsidRPr="00DB1D1F">
              <w:rPr>
                <w:rFonts w:eastAsia="宋体" w:hint="eastAsia"/>
                <w:lang w:eastAsia="zh-CN"/>
              </w:rPr>
              <w:t>0.6%</w:t>
            </w:r>
            <w:r w:rsidRPr="00DB1D1F">
              <w:rPr>
                <w:rFonts w:eastAsia="宋体" w:hint="eastAsia"/>
                <w:lang w:eastAsia="zh-CN"/>
              </w:rPr>
              <w:t>。支出项上，相比去年同期，银行代客对外付款上升</w:t>
            </w:r>
            <w:r w:rsidRPr="00DB1D1F">
              <w:rPr>
                <w:rFonts w:eastAsia="宋体" w:hint="eastAsia"/>
                <w:lang w:eastAsia="zh-CN"/>
              </w:rPr>
              <w:t>15</w:t>
            </w:r>
            <w:r w:rsidRPr="00DB1D1F">
              <w:rPr>
                <w:rFonts w:eastAsia="宋体"/>
                <w:lang w:eastAsia="zh-CN"/>
              </w:rPr>
              <w:t>.</w:t>
            </w:r>
            <w:r w:rsidRPr="00DB1D1F">
              <w:rPr>
                <w:rFonts w:eastAsia="宋体" w:hint="eastAsia"/>
                <w:lang w:eastAsia="zh-CN"/>
              </w:rPr>
              <w:t>2</w:t>
            </w:r>
            <w:r w:rsidRPr="00DB1D1F">
              <w:rPr>
                <w:rFonts w:eastAsia="宋体"/>
                <w:lang w:eastAsia="zh-CN"/>
              </w:rPr>
              <w:t>%</w:t>
            </w:r>
            <w:r w:rsidRPr="00DB1D1F">
              <w:rPr>
                <w:rFonts w:eastAsia="宋体" w:hint="eastAsia"/>
                <w:lang w:eastAsia="zh-CN"/>
              </w:rPr>
              <w:t>。相比</w:t>
            </w:r>
            <w:r w:rsidRPr="00DB1D1F">
              <w:rPr>
                <w:rFonts w:eastAsia="宋体" w:hint="eastAsia"/>
                <w:lang w:eastAsia="zh-CN"/>
              </w:rPr>
              <w:t>2</w:t>
            </w:r>
            <w:r w:rsidRPr="00DB1D1F">
              <w:rPr>
                <w:rFonts w:eastAsia="宋体"/>
                <w:lang w:eastAsia="zh-CN"/>
              </w:rPr>
              <w:t>02</w:t>
            </w:r>
            <w:r w:rsidRPr="00DB1D1F">
              <w:rPr>
                <w:rFonts w:eastAsia="宋体" w:hint="eastAsia"/>
                <w:lang w:eastAsia="zh-CN"/>
              </w:rPr>
              <w:t>4</w:t>
            </w:r>
            <w:r w:rsidRPr="00DB1D1F">
              <w:rPr>
                <w:rFonts w:eastAsia="宋体" w:hint="eastAsia"/>
                <w:lang w:eastAsia="zh-CN"/>
              </w:rPr>
              <w:t>年</w:t>
            </w:r>
            <w:r w:rsidRPr="00DB1D1F">
              <w:rPr>
                <w:rFonts w:eastAsia="宋体" w:hint="eastAsia"/>
                <w:lang w:eastAsia="zh-CN"/>
              </w:rPr>
              <w:t>4</w:t>
            </w:r>
            <w:r w:rsidRPr="00DB1D1F">
              <w:rPr>
                <w:rFonts w:eastAsia="宋体" w:hint="eastAsia"/>
                <w:lang w:eastAsia="zh-CN"/>
              </w:rPr>
              <w:t>季度同期，对外支出上升</w:t>
            </w:r>
            <w:r w:rsidRPr="00DB1D1F">
              <w:rPr>
                <w:rFonts w:eastAsia="宋体" w:hint="eastAsia"/>
                <w:lang w:eastAsia="zh-CN"/>
              </w:rPr>
              <w:t>0</w:t>
            </w:r>
            <w:r w:rsidRPr="00DB1D1F">
              <w:rPr>
                <w:rFonts w:eastAsia="宋体"/>
                <w:lang w:eastAsia="zh-CN"/>
              </w:rPr>
              <w:t>.</w:t>
            </w:r>
            <w:r w:rsidRPr="00DB1D1F">
              <w:rPr>
                <w:rFonts w:eastAsia="宋体" w:hint="eastAsia"/>
                <w:lang w:eastAsia="zh-CN"/>
              </w:rPr>
              <w:t>3</w:t>
            </w:r>
            <w:r w:rsidRPr="00DB1D1F">
              <w:rPr>
                <w:rFonts w:eastAsia="宋体"/>
                <w:lang w:eastAsia="zh-CN"/>
              </w:rPr>
              <w:t>%</w:t>
            </w:r>
            <w:r w:rsidRPr="00DB1D1F">
              <w:rPr>
                <w:rFonts w:eastAsia="宋体" w:hint="eastAsia"/>
                <w:lang w:eastAsia="zh-CN"/>
              </w:rPr>
              <w:t>。跨境收支顺差由上季度同期的</w:t>
            </w:r>
            <w:r w:rsidRPr="00DB1D1F">
              <w:rPr>
                <w:rFonts w:eastAsia="宋体" w:hint="eastAsia"/>
                <w:lang w:eastAsia="zh-CN"/>
              </w:rPr>
              <w:t>132.8</w:t>
            </w:r>
            <w:r w:rsidRPr="00DB1D1F">
              <w:rPr>
                <w:rFonts w:eastAsia="宋体" w:hint="eastAsia"/>
                <w:lang w:eastAsia="zh-CN"/>
              </w:rPr>
              <w:t>亿美元缩减至</w:t>
            </w:r>
            <w:r w:rsidRPr="00DB1D1F">
              <w:rPr>
                <w:rFonts w:eastAsia="宋体" w:hint="eastAsia"/>
                <w:lang w:eastAsia="zh-CN"/>
              </w:rPr>
              <w:t>25.0</w:t>
            </w:r>
            <w:r w:rsidRPr="00DB1D1F">
              <w:rPr>
                <w:rFonts w:eastAsia="宋体" w:hint="eastAsia"/>
                <w:lang w:eastAsia="zh-CN"/>
              </w:rPr>
              <w:t>亿美元。</w:t>
            </w:r>
            <w:r w:rsidRPr="00DB1D1F">
              <w:rPr>
                <w:rFonts w:eastAsia="宋体" w:hint="eastAsia"/>
                <w:lang w:eastAsia="zh-CN"/>
              </w:rPr>
              <w:t xml:space="preserve"> </w:t>
            </w:r>
            <w:r w:rsidRPr="00DB1D1F">
              <w:rPr>
                <w:rFonts w:eastAsia="宋体"/>
                <w:lang w:eastAsia="zh-CN"/>
              </w:rPr>
              <w:t xml:space="preserve"> </w:t>
            </w:r>
          </w:p>
        </w:tc>
      </w:tr>
      <w:tr w:rsidR="00DB1D1F" w:rsidRPr="00DB1D1F" w14:paraId="1D8FF721" w14:textId="77777777" w:rsidTr="00D72849">
        <w:trPr>
          <w:trHeight w:val="851"/>
        </w:trPr>
        <w:tc>
          <w:tcPr>
            <w:tcW w:w="9923" w:type="dxa"/>
            <w:gridSpan w:val="3"/>
          </w:tcPr>
          <w:p w14:paraId="4EE9A257" w14:textId="6DBFC7F4" w:rsidR="00DB1D1F" w:rsidRPr="00DB1D1F" w:rsidRDefault="00D37774" w:rsidP="00D37774">
            <w:pPr>
              <w:pStyle w:val="a4"/>
            </w:pPr>
            <w:bookmarkStart w:id="89" w:name="_Toc196399448"/>
            <w:r>
              <w:rPr>
                <w:rFonts w:hint="eastAsia"/>
              </w:rPr>
              <w:lastRenderedPageBreak/>
              <w:t xml:space="preserve">图表 </w:t>
            </w:r>
            <w:r>
              <w:rPr>
                <w:rFonts w:hint="eastAsia"/>
              </w:rPr>
              <w:fldChar w:fldCharType="begin"/>
            </w:r>
            <w:r>
              <w:rPr>
                <w:rFonts w:hint="eastAsia"/>
              </w:rPr>
              <w:instrText xml:space="preserve"> SEQ 图表 \* ARABIC </w:instrText>
            </w:r>
            <w:r>
              <w:rPr>
                <w:rFonts w:hint="eastAsia"/>
              </w:rPr>
              <w:fldChar w:fldCharType="separate"/>
            </w:r>
            <w:r w:rsidR="00530ED7">
              <w:rPr>
                <w:rFonts w:hint="eastAsia"/>
                <w:noProof/>
              </w:rPr>
              <w:t>37</w:t>
            </w:r>
            <w:r>
              <w:rPr>
                <w:rFonts w:hint="eastAsia"/>
              </w:rPr>
              <w:fldChar w:fldCharType="end"/>
            </w:r>
            <w:r w:rsidR="00DB1D1F" w:rsidRPr="00DB1D1F">
              <w:rPr>
                <w:rFonts w:hint="eastAsia"/>
              </w:rPr>
              <w:t xml:space="preserve">  银行代客收付款分项结构</w:t>
            </w:r>
            <w:bookmarkEnd w:id="89"/>
          </w:p>
          <w:p w14:paraId="7405B606" w14:textId="77777777" w:rsidR="00DB1D1F" w:rsidRPr="00DB1D1F" w:rsidRDefault="00DB1D1F" w:rsidP="00DB1D1F">
            <w:pPr>
              <w:spacing w:line="240" w:lineRule="auto"/>
              <w:ind w:firstLineChars="0" w:firstLine="0"/>
              <w:jc w:val="center"/>
              <w:rPr>
                <w:rFonts w:eastAsia="楷体"/>
                <w:b/>
                <w:sz w:val="21"/>
                <w:szCs w:val="21"/>
                <w:lang w:eastAsia="zh-CN" w:bidi="ar-SA"/>
              </w:rPr>
            </w:pPr>
            <w:r w:rsidRPr="00DB1D1F">
              <w:rPr>
                <w:rFonts w:eastAsia="楷体" w:hint="eastAsia"/>
                <w:b/>
                <w:sz w:val="21"/>
                <w:szCs w:val="21"/>
                <w:lang w:eastAsia="zh-CN" w:bidi="ar-SA"/>
              </w:rPr>
              <w:t xml:space="preserve"> </w:t>
            </w:r>
            <w:r w:rsidRPr="00DB1D1F">
              <w:rPr>
                <w:rFonts w:eastAsia="等线"/>
                <w:noProof/>
                <w:lang w:eastAsia="zh-CN" w:bidi="ar-SA"/>
                <w14:ligatures w14:val="standardContextual"/>
              </w:rPr>
              <w:drawing>
                <wp:inline distT="0" distB="0" distL="0" distR="0" wp14:anchorId="446FF4DA" wp14:editId="161134E0">
                  <wp:extent cx="4254500" cy="2241550"/>
                  <wp:effectExtent l="0" t="0" r="0" b="6350"/>
                  <wp:docPr id="539003966" name="图表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D6DFDC1-9AE1-546A-0D86-FC6B75FD60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1A24FCE4" w14:textId="77777777" w:rsidR="00DB1D1F" w:rsidRPr="00DB1D1F" w:rsidRDefault="00DB1D1F" w:rsidP="00DB1D1F">
            <w:pPr>
              <w:spacing w:line="240" w:lineRule="auto"/>
              <w:ind w:firstLineChars="0" w:firstLine="0"/>
              <w:jc w:val="center"/>
              <w:rPr>
                <w:rFonts w:eastAsia="楷体"/>
                <w:b/>
                <w:sz w:val="21"/>
                <w:szCs w:val="21"/>
                <w:lang w:eastAsia="zh-CN" w:bidi="ar-SA"/>
              </w:rPr>
            </w:pPr>
            <w:r w:rsidRPr="00DB1D1F">
              <w:rPr>
                <w:rFonts w:eastAsia="等线"/>
                <w:noProof/>
                <w:lang w:eastAsia="zh-CN" w:bidi="ar-SA"/>
                <w14:ligatures w14:val="standardContextual"/>
              </w:rPr>
              <w:drawing>
                <wp:inline distT="0" distB="0" distL="0" distR="0" wp14:anchorId="2D263B82" wp14:editId="2EC5C4AB">
                  <wp:extent cx="4292600" cy="2120900"/>
                  <wp:effectExtent l="0" t="0" r="0" b="0"/>
                  <wp:docPr id="1683719405" name="图表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9FC2C5B-F690-17D9-E9D2-C5BC91FA0E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18068249" w14:textId="77777777" w:rsidR="00DB1D1F" w:rsidRPr="00DB1D1F" w:rsidRDefault="00DB1D1F" w:rsidP="00DB1D1F">
            <w:pPr>
              <w:spacing w:line="240" w:lineRule="auto"/>
              <w:ind w:firstLineChars="0" w:firstLine="0"/>
              <w:jc w:val="center"/>
              <w:rPr>
                <w:rFonts w:eastAsia="楷体"/>
                <w:b/>
                <w:sz w:val="21"/>
                <w:szCs w:val="21"/>
                <w:lang w:eastAsia="zh-CN" w:bidi="ar-SA"/>
              </w:rPr>
            </w:pPr>
            <w:r w:rsidRPr="00DB1D1F">
              <w:rPr>
                <w:rFonts w:eastAsia="楷体"/>
                <w:b/>
                <w:sz w:val="21"/>
                <w:szCs w:val="21"/>
                <w:lang w:eastAsia="zh-CN" w:bidi="ar-SA"/>
              </w:rPr>
              <w:t xml:space="preserve">  </w:t>
            </w:r>
            <w:r w:rsidRPr="00DB1D1F">
              <w:rPr>
                <w:rFonts w:eastAsia="楷体"/>
                <w:b/>
                <w:color w:val="FF0000"/>
                <w:sz w:val="21"/>
                <w:szCs w:val="21"/>
                <w:lang w:eastAsia="zh-CN" w:bidi="ar-SA"/>
              </w:rPr>
              <w:t xml:space="preserve">  </w:t>
            </w:r>
          </w:p>
          <w:p w14:paraId="4CC0DA9F" w14:textId="77777777" w:rsidR="00DB1D1F" w:rsidRPr="00DB1D1F" w:rsidRDefault="00DB1D1F" w:rsidP="00DB1D1F">
            <w:pPr>
              <w:spacing w:line="240" w:lineRule="auto"/>
              <w:ind w:firstLineChars="0" w:firstLine="0"/>
              <w:jc w:val="center"/>
              <w:rPr>
                <w:rFonts w:eastAsia="楷体"/>
                <w:b/>
                <w:color w:val="FF0000"/>
                <w:sz w:val="21"/>
                <w:szCs w:val="21"/>
                <w:lang w:eastAsia="zh-CN" w:bidi="ar-SA"/>
              </w:rPr>
            </w:pPr>
            <w:r w:rsidRPr="00DB1D1F">
              <w:rPr>
                <w:rFonts w:eastAsia="等线"/>
                <w:noProof/>
                <w:lang w:eastAsia="zh-CN" w:bidi="ar-SA"/>
                <w14:ligatures w14:val="standardContextual"/>
              </w:rPr>
              <w:drawing>
                <wp:inline distT="0" distB="0" distL="0" distR="0" wp14:anchorId="741690CF" wp14:editId="20BE5A59">
                  <wp:extent cx="4908550" cy="1981200"/>
                  <wp:effectExtent l="0" t="0" r="6350" b="0"/>
                  <wp:docPr id="476011313" name="图表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0A0E034-8026-110B-B832-6E7DD13533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tc>
      </w:tr>
      <w:tr w:rsidR="00DB1D1F" w:rsidRPr="00DB1D1F" w14:paraId="5468846E" w14:textId="77777777" w:rsidTr="00D72849">
        <w:trPr>
          <w:trHeight w:val="851"/>
        </w:trPr>
        <w:tc>
          <w:tcPr>
            <w:tcW w:w="2529" w:type="dxa"/>
          </w:tcPr>
          <w:p w14:paraId="37088002" w14:textId="77777777" w:rsidR="00DB1D1F" w:rsidRPr="00DB1D1F" w:rsidRDefault="00DB1D1F" w:rsidP="00DB1D1F">
            <w:pPr>
              <w:ind w:firstLineChars="0" w:firstLine="0"/>
              <w:rPr>
                <w:rFonts w:eastAsia="楷体"/>
                <w:b/>
                <w:szCs w:val="28"/>
                <w:lang w:eastAsia="zh-CN"/>
              </w:rPr>
            </w:pPr>
            <w:r w:rsidRPr="00DB1D1F">
              <w:rPr>
                <w:rFonts w:eastAsia="楷体" w:hint="eastAsia"/>
                <w:b/>
                <w:szCs w:val="28"/>
                <w:lang w:eastAsia="zh-CN"/>
              </w:rPr>
              <w:t>银行代客收付款经常项目顺差收窄。其中货物贸易顺差规模下降，服务贸易逆差扩大，收入项逆差收窄。</w:t>
            </w:r>
          </w:p>
          <w:p w14:paraId="5C23B074" w14:textId="77777777" w:rsidR="00DB1D1F" w:rsidRPr="00DB1D1F" w:rsidRDefault="00DB1D1F" w:rsidP="00DB1D1F">
            <w:pPr>
              <w:ind w:firstLineChars="0" w:firstLine="0"/>
              <w:rPr>
                <w:rFonts w:eastAsia="楷体"/>
                <w:b/>
                <w:szCs w:val="28"/>
                <w:lang w:eastAsia="zh-CN"/>
              </w:rPr>
            </w:pPr>
          </w:p>
          <w:p w14:paraId="60354946" w14:textId="77777777" w:rsidR="00DB1D1F" w:rsidRPr="00DB1D1F" w:rsidRDefault="00DB1D1F" w:rsidP="00DB1D1F">
            <w:pPr>
              <w:ind w:firstLineChars="0" w:firstLine="0"/>
              <w:rPr>
                <w:rFonts w:eastAsia="楷体"/>
                <w:b/>
                <w:szCs w:val="28"/>
                <w:lang w:eastAsia="zh-CN"/>
              </w:rPr>
            </w:pPr>
          </w:p>
          <w:p w14:paraId="7748FB49" w14:textId="77777777" w:rsidR="00DB1D1F" w:rsidRPr="00DB1D1F" w:rsidRDefault="00DB1D1F" w:rsidP="00DB1D1F">
            <w:pPr>
              <w:ind w:firstLineChars="0" w:firstLine="0"/>
              <w:rPr>
                <w:rFonts w:eastAsia="楷体"/>
                <w:b/>
                <w:szCs w:val="28"/>
                <w:lang w:eastAsia="zh-CN"/>
              </w:rPr>
            </w:pPr>
            <w:r w:rsidRPr="00DB1D1F">
              <w:rPr>
                <w:rFonts w:eastAsia="楷体" w:hint="eastAsia"/>
                <w:b/>
                <w:szCs w:val="28"/>
                <w:lang w:eastAsia="zh-CN"/>
              </w:rPr>
              <w:t>银行代客涉外收付款资本和金融项目逆差规模收窄，</w:t>
            </w:r>
            <w:r w:rsidRPr="00DB1D1F">
              <w:rPr>
                <w:rFonts w:eastAsia="楷体"/>
                <w:b/>
                <w:szCs w:val="28"/>
                <w:lang w:eastAsia="zh-CN"/>
              </w:rPr>
              <w:t>直接</w:t>
            </w:r>
            <w:r w:rsidRPr="00DB1D1F">
              <w:rPr>
                <w:rFonts w:eastAsia="楷体" w:hint="eastAsia"/>
                <w:b/>
                <w:szCs w:val="28"/>
                <w:lang w:eastAsia="zh-CN"/>
              </w:rPr>
              <w:t>投资逆差大幅扩大、证券投资逆差显著收窄，其他投资仍维持小幅顺差。</w:t>
            </w:r>
          </w:p>
          <w:p w14:paraId="45DD1F33" w14:textId="77777777" w:rsidR="00DB1D1F" w:rsidRPr="00DB1D1F" w:rsidRDefault="00DB1D1F" w:rsidP="00DB1D1F">
            <w:pPr>
              <w:ind w:firstLineChars="0" w:firstLine="0"/>
              <w:rPr>
                <w:rFonts w:eastAsia="楷体"/>
                <w:b/>
                <w:szCs w:val="28"/>
                <w:lang w:eastAsia="zh-CN"/>
              </w:rPr>
            </w:pPr>
          </w:p>
          <w:p w14:paraId="4F02AEC9" w14:textId="77777777" w:rsidR="00DB1D1F" w:rsidRPr="00DB1D1F" w:rsidRDefault="00DB1D1F" w:rsidP="00DB1D1F">
            <w:pPr>
              <w:ind w:firstLineChars="0" w:firstLine="0"/>
              <w:rPr>
                <w:rFonts w:eastAsia="楷体"/>
                <w:b/>
                <w:szCs w:val="28"/>
                <w:lang w:eastAsia="zh-CN"/>
              </w:rPr>
            </w:pPr>
          </w:p>
          <w:p w14:paraId="34F824E5" w14:textId="77777777" w:rsidR="00DB1D1F" w:rsidRPr="00DB1D1F" w:rsidRDefault="00DB1D1F" w:rsidP="00DB1D1F">
            <w:pPr>
              <w:ind w:firstLineChars="0" w:firstLine="0"/>
              <w:rPr>
                <w:rFonts w:eastAsia="楷体"/>
                <w:b/>
                <w:szCs w:val="28"/>
                <w:lang w:eastAsia="zh-CN"/>
              </w:rPr>
            </w:pPr>
            <w:r w:rsidRPr="00DB1D1F">
              <w:rPr>
                <w:rFonts w:eastAsia="楷体" w:hint="eastAsia"/>
                <w:b/>
                <w:szCs w:val="28"/>
                <w:lang w:eastAsia="zh-CN"/>
              </w:rPr>
              <w:t>银行结售汇转为逆差。银行自身结售汇为小幅顺差和代客结售汇由顺差转为逆差。</w:t>
            </w:r>
          </w:p>
          <w:p w14:paraId="2EAC30CC" w14:textId="77777777" w:rsidR="00DB1D1F" w:rsidRPr="00DB1D1F" w:rsidRDefault="00DB1D1F" w:rsidP="00DB1D1F">
            <w:pPr>
              <w:ind w:firstLineChars="0" w:firstLine="0"/>
              <w:rPr>
                <w:rFonts w:eastAsia="楷体"/>
                <w:b/>
                <w:szCs w:val="28"/>
                <w:lang w:eastAsia="zh-CN"/>
              </w:rPr>
            </w:pPr>
          </w:p>
          <w:p w14:paraId="1ED8C027" w14:textId="77777777" w:rsidR="00DB1D1F" w:rsidRPr="00DB1D1F" w:rsidRDefault="00DB1D1F" w:rsidP="00DB1D1F">
            <w:pPr>
              <w:ind w:firstLineChars="0" w:firstLine="0"/>
              <w:rPr>
                <w:rFonts w:eastAsia="楷体"/>
                <w:b/>
                <w:szCs w:val="28"/>
                <w:lang w:eastAsia="zh-CN"/>
              </w:rPr>
            </w:pPr>
          </w:p>
          <w:p w14:paraId="7C505AED" w14:textId="77777777" w:rsidR="00DB1D1F" w:rsidRPr="00DB1D1F" w:rsidRDefault="00DB1D1F" w:rsidP="00DB1D1F">
            <w:pPr>
              <w:ind w:firstLineChars="0" w:firstLine="0"/>
              <w:rPr>
                <w:rFonts w:eastAsia="楷体"/>
                <w:b/>
                <w:szCs w:val="28"/>
                <w:lang w:eastAsia="zh-CN"/>
              </w:rPr>
            </w:pPr>
          </w:p>
          <w:p w14:paraId="31BD303B" w14:textId="77777777" w:rsidR="00DB1D1F" w:rsidRPr="00DB1D1F" w:rsidRDefault="00DB1D1F" w:rsidP="00DB1D1F">
            <w:pPr>
              <w:ind w:firstLineChars="0" w:firstLine="0"/>
              <w:rPr>
                <w:rFonts w:eastAsia="楷体"/>
                <w:b/>
                <w:szCs w:val="28"/>
                <w:lang w:eastAsia="zh-CN"/>
              </w:rPr>
            </w:pPr>
          </w:p>
          <w:p w14:paraId="41F02445" w14:textId="77777777" w:rsidR="00DB1D1F" w:rsidRPr="00DB1D1F" w:rsidRDefault="00DB1D1F" w:rsidP="00DB1D1F">
            <w:pPr>
              <w:ind w:firstLineChars="0" w:firstLine="0"/>
              <w:rPr>
                <w:rFonts w:eastAsia="楷体"/>
                <w:b/>
                <w:szCs w:val="28"/>
                <w:lang w:eastAsia="zh-CN"/>
              </w:rPr>
            </w:pPr>
          </w:p>
          <w:p w14:paraId="34AC46EE" w14:textId="77777777" w:rsidR="00DB1D1F" w:rsidRPr="00DB1D1F" w:rsidRDefault="00DB1D1F" w:rsidP="00DB1D1F">
            <w:pPr>
              <w:ind w:firstLineChars="0" w:firstLine="0"/>
              <w:rPr>
                <w:rFonts w:eastAsia="楷体"/>
                <w:b/>
                <w:szCs w:val="28"/>
                <w:lang w:eastAsia="zh-CN"/>
              </w:rPr>
            </w:pPr>
          </w:p>
          <w:p w14:paraId="5029E676" w14:textId="77777777" w:rsidR="00DB1D1F" w:rsidRPr="00DB1D1F" w:rsidRDefault="00DB1D1F" w:rsidP="00DB1D1F">
            <w:pPr>
              <w:ind w:firstLineChars="0" w:firstLine="0"/>
              <w:rPr>
                <w:rFonts w:eastAsia="楷体"/>
                <w:b/>
                <w:szCs w:val="28"/>
                <w:lang w:eastAsia="zh-CN"/>
              </w:rPr>
            </w:pPr>
          </w:p>
          <w:p w14:paraId="727B1A13" w14:textId="77777777" w:rsidR="00DB1D1F" w:rsidRPr="00DB1D1F" w:rsidRDefault="00DB1D1F" w:rsidP="00DB1D1F">
            <w:pPr>
              <w:ind w:firstLineChars="0" w:firstLine="0"/>
              <w:rPr>
                <w:rFonts w:eastAsia="楷体"/>
                <w:b/>
                <w:szCs w:val="28"/>
                <w:lang w:eastAsia="zh-CN"/>
              </w:rPr>
            </w:pPr>
          </w:p>
          <w:p w14:paraId="77A4499A" w14:textId="77777777" w:rsidR="00DB1D1F" w:rsidRPr="00DB1D1F" w:rsidRDefault="00DB1D1F" w:rsidP="00DB1D1F">
            <w:pPr>
              <w:ind w:firstLineChars="0" w:firstLine="0"/>
              <w:rPr>
                <w:rFonts w:eastAsia="楷体"/>
                <w:b/>
                <w:szCs w:val="28"/>
                <w:lang w:eastAsia="zh-CN"/>
              </w:rPr>
            </w:pPr>
            <w:r w:rsidRPr="00DB1D1F">
              <w:rPr>
                <w:rFonts w:eastAsia="楷体" w:hint="eastAsia"/>
                <w:b/>
                <w:szCs w:val="28"/>
                <w:lang w:eastAsia="zh-CN"/>
              </w:rPr>
              <w:t>人民币计价的银行代客收付款维持净流出，流出规模相比上季度同期有所收窄。</w:t>
            </w:r>
          </w:p>
          <w:p w14:paraId="74A89F24" w14:textId="77777777" w:rsidR="00DB1D1F" w:rsidRPr="00DB1D1F" w:rsidRDefault="00DB1D1F" w:rsidP="00DB1D1F">
            <w:pPr>
              <w:ind w:firstLineChars="0" w:firstLine="0"/>
              <w:rPr>
                <w:rFonts w:eastAsia="楷体"/>
                <w:b/>
                <w:szCs w:val="28"/>
                <w:lang w:eastAsia="zh-CN"/>
              </w:rPr>
            </w:pPr>
          </w:p>
          <w:p w14:paraId="03EE0E36" w14:textId="77777777" w:rsidR="00DB1D1F" w:rsidRPr="00DB1D1F" w:rsidRDefault="00DB1D1F" w:rsidP="00DB1D1F">
            <w:pPr>
              <w:ind w:firstLineChars="0" w:firstLine="0"/>
              <w:rPr>
                <w:rFonts w:eastAsia="楷体"/>
                <w:b/>
                <w:szCs w:val="28"/>
                <w:lang w:eastAsia="zh-CN"/>
              </w:rPr>
            </w:pPr>
          </w:p>
        </w:tc>
        <w:tc>
          <w:tcPr>
            <w:tcW w:w="316" w:type="dxa"/>
          </w:tcPr>
          <w:p w14:paraId="5EA3D0E8" w14:textId="77777777" w:rsidR="00DB1D1F" w:rsidRPr="00DB1D1F" w:rsidRDefault="00DB1D1F" w:rsidP="00DB1D1F">
            <w:pPr>
              <w:keepNext/>
              <w:keepLines/>
              <w:spacing w:before="260" w:after="260"/>
              <w:ind w:firstLine="480"/>
              <w:rPr>
                <w:rFonts w:eastAsia="楷体_GB2312"/>
                <w:lang w:eastAsia="zh-CN"/>
              </w:rPr>
            </w:pPr>
          </w:p>
        </w:tc>
        <w:tc>
          <w:tcPr>
            <w:tcW w:w="7078" w:type="dxa"/>
          </w:tcPr>
          <w:p w14:paraId="4D924353" w14:textId="77777777" w:rsidR="00DB1D1F" w:rsidRPr="00DB1D1F" w:rsidRDefault="00DB1D1F" w:rsidP="00DB1D1F">
            <w:pPr>
              <w:ind w:firstLine="480"/>
              <w:rPr>
                <w:rFonts w:eastAsia="宋体"/>
                <w:lang w:eastAsia="zh-CN"/>
              </w:rPr>
            </w:pPr>
            <w:r w:rsidRPr="00DB1D1F">
              <w:rPr>
                <w:rFonts w:eastAsia="宋体" w:hint="eastAsia"/>
                <w:lang w:eastAsia="zh-CN"/>
              </w:rPr>
              <w:t>从境内银行代客涉外收付款的分项看，</w:t>
            </w:r>
            <w:r w:rsidRPr="00DB1D1F">
              <w:rPr>
                <w:rFonts w:eastAsia="宋体"/>
                <w:lang w:eastAsia="zh-CN"/>
              </w:rPr>
              <w:t>202</w:t>
            </w:r>
            <w:r w:rsidRPr="00DB1D1F">
              <w:rPr>
                <w:rFonts w:eastAsia="宋体" w:hint="eastAsia"/>
                <w:lang w:eastAsia="zh-CN"/>
              </w:rPr>
              <w:t>5</w:t>
            </w:r>
            <w:r w:rsidRPr="00DB1D1F">
              <w:rPr>
                <w:rFonts w:eastAsia="宋体" w:hint="eastAsia"/>
                <w:lang w:eastAsia="zh-CN"/>
              </w:rPr>
              <w:t>年</w:t>
            </w:r>
            <w:r w:rsidRPr="00DB1D1F">
              <w:rPr>
                <w:rFonts w:eastAsia="宋体" w:hint="eastAsia"/>
                <w:lang w:eastAsia="zh-CN"/>
              </w:rPr>
              <w:t>1</w:t>
            </w:r>
            <w:r w:rsidRPr="00DB1D1F">
              <w:rPr>
                <w:rFonts w:eastAsia="宋体"/>
                <w:lang w:eastAsia="zh-CN"/>
              </w:rPr>
              <w:t>月、</w:t>
            </w:r>
            <w:r w:rsidRPr="00DB1D1F">
              <w:rPr>
                <w:rFonts w:eastAsia="宋体" w:hint="eastAsia"/>
                <w:lang w:eastAsia="zh-CN"/>
              </w:rPr>
              <w:t>2</w:t>
            </w:r>
            <w:r w:rsidRPr="00DB1D1F">
              <w:rPr>
                <w:rFonts w:eastAsia="宋体"/>
                <w:lang w:eastAsia="zh-CN"/>
              </w:rPr>
              <w:t>月</w:t>
            </w:r>
            <w:r w:rsidRPr="00DB1D1F">
              <w:rPr>
                <w:rFonts w:eastAsia="宋体" w:hint="eastAsia"/>
                <w:lang w:eastAsia="zh-CN"/>
              </w:rPr>
              <w:t>经常项目由上季度同期的</w:t>
            </w:r>
            <w:r w:rsidRPr="00DB1D1F">
              <w:rPr>
                <w:rFonts w:eastAsia="宋体" w:hint="eastAsia"/>
                <w:lang w:eastAsia="zh-CN"/>
              </w:rPr>
              <w:t>987.0</w:t>
            </w:r>
            <w:r w:rsidRPr="00DB1D1F">
              <w:rPr>
                <w:rFonts w:eastAsia="宋体" w:hint="eastAsia"/>
                <w:lang w:eastAsia="zh-CN"/>
              </w:rPr>
              <w:t>亿美元缩小至</w:t>
            </w:r>
            <w:r w:rsidRPr="00DB1D1F">
              <w:rPr>
                <w:rFonts w:eastAsia="宋体" w:hint="eastAsia"/>
                <w:lang w:eastAsia="zh-CN"/>
              </w:rPr>
              <w:t>758.0</w:t>
            </w:r>
            <w:r w:rsidRPr="00DB1D1F">
              <w:rPr>
                <w:rFonts w:eastAsia="宋体" w:hint="eastAsia"/>
                <w:lang w:eastAsia="zh-CN"/>
              </w:rPr>
              <w:t>亿美元。从细项看，货物贸易顺差规模下降，服务贸易逆差扩大，收入项逆差收窄。</w:t>
            </w:r>
            <w:r w:rsidRPr="00DB1D1F">
              <w:rPr>
                <w:rFonts w:eastAsia="宋体" w:hint="eastAsia"/>
                <w:lang w:eastAsia="zh-CN"/>
              </w:rPr>
              <w:t>1</w:t>
            </w:r>
            <w:r w:rsidRPr="00DB1D1F">
              <w:rPr>
                <w:rFonts w:eastAsia="宋体" w:hint="eastAsia"/>
                <w:lang w:eastAsia="zh-CN"/>
              </w:rPr>
              <w:t>季度前两个月，货物贸易顺差相比于上季度前两个月下降</w:t>
            </w:r>
            <w:r w:rsidRPr="00DB1D1F">
              <w:rPr>
                <w:rFonts w:eastAsia="宋体" w:hint="eastAsia"/>
                <w:lang w:eastAsia="zh-CN"/>
              </w:rPr>
              <w:t>11.1</w:t>
            </w:r>
            <w:r w:rsidRPr="00DB1D1F">
              <w:rPr>
                <w:rFonts w:eastAsia="宋体"/>
                <w:lang w:eastAsia="zh-CN"/>
              </w:rPr>
              <w:t>%</w:t>
            </w:r>
            <w:r w:rsidRPr="00DB1D1F">
              <w:rPr>
                <w:rFonts w:eastAsia="宋体" w:hint="eastAsia"/>
                <w:lang w:eastAsia="zh-CN"/>
              </w:rPr>
              <w:t>，至</w:t>
            </w:r>
            <w:r w:rsidRPr="00DB1D1F">
              <w:rPr>
                <w:rFonts w:eastAsia="宋体" w:hint="eastAsia"/>
                <w:lang w:eastAsia="zh-CN"/>
              </w:rPr>
              <w:t>1302</w:t>
            </w:r>
            <w:r w:rsidRPr="00DB1D1F">
              <w:rPr>
                <w:rFonts w:eastAsia="宋体"/>
                <w:lang w:eastAsia="zh-CN"/>
              </w:rPr>
              <w:t>.</w:t>
            </w:r>
            <w:r w:rsidRPr="00DB1D1F">
              <w:rPr>
                <w:rFonts w:eastAsia="宋体" w:hint="eastAsia"/>
                <w:lang w:eastAsia="zh-CN"/>
              </w:rPr>
              <w:t>5</w:t>
            </w:r>
            <w:r w:rsidRPr="00DB1D1F">
              <w:rPr>
                <w:rFonts w:eastAsia="宋体" w:hint="eastAsia"/>
                <w:lang w:eastAsia="zh-CN"/>
              </w:rPr>
              <w:t>亿美元；服务贸易逆差相比上季度同期增长</w:t>
            </w:r>
            <w:r w:rsidRPr="00DB1D1F">
              <w:rPr>
                <w:rFonts w:eastAsia="宋体" w:hint="eastAsia"/>
                <w:lang w:eastAsia="zh-CN"/>
              </w:rPr>
              <w:t>40.3%</w:t>
            </w:r>
            <w:r w:rsidRPr="00DB1D1F">
              <w:rPr>
                <w:rFonts w:eastAsia="宋体" w:hint="eastAsia"/>
                <w:lang w:eastAsia="zh-CN"/>
              </w:rPr>
              <w:t>，至</w:t>
            </w:r>
            <w:r w:rsidRPr="00DB1D1F">
              <w:rPr>
                <w:rFonts w:eastAsia="宋体" w:hint="eastAsia"/>
                <w:lang w:eastAsia="zh-CN"/>
              </w:rPr>
              <w:t>305.6</w:t>
            </w:r>
            <w:r w:rsidRPr="00DB1D1F">
              <w:rPr>
                <w:rFonts w:eastAsia="宋体" w:hint="eastAsia"/>
                <w:lang w:eastAsia="zh-CN"/>
              </w:rPr>
              <w:t>亿美元；收入项逆差为</w:t>
            </w:r>
            <w:r w:rsidRPr="00DB1D1F">
              <w:rPr>
                <w:rFonts w:eastAsia="宋体" w:hint="eastAsia"/>
                <w:lang w:eastAsia="zh-CN"/>
              </w:rPr>
              <w:t>238.9</w:t>
            </w:r>
            <w:r w:rsidRPr="00DB1D1F">
              <w:rPr>
                <w:rFonts w:eastAsia="宋体" w:hint="eastAsia"/>
                <w:lang w:eastAsia="zh-CN"/>
              </w:rPr>
              <w:t>亿美元，相比上季</w:t>
            </w:r>
            <w:r w:rsidRPr="00DB1D1F">
              <w:rPr>
                <w:rFonts w:eastAsia="宋体" w:hint="eastAsia"/>
                <w:lang w:eastAsia="zh-CN"/>
              </w:rPr>
              <w:lastRenderedPageBreak/>
              <w:t>度前两个月逆差规模下降</w:t>
            </w:r>
            <w:r w:rsidRPr="00DB1D1F">
              <w:rPr>
                <w:rFonts w:eastAsia="宋体" w:hint="eastAsia"/>
                <w:lang w:eastAsia="zh-CN"/>
              </w:rPr>
              <w:t>21.1%</w:t>
            </w:r>
            <w:r w:rsidRPr="00DB1D1F">
              <w:rPr>
                <w:rFonts w:eastAsia="宋体" w:hint="eastAsia"/>
                <w:lang w:eastAsia="zh-CN"/>
              </w:rPr>
              <w:t>。</w:t>
            </w:r>
          </w:p>
          <w:p w14:paraId="7F2DA855" w14:textId="77777777" w:rsidR="00DB1D1F" w:rsidRPr="00DB1D1F" w:rsidRDefault="00DB1D1F" w:rsidP="00DB1D1F">
            <w:pPr>
              <w:ind w:firstLine="480"/>
              <w:rPr>
                <w:rFonts w:eastAsia="宋体"/>
                <w:color w:val="FF0000"/>
                <w:lang w:eastAsia="zh-CN"/>
              </w:rPr>
            </w:pPr>
            <w:r w:rsidRPr="00DB1D1F">
              <w:rPr>
                <w:rFonts w:eastAsia="宋体" w:hint="eastAsia"/>
                <w:lang w:eastAsia="zh-CN"/>
              </w:rPr>
              <w:t>银行代客涉外收付款资本和金融项目逆差相比上季度同期有所收窄，</w:t>
            </w:r>
            <w:r w:rsidRPr="00DB1D1F">
              <w:rPr>
                <w:rFonts w:eastAsia="宋体" w:hint="eastAsia"/>
                <w:lang w:eastAsia="zh-CN"/>
              </w:rPr>
              <w:t>2025</w:t>
            </w:r>
            <w:r w:rsidRPr="00DB1D1F">
              <w:rPr>
                <w:rFonts w:eastAsia="宋体" w:hint="eastAsia"/>
                <w:lang w:eastAsia="zh-CN"/>
              </w:rPr>
              <w:t>年</w:t>
            </w:r>
            <w:r w:rsidRPr="00DB1D1F">
              <w:rPr>
                <w:rFonts w:eastAsia="宋体" w:hint="eastAsia"/>
                <w:lang w:eastAsia="zh-CN"/>
              </w:rPr>
              <w:t>1</w:t>
            </w:r>
            <w:r w:rsidRPr="00DB1D1F">
              <w:rPr>
                <w:rFonts w:eastAsia="宋体" w:hint="eastAsia"/>
                <w:lang w:eastAsia="zh-CN"/>
              </w:rPr>
              <w:t>季度前两个月的逆差规模为</w:t>
            </w:r>
            <w:r w:rsidRPr="00DB1D1F">
              <w:rPr>
                <w:rFonts w:eastAsia="宋体" w:hint="eastAsia"/>
                <w:lang w:eastAsia="zh-CN"/>
              </w:rPr>
              <w:t>757.2</w:t>
            </w:r>
            <w:r w:rsidRPr="00DB1D1F">
              <w:rPr>
                <w:rFonts w:eastAsia="宋体" w:hint="eastAsia"/>
                <w:lang w:eastAsia="zh-CN"/>
              </w:rPr>
              <w:t>亿美元，相对于上季度同期逆差规模收窄</w:t>
            </w:r>
            <w:r w:rsidRPr="00DB1D1F">
              <w:rPr>
                <w:rFonts w:eastAsia="宋体" w:hint="eastAsia"/>
                <w:lang w:eastAsia="zh-CN"/>
              </w:rPr>
              <w:t>14.4%</w:t>
            </w:r>
            <w:r w:rsidRPr="00DB1D1F">
              <w:rPr>
                <w:rFonts w:eastAsia="宋体"/>
                <w:lang w:eastAsia="zh-CN"/>
              </w:rPr>
              <w:t>。从细项看，直接</w:t>
            </w:r>
            <w:r w:rsidRPr="00DB1D1F">
              <w:rPr>
                <w:rFonts w:eastAsia="宋体" w:hint="eastAsia"/>
                <w:lang w:eastAsia="zh-CN"/>
              </w:rPr>
              <w:t>投资逆差显著扩大、证券投资逆差显著收窄，其他投资顺差收窄。其中，直接投资逆差由上季度同期的</w:t>
            </w:r>
            <w:r w:rsidRPr="00DB1D1F">
              <w:rPr>
                <w:rFonts w:eastAsia="宋体" w:hint="eastAsia"/>
                <w:lang w:eastAsia="zh-CN"/>
              </w:rPr>
              <w:t>191.9</w:t>
            </w:r>
            <w:r w:rsidRPr="00DB1D1F">
              <w:rPr>
                <w:rFonts w:eastAsia="宋体" w:hint="eastAsia"/>
                <w:lang w:eastAsia="zh-CN"/>
              </w:rPr>
              <w:t>亿美元扩大至</w:t>
            </w:r>
            <w:r w:rsidRPr="00DB1D1F">
              <w:rPr>
                <w:rFonts w:eastAsia="宋体" w:hint="eastAsia"/>
                <w:lang w:eastAsia="zh-CN"/>
              </w:rPr>
              <w:t>418.2</w:t>
            </w:r>
            <w:r w:rsidRPr="00DB1D1F">
              <w:rPr>
                <w:rFonts w:eastAsia="宋体" w:hint="eastAsia"/>
                <w:lang w:eastAsia="zh-CN"/>
              </w:rPr>
              <w:t>亿美元；证券投资由上季度同期</w:t>
            </w:r>
            <w:r w:rsidRPr="00DB1D1F">
              <w:rPr>
                <w:rFonts w:eastAsia="宋体" w:hint="eastAsia"/>
                <w:lang w:eastAsia="zh-CN"/>
              </w:rPr>
              <w:t>714.3</w:t>
            </w:r>
            <w:r w:rsidRPr="00DB1D1F">
              <w:rPr>
                <w:rFonts w:eastAsia="宋体" w:hint="eastAsia"/>
                <w:lang w:eastAsia="zh-CN"/>
              </w:rPr>
              <w:t>亿美元的逆差收窄至</w:t>
            </w:r>
            <w:r w:rsidRPr="00DB1D1F">
              <w:rPr>
                <w:rFonts w:eastAsia="宋体" w:hint="eastAsia"/>
                <w:lang w:eastAsia="zh-CN"/>
              </w:rPr>
              <w:t>347.9</w:t>
            </w:r>
            <w:r w:rsidRPr="00DB1D1F">
              <w:rPr>
                <w:rFonts w:eastAsia="宋体" w:hint="eastAsia"/>
                <w:lang w:eastAsia="zh-CN"/>
              </w:rPr>
              <w:t>亿美元；其他投资项仍然维持顺差，由上一季度的</w:t>
            </w:r>
            <w:r w:rsidRPr="00DB1D1F">
              <w:rPr>
                <w:rFonts w:eastAsia="宋体" w:hint="eastAsia"/>
                <w:lang w:eastAsia="zh-CN"/>
              </w:rPr>
              <w:t>21.2</w:t>
            </w:r>
            <w:r w:rsidRPr="00DB1D1F">
              <w:rPr>
                <w:rFonts w:eastAsia="宋体" w:hint="eastAsia"/>
                <w:lang w:eastAsia="zh-CN"/>
              </w:rPr>
              <w:t>亿美元收窄至</w:t>
            </w:r>
            <w:r w:rsidRPr="00DB1D1F">
              <w:rPr>
                <w:rFonts w:eastAsia="宋体" w:hint="eastAsia"/>
                <w:lang w:eastAsia="zh-CN"/>
              </w:rPr>
              <w:t>10.0</w:t>
            </w:r>
            <w:r w:rsidRPr="00DB1D1F">
              <w:rPr>
                <w:rFonts w:eastAsia="宋体" w:hint="eastAsia"/>
                <w:lang w:eastAsia="zh-CN"/>
              </w:rPr>
              <w:t>亿美元</w:t>
            </w:r>
            <w:r w:rsidRPr="00DB1D1F">
              <w:rPr>
                <w:rFonts w:eastAsia="宋体"/>
                <w:lang w:eastAsia="zh-CN"/>
              </w:rPr>
              <w:t>。</w:t>
            </w:r>
          </w:p>
          <w:p w14:paraId="159FB546" w14:textId="1F571488" w:rsidR="00DB1D1F" w:rsidRPr="00DB1D1F" w:rsidRDefault="00DB1D1F" w:rsidP="00DB1D1F">
            <w:pPr>
              <w:ind w:firstLine="480"/>
              <w:rPr>
                <w:rFonts w:eastAsia="宋体"/>
                <w:lang w:eastAsia="zh-CN"/>
              </w:rPr>
            </w:pPr>
            <w:r w:rsidRPr="00DB1D1F">
              <w:rPr>
                <w:rFonts w:eastAsia="宋体"/>
                <w:lang w:eastAsia="zh-CN"/>
              </w:rPr>
              <w:t>202</w:t>
            </w:r>
            <w:r w:rsidRPr="00DB1D1F">
              <w:rPr>
                <w:rFonts w:eastAsia="宋体" w:hint="eastAsia"/>
                <w:lang w:eastAsia="zh-CN"/>
              </w:rPr>
              <w:t>5</w:t>
            </w:r>
            <w:r w:rsidRPr="00DB1D1F">
              <w:rPr>
                <w:rFonts w:eastAsia="宋体"/>
                <w:lang w:eastAsia="zh-CN"/>
              </w:rPr>
              <w:t>年</w:t>
            </w:r>
            <w:r w:rsidRPr="00DB1D1F">
              <w:rPr>
                <w:rFonts w:eastAsia="宋体" w:hint="eastAsia"/>
                <w:lang w:eastAsia="zh-CN"/>
              </w:rPr>
              <w:t>1</w:t>
            </w:r>
            <w:r w:rsidRPr="00DB1D1F">
              <w:rPr>
                <w:rFonts w:eastAsia="宋体" w:hint="eastAsia"/>
                <w:lang w:eastAsia="zh-CN"/>
              </w:rPr>
              <w:t>月、</w:t>
            </w:r>
            <w:r w:rsidRPr="00DB1D1F">
              <w:rPr>
                <w:rFonts w:eastAsia="宋体" w:hint="eastAsia"/>
                <w:lang w:eastAsia="zh-CN"/>
              </w:rPr>
              <w:t>2</w:t>
            </w:r>
            <w:r w:rsidRPr="00DB1D1F">
              <w:rPr>
                <w:rFonts w:eastAsia="宋体" w:hint="eastAsia"/>
                <w:lang w:eastAsia="zh-CN"/>
              </w:rPr>
              <w:t>月，银行结售汇由</w:t>
            </w:r>
            <w:r w:rsidRPr="00DB1D1F">
              <w:rPr>
                <w:rFonts w:eastAsia="宋体" w:hint="eastAsia"/>
                <w:lang w:eastAsia="zh-CN"/>
              </w:rPr>
              <w:t>217.2</w:t>
            </w:r>
            <w:r w:rsidRPr="00DB1D1F">
              <w:rPr>
                <w:rFonts w:eastAsia="宋体" w:hint="eastAsia"/>
                <w:lang w:eastAsia="zh-CN"/>
              </w:rPr>
              <w:t>亿美元的顺差转为</w:t>
            </w:r>
            <w:r w:rsidRPr="00DB1D1F">
              <w:rPr>
                <w:rFonts w:eastAsia="宋体" w:hint="eastAsia"/>
                <w:lang w:eastAsia="zh-CN"/>
              </w:rPr>
              <w:t>556.3</w:t>
            </w:r>
            <w:r w:rsidRPr="00DB1D1F">
              <w:rPr>
                <w:rFonts w:eastAsia="宋体" w:hint="eastAsia"/>
                <w:lang w:eastAsia="zh-CN"/>
              </w:rPr>
              <w:t>亿美元逆差。其中，银行结汇相比上季度同期的</w:t>
            </w:r>
            <w:r w:rsidRPr="00DB1D1F">
              <w:rPr>
                <w:rFonts w:eastAsia="宋体" w:hint="eastAsia"/>
                <w:lang w:eastAsia="zh-CN"/>
              </w:rPr>
              <w:t>4207.8</w:t>
            </w:r>
            <w:r w:rsidRPr="00DB1D1F">
              <w:rPr>
                <w:rFonts w:eastAsia="宋体" w:hint="eastAsia"/>
                <w:lang w:eastAsia="zh-CN"/>
              </w:rPr>
              <w:t>亿美元下降至</w:t>
            </w:r>
            <w:r w:rsidRPr="00DB1D1F">
              <w:rPr>
                <w:rFonts w:eastAsia="宋体" w:hint="eastAsia"/>
                <w:lang w:eastAsia="zh-CN"/>
              </w:rPr>
              <w:t>3394.4</w:t>
            </w:r>
            <w:r w:rsidRPr="00DB1D1F">
              <w:rPr>
                <w:rFonts w:eastAsia="宋体" w:hint="eastAsia"/>
                <w:lang w:eastAsia="zh-CN"/>
              </w:rPr>
              <w:t>亿美元。银行售汇金额由上季度同期的</w:t>
            </w:r>
            <w:r w:rsidRPr="00DB1D1F">
              <w:rPr>
                <w:rFonts w:eastAsia="宋体" w:hint="eastAsia"/>
                <w:lang w:eastAsia="zh-CN"/>
              </w:rPr>
              <w:t>3990.5</w:t>
            </w:r>
            <w:r w:rsidRPr="00DB1D1F">
              <w:rPr>
                <w:rFonts w:eastAsia="宋体" w:hint="eastAsia"/>
                <w:lang w:eastAsia="zh-CN"/>
              </w:rPr>
              <w:t>亿美元下降至</w:t>
            </w:r>
            <w:r w:rsidRPr="00DB1D1F">
              <w:rPr>
                <w:rFonts w:eastAsia="宋体" w:hint="eastAsia"/>
                <w:lang w:eastAsia="zh-CN"/>
              </w:rPr>
              <w:t>3950.7</w:t>
            </w:r>
            <w:r w:rsidRPr="00DB1D1F">
              <w:rPr>
                <w:rFonts w:eastAsia="宋体" w:hint="eastAsia"/>
                <w:lang w:eastAsia="zh-CN"/>
              </w:rPr>
              <w:t>亿美元。从交易主体来看，</w:t>
            </w:r>
            <w:r w:rsidRPr="00DB1D1F">
              <w:rPr>
                <w:rFonts w:eastAsia="宋体" w:hint="eastAsia"/>
                <w:lang w:eastAsia="zh-CN"/>
              </w:rPr>
              <w:t>1</w:t>
            </w:r>
            <w:r w:rsidRPr="00DB1D1F">
              <w:rPr>
                <w:rFonts w:eastAsia="宋体" w:hint="eastAsia"/>
                <w:lang w:eastAsia="zh-CN"/>
              </w:rPr>
              <w:t>、</w:t>
            </w:r>
            <w:r w:rsidRPr="00DB1D1F">
              <w:rPr>
                <w:rFonts w:eastAsia="宋体" w:hint="eastAsia"/>
                <w:lang w:eastAsia="zh-CN"/>
              </w:rPr>
              <w:t>2</w:t>
            </w:r>
            <w:r w:rsidRPr="00DB1D1F">
              <w:rPr>
                <w:rFonts w:eastAsia="宋体" w:hint="eastAsia"/>
                <w:lang w:eastAsia="zh-CN"/>
              </w:rPr>
              <w:t>两个月银行自身结汇规模为</w:t>
            </w:r>
            <w:r w:rsidRPr="00DB1D1F">
              <w:rPr>
                <w:rFonts w:eastAsia="宋体" w:hint="eastAsia"/>
                <w:lang w:eastAsia="zh-CN"/>
              </w:rPr>
              <w:t>58.3</w:t>
            </w:r>
            <w:r w:rsidRPr="00DB1D1F">
              <w:rPr>
                <w:rFonts w:eastAsia="宋体" w:hint="eastAsia"/>
                <w:lang w:eastAsia="zh-CN"/>
              </w:rPr>
              <w:t>亿美元，相比上季度同期下降</w:t>
            </w:r>
            <w:r w:rsidRPr="00DB1D1F">
              <w:rPr>
                <w:rFonts w:eastAsia="宋体" w:hint="eastAsia"/>
                <w:lang w:eastAsia="zh-CN"/>
              </w:rPr>
              <w:t>50.8%</w:t>
            </w:r>
            <w:r w:rsidRPr="00DB1D1F">
              <w:rPr>
                <w:rFonts w:eastAsia="宋体" w:hint="eastAsia"/>
                <w:lang w:eastAsia="zh-CN"/>
              </w:rPr>
              <w:t>；银行自身售汇规模为</w:t>
            </w:r>
            <w:r w:rsidRPr="00DB1D1F">
              <w:rPr>
                <w:rFonts w:eastAsia="宋体" w:hint="eastAsia"/>
                <w:lang w:eastAsia="zh-CN"/>
              </w:rPr>
              <w:t>155.5</w:t>
            </w:r>
            <w:r w:rsidRPr="00DB1D1F">
              <w:rPr>
                <w:rFonts w:eastAsia="宋体" w:hint="eastAsia"/>
                <w:lang w:eastAsia="zh-CN"/>
              </w:rPr>
              <w:t>亿美元，相比上季度同期上升</w:t>
            </w:r>
            <w:r w:rsidRPr="00DB1D1F">
              <w:rPr>
                <w:rFonts w:eastAsia="宋体" w:hint="eastAsia"/>
                <w:lang w:eastAsia="zh-CN"/>
              </w:rPr>
              <w:t>19.3%</w:t>
            </w:r>
            <w:r w:rsidRPr="00DB1D1F">
              <w:rPr>
                <w:rFonts w:eastAsia="宋体" w:hint="eastAsia"/>
                <w:lang w:eastAsia="zh-CN"/>
              </w:rPr>
              <w:t>，由于银行自身结汇金额大幅下降，结售汇由上季度</w:t>
            </w:r>
            <w:r w:rsidRPr="00DB1D1F">
              <w:rPr>
                <w:rFonts w:eastAsia="宋体" w:hint="eastAsia"/>
                <w:lang w:eastAsia="zh-CN"/>
              </w:rPr>
              <w:t>18.3</w:t>
            </w:r>
            <w:r w:rsidRPr="00DB1D1F">
              <w:rPr>
                <w:rFonts w:eastAsia="宋体" w:hint="eastAsia"/>
                <w:lang w:eastAsia="zh-CN"/>
              </w:rPr>
              <w:t>亿美元的小幅顺差转为</w:t>
            </w:r>
            <w:r w:rsidRPr="00DB1D1F">
              <w:rPr>
                <w:rFonts w:eastAsia="宋体" w:hint="eastAsia"/>
                <w:lang w:eastAsia="zh-CN"/>
              </w:rPr>
              <w:t>97.1</w:t>
            </w:r>
            <w:r w:rsidRPr="00DB1D1F">
              <w:rPr>
                <w:rFonts w:eastAsia="宋体" w:hint="eastAsia"/>
                <w:lang w:eastAsia="zh-CN"/>
              </w:rPr>
              <w:t>亿美元的逆差。银行代客结售汇由上季度同期</w:t>
            </w:r>
            <w:r w:rsidRPr="00DB1D1F">
              <w:rPr>
                <w:rFonts w:eastAsia="宋体" w:hint="eastAsia"/>
                <w:lang w:eastAsia="zh-CN"/>
              </w:rPr>
              <w:t>198.9</w:t>
            </w:r>
            <w:r w:rsidRPr="00DB1D1F">
              <w:rPr>
                <w:rFonts w:eastAsia="宋体" w:hint="eastAsia"/>
                <w:lang w:eastAsia="zh-CN"/>
              </w:rPr>
              <w:t>亿美元的顺差转为</w:t>
            </w:r>
            <w:r w:rsidRPr="00DB1D1F">
              <w:rPr>
                <w:rFonts w:eastAsia="宋体" w:hint="eastAsia"/>
                <w:lang w:eastAsia="zh-CN"/>
              </w:rPr>
              <w:t>459.1</w:t>
            </w:r>
            <w:r w:rsidRPr="00DB1D1F">
              <w:rPr>
                <w:rFonts w:eastAsia="宋体" w:hint="eastAsia"/>
                <w:lang w:eastAsia="zh-CN"/>
              </w:rPr>
              <w:t>亿美元的逆差。在结售汇意愿方面，</w:t>
            </w:r>
            <w:r w:rsidRPr="00DB1D1F">
              <w:rPr>
                <w:rFonts w:eastAsia="宋体" w:hint="eastAsia"/>
                <w:lang w:eastAsia="zh-CN"/>
              </w:rPr>
              <w:t>2</w:t>
            </w:r>
            <w:r w:rsidRPr="00DB1D1F">
              <w:rPr>
                <w:rFonts w:eastAsia="宋体"/>
                <w:lang w:eastAsia="zh-CN"/>
              </w:rPr>
              <w:t>02</w:t>
            </w:r>
            <w:r w:rsidRPr="00DB1D1F">
              <w:rPr>
                <w:rFonts w:eastAsia="宋体" w:hint="eastAsia"/>
                <w:lang w:eastAsia="zh-CN"/>
              </w:rPr>
              <w:t>5</w:t>
            </w:r>
            <w:r w:rsidRPr="00DB1D1F">
              <w:rPr>
                <w:rFonts w:eastAsia="宋体" w:hint="eastAsia"/>
                <w:lang w:eastAsia="zh-CN"/>
              </w:rPr>
              <w:t>年</w:t>
            </w:r>
            <w:r w:rsidRPr="00DB1D1F">
              <w:rPr>
                <w:rFonts w:eastAsia="宋体" w:hint="eastAsia"/>
                <w:lang w:eastAsia="zh-CN"/>
              </w:rPr>
              <w:t>1</w:t>
            </w:r>
            <w:r w:rsidRPr="00DB1D1F">
              <w:rPr>
                <w:rFonts w:eastAsia="宋体" w:hint="eastAsia"/>
                <w:lang w:eastAsia="zh-CN"/>
              </w:rPr>
              <w:t>季度前两个月结汇率（</w:t>
            </w:r>
            <w:r w:rsidRPr="00DB1D1F">
              <w:rPr>
                <w:rFonts w:eastAsia="宋体"/>
                <w:lang w:eastAsia="zh-CN"/>
              </w:rPr>
              <w:t>银行代客结汇占银行</w:t>
            </w:r>
            <w:r w:rsidRPr="00DB1D1F">
              <w:rPr>
                <w:rFonts w:eastAsia="宋体" w:hint="eastAsia"/>
                <w:lang w:eastAsia="zh-CN"/>
              </w:rPr>
              <w:t>代客</w:t>
            </w:r>
            <w:r w:rsidRPr="00DB1D1F">
              <w:rPr>
                <w:rFonts w:eastAsia="宋体"/>
                <w:lang w:eastAsia="zh-CN"/>
              </w:rPr>
              <w:t>涉外总收入</w:t>
            </w:r>
            <w:r w:rsidRPr="00DB1D1F">
              <w:rPr>
                <w:rFonts w:eastAsia="宋体" w:hint="eastAsia"/>
                <w:lang w:eastAsia="zh-CN"/>
              </w:rPr>
              <w:t>外币</w:t>
            </w:r>
            <w:r w:rsidRPr="00DB1D1F">
              <w:rPr>
                <w:rFonts w:eastAsia="宋体"/>
                <w:lang w:eastAsia="zh-CN"/>
              </w:rPr>
              <w:t>比率</w:t>
            </w:r>
            <w:r w:rsidRPr="00DB1D1F">
              <w:rPr>
                <w:rFonts w:eastAsia="宋体" w:hint="eastAsia"/>
                <w:lang w:eastAsia="zh-CN"/>
              </w:rPr>
              <w:t>）相比上季度同期下降</w:t>
            </w:r>
            <w:r w:rsidRPr="00DB1D1F">
              <w:rPr>
                <w:rFonts w:eastAsia="宋体" w:hint="eastAsia"/>
                <w:lang w:eastAsia="zh-CN"/>
              </w:rPr>
              <w:t>7.6</w:t>
            </w:r>
            <w:r w:rsidRPr="00DB1D1F">
              <w:rPr>
                <w:rFonts w:eastAsia="宋体" w:hint="eastAsia"/>
                <w:lang w:eastAsia="zh-CN"/>
              </w:rPr>
              <w:t>个百分点，至</w:t>
            </w:r>
            <w:r w:rsidRPr="00DB1D1F">
              <w:rPr>
                <w:rFonts w:eastAsia="宋体" w:hint="eastAsia"/>
                <w:lang w:eastAsia="zh-CN"/>
              </w:rPr>
              <w:t>56.8%</w:t>
            </w:r>
            <w:r w:rsidRPr="00DB1D1F">
              <w:rPr>
                <w:rFonts w:eastAsia="宋体" w:hint="eastAsia"/>
                <w:lang w:eastAsia="zh-CN"/>
              </w:rPr>
              <w:t>，</w:t>
            </w:r>
            <w:r w:rsidR="00E017BB">
              <w:rPr>
                <w:rFonts w:eastAsia="宋体" w:hint="eastAsia"/>
                <w:lang w:eastAsia="zh-CN"/>
              </w:rPr>
              <w:t>结</w:t>
            </w:r>
            <w:r w:rsidRPr="00DB1D1F">
              <w:rPr>
                <w:rFonts w:eastAsia="宋体" w:hint="eastAsia"/>
                <w:lang w:eastAsia="zh-CN"/>
              </w:rPr>
              <w:t>售汇率上升</w:t>
            </w:r>
            <w:r w:rsidRPr="00DB1D1F">
              <w:rPr>
                <w:rFonts w:eastAsia="宋体" w:hint="eastAsia"/>
                <w:lang w:eastAsia="zh-CN"/>
              </w:rPr>
              <w:t>1</w:t>
            </w:r>
            <w:r w:rsidRPr="00DB1D1F">
              <w:rPr>
                <w:rFonts w:eastAsia="宋体"/>
                <w:lang w:eastAsia="zh-CN"/>
              </w:rPr>
              <w:t>.</w:t>
            </w:r>
            <w:r w:rsidRPr="00DB1D1F">
              <w:rPr>
                <w:rFonts w:eastAsia="宋体" w:hint="eastAsia"/>
                <w:lang w:eastAsia="zh-CN"/>
              </w:rPr>
              <w:t>9</w:t>
            </w:r>
            <w:r w:rsidRPr="00DB1D1F">
              <w:rPr>
                <w:rFonts w:eastAsia="宋体" w:hint="eastAsia"/>
                <w:lang w:eastAsia="zh-CN"/>
              </w:rPr>
              <w:t>个百分点，至</w:t>
            </w:r>
            <w:r w:rsidRPr="00DB1D1F">
              <w:rPr>
                <w:rFonts w:eastAsia="宋体" w:hint="eastAsia"/>
                <w:lang w:eastAsia="zh-CN"/>
              </w:rPr>
              <w:t>69.3</w:t>
            </w:r>
            <w:r w:rsidRPr="00DB1D1F">
              <w:rPr>
                <w:rFonts w:eastAsia="宋体"/>
                <w:lang w:eastAsia="zh-CN"/>
              </w:rPr>
              <w:t>%</w:t>
            </w:r>
            <w:r w:rsidRPr="00DB1D1F">
              <w:rPr>
                <w:rFonts w:eastAsia="宋体" w:hint="eastAsia"/>
                <w:lang w:eastAsia="zh-CN"/>
              </w:rPr>
              <w:t>。</w:t>
            </w:r>
          </w:p>
          <w:p w14:paraId="2AFA0397" w14:textId="77777777" w:rsidR="00DB1D1F" w:rsidRPr="00DB1D1F" w:rsidRDefault="00DB1D1F" w:rsidP="00DB1D1F">
            <w:pPr>
              <w:ind w:firstLine="480"/>
              <w:rPr>
                <w:rFonts w:eastAsia="宋体"/>
                <w:lang w:eastAsia="zh-CN"/>
              </w:rPr>
            </w:pPr>
            <w:r w:rsidRPr="00DB1D1F">
              <w:rPr>
                <w:rFonts w:eastAsia="宋体" w:hint="eastAsia"/>
                <w:lang w:eastAsia="zh-CN"/>
              </w:rPr>
              <w:t>境内银行代客收付款的人民币跨境收支维持净流出，净流出规模有所收窄，由上季度同期的</w:t>
            </w:r>
            <w:r w:rsidRPr="00DB1D1F">
              <w:rPr>
                <w:rFonts w:eastAsia="宋体" w:hint="eastAsia"/>
                <w:lang w:eastAsia="zh-CN"/>
              </w:rPr>
              <w:t>424.9</w:t>
            </w:r>
            <w:r w:rsidRPr="00DB1D1F">
              <w:rPr>
                <w:rFonts w:eastAsia="宋体" w:hint="eastAsia"/>
                <w:lang w:eastAsia="zh-CN"/>
              </w:rPr>
              <w:t>亿美元收窄至</w:t>
            </w:r>
            <w:r w:rsidRPr="00DB1D1F">
              <w:rPr>
                <w:rFonts w:eastAsia="宋体" w:hint="eastAsia"/>
                <w:lang w:eastAsia="zh-CN"/>
              </w:rPr>
              <w:t>375.3</w:t>
            </w:r>
            <w:r w:rsidRPr="00DB1D1F">
              <w:rPr>
                <w:rFonts w:eastAsia="宋体" w:hint="eastAsia"/>
                <w:lang w:eastAsia="zh-CN"/>
              </w:rPr>
              <w:t>亿美元。</w:t>
            </w:r>
            <w:r w:rsidRPr="00DB1D1F">
              <w:rPr>
                <w:rFonts w:eastAsia="宋体"/>
                <w:lang w:eastAsia="zh-CN"/>
              </w:rPr>
              <w:t>人民币业务</w:t>
            </w:r>
            <w:r w:rsidRPr="00DB1D1F">
              <w:rPr>
                <w:rFonts w:eastAsia="宋体" w:hint="eastAsia"/>
                <w:lang w:eastAsia="zh-CN"/>
              </w:rPr>
              <w:t>计价的银行代客涉外收入由上季度同期的</w:t>
            </w:r>
            <w:r w:rsidRPr="00DB1D1F">
              <w:rPr>
                <w:rFonts w:eastAsia="宋体" w:hint="eastAsia"/>
                <w:lang w:eastAsia="zh-CN"/>
              </w:rPr>
              <w:t>5726</w:t>
            </w:r>
            <w:r w:rsidRPr="00DB1D1F">
              <w:rPr>
                <w:rFonts w:eastAsia="宋体" w:hint="eastAsia"/>
                <w:lang w:eastAsia="zh-CN"/>
              </w:rPr>
              <w:t>亿美元上升至</w:t>
            </w:r>
            <w:r w:rsidRPr="00DB1D1F">
              <w:rPr>
                <w:rFonts w:eastAsia="宋体" w:hint="eastAsia"/>
                <w:lang w:eastAsia="zh-CN"/>
              </w:rPr>
              <w:t>6077.0</w:t>
            </w:r>
            <w:r w:rsidRPr="00DB1D1F">
              <w:rPr>
                <w:rFonts w:eastAsia="宋体" w:hint="eastAsia"/>
                <w:lang w:eastAsia="zh-CN"/>
              </w:rPr>
              <w:t>亿美元，上升</w:t>
            </w:r>
            <w:r w:rsidRPr="00DB1D1F">
              <w:rPr>
                <w:rFonts w:eastAsia="宋体" w:hint="eastAsia"/>
                <w:lang w:eastAsia="zh-CN"/>
              </w:rPr>
              <w:t>6.1</w:t>
            </w:r>
            <w:r w:rsidRPr="00DB1D1F">
              <w:rPr>
                <w:rFonts w:eastAsia="宋体"/>
                <w:lang w:eastAsia="zh-CN"/>
              </w:rPr>
              <w:t>%</w:t>
            </w:r>
            <w:r w:rsidRPr="00DB1D1F">
              <w:rPr>
                <w:rFonts w:eastAsia="宋体" w:hint="eastAsia"/>
                <w:lang w:eastAsia="zh-CN"/>
              </w:rPr>
              <w:t>，在银行代客涉外收入总额中占比为</w:t>
            </w:r>
            <w:r w:rsidRPr="00DB1D1F">
              <w:rPr>
                <w:rFonts w:eastAsia="宋体" w:hint="eastAsia"/>
                <w:lang w:eastAsia="zh-CN"/>
              </w:rPr>
              <w:t>50.9%</w:t>
            </w:r>
            <w:r w:rsidRPr="00DB1D1F">
              <w:rPr>
                <w:rFonts w:eastAsia="宋体" w:hint="eastAsia"/>
                <w:lang w:eastAsia="zh-CN"/>
              </w:rPr>
              <w:t>，占比相对于上季度同期上升</w:t>
            </w:r>
            <w:r w:rsidRPr="00DB1D1F">
              <w:rPr>
                <w:rFonts w:eastAsia="宋体" w:hint="eastAsia"/>
                <w:lang w:eastAsia="zh-CN"/>
              </w:rPr>
              <w:t>4.2</w:t>
            </w:r>
            <w:r w:rsidRPr="00DB1D1F">
              <w:rPr>
                <w:rFonts w:eastAsia="宋体" w:hint="eastAsia"/>
                <w:lang w:eastAsia="zh-CN"/>
              </w:rPr>
              <w:t>个百分点；人民币计价的银行代客支出由上季度同期的</w:t>
            </w:r>
            <w:r w:rsidRPr="00DB1D1F">
              <w:rPr>
                <w:rFonts w:eastAsia="宋体" w:hint="eastAsia"/>
                <w:lang w:eastAsia="zh-CN"/>
              </w:rPr>
              <w:t>6151.1</w:t>
            </w:r>
            <w:r w:rsidRPr="00DB1D1F">
              <w:rPr>
                <w:rFonts w:eastAsia="宋体" w:hint="eastAsia"/>
                <w:lang w:eastAsia="zh-CN"/>
              </w:rPr>
              <w:t>亿美元上升至</w:t>
            </w:r>
            <w:r w:rsidRPr="00DB1D1F">
              <w:rPr>
                <w:rFonts w:eastAsia="宋体" w:hint="eastAsia"/>
                <w:lang w:eastAsia="zh-CN"/>
              </w:rPr>
              <w:t>6452.3</w:t>
            </w:r>
            <w:r w:rsidRPr="00DB1D1F">
              <w:rPr>
                <w:rFonts w:eastAsia="宋体" w:hint="eastAsia"/>
                <w:lang w:eastAsia="zh-CN"/>
              </w:rPr>
              <w:t>亿美元，上升</w:t>
            </w:r>
            <w:r w:rsidRPr="00DB1D1F">
              <w:rPr>
                <w:rFonts w:eastAsia="宋体" w:hint="eastAsia"/>
                <w:lang w:eastAsia="zh-CN"/>
              </w:rPr>
              <w:t>4.9</w:t>
            </w:r>
            <w:r w:rsidRPr="00DB1D1F">
              <w:rPr>
                <w:rFonts w:eastAsia="宋体"/>
                <w:lang w:eastAsia="zh-CN"/>
              </w:rPr>
              <w:t>%</w:t>
            </w:r>
            <w:r w:rsidRPr="00DB1D1F">
              <w:rPr>
                <w:rFonts w:eastAsia="宋体" w:hint="eastAsia"/>
                <w:lang w:eastAsia="zh-CN"/>
              </w:rPr>
              <w:t>，在涉外支出总额中占比为</w:t>
            </w:r>
            <w:r w:rsidRPr="00DB1D1F">
              <w:rPr>
                <w:rFonts w:eastAsia="宋体" w:hint="eastAsia"/>
                <w:lang w:eastAsia="zh-CN"/>
              </w:rPr>
              <w:t>54.1%</w:t>
            </w:r>
            <w:r w:rsidRPr="00DB1D1F">
              <w:rPr>
                <w:rFonts w:eastAsia="宋体" w:hint="eastAsia"/>
                <w:lang w:eastAsia="zh-CN"/>
              </w:rPr>
              <w:t>，相比上季度同期下降</w:t>
            </w:r>
            <w:r w:rsidRPr="00DB1D1F">
              <w:rPr>
                <w:rFonts w:eastAsia="宋体" w:hint="eastAsia"/>
                <w:lang w:eastAsia="zh-CN"/>
              </w:rPr>
              <w:t>2.4</w:t>
            </w:r>
            <w:r w:rsidRPr="00DB1D1F">
              <w:rPr>
                <w:rFonts w:eastAsia="宋体" w:hint="eastAsia"/>
                <w:lang w:eastAsia="zh-CN"/>
              </w:rPr>
              <w:t>个百分点。</w:t>
            </w:r>
          </w:p>
        </w:tc>
      </w:tr>
      <w:tr w:rsidR="00DB1D1F" w:rsidRPr="00DB1D1F" w14:paraId="3E9E24FC" w14:textId="77777777" w:rsidTr="00D72849">
        <w:trPr>
          <w:trHeight w:val="4025"/>
        </w:trPr>
        <w:tc>
          <w:tcPr>
            <w:tcW w:w="9923" w:type="dxa"/>
            <w:gridSpan w:val="3"/>
          </w:tcPr>
          <w:p w14:paraId="48AD623A" w14:textId="77777777" w:rsidR="00DB1D1F" w:rsidRPr="00DB1D1F" w:rsidRDefault="00DB1D1F" w:rsidP="00DB1D1F">
            <w:pPr>
              <w:spacing w:beforeLines="50" w:before="163"/>
              <w:ind w:firstLineChars="0" w:firstLine="0"/>
              <w:rPr>
                <w:rFonts w:eastAsia="楷体"/>
                <w:b/>
                <w:sz w:val="21"/>
                <w:szCs w:val="21"/>
                <w:lang w:eastAsia="zh-CN" w:bidi="ar-SA"/>
              </w:rPr>
            </w:pPr>
          </w:p>
        </w:tc>
      </w:tr>
      <w:bookmarkEnd w:id="87"/>
      <w:bookmarkEnd w:id="88"/>
    </w:tbl>
    <w:p w14:paraId="4DB33FB1" w14:textId="77777777" w:rsidR="00EC4BA2" w:rsidRDefault="00EC4BA2" w:rsidP="009F0C37">
      <w:pPr>
        <w:widowControl w:val="0"/>
        <w:spacing w:line="240" w:lineRule="auto"/>
        <w:ind w:firstLineChars="0" w:firstLine="0"/>
        <w:rPr>
          <w:rFonts w:ascii="Times" w:eastAsia="宋体" w:hAnsi="Times"/>
          <w:sz w:val="21"/>
          <w:szCs w:val="22"/>
          <w:lang w:eastAsia="zh-CN" w:bidi="ar-SA"/>
        </w:rPr>
        <w:sectPr w:rsidR="00EC4BA2" w:rsidSect="00894D49">
          <w:headerReference w:type="default" r:id="rId65"/>
          <w:footerReference w:type="default" r:id="rId66"/>
          <w:pgSz w:w="11906" w:h="16838"/>
          <w:pgMar w:top="1440" w:right="1800" w:bottom="1440" w:left="1800" w:header="851" w:footer="992" w:gutter="0"/>
          <w:cols w:space="425"/>
          <w:docGrid w:type="lines" w:linePitch="326"/>
        </w:sectPr>
      </w:pPr>
    </w:p>
    <w:tbl>
      <w:tblPr>
        <w:tblpPr w:leftFromText="181" w:rightFromText="181" w:vertAnchor="text" w:horzAnchor="page" w:tblpXSpec="center" w:tblpY="12"/>
        <w:tblOverlap w:val="never"/>
        <w:tblW w:w="9639" w:type="dxa"/>
        <w:jc w:val="center"/>
        <w:tblLayout w:type="fixed"/>
        <w:tblLook w:val="04A0" w:firstRow="1" w:lastRow="0" w:firstColumn="1" w:lastColumn="0" w:noHBand="0" w:noVBand="1"/>
      </w:tblPr>
      <w:tblGrid>
        <w:gridCol w:w="2146"/>
        <w:gridCol w:w="334"/>
        <w:gridCol w:w="7159"/>
      </w:tblGrid>
      <w:tr w:rsidR="009F0C37" w:rsidRPr="009F0C37" w14:paraId="40888D9D" w14:textId="77777777" w:rsidTr="00FE4928">
        <w:trPr>
          <w:trHeight w:val="709"/>
          <w:jc w:val="center"/>
        </w:trPr>
        <w:tc>
          <w:tcPr>
            <w:tcW w:w="9639" w:type="dxa"/>
            <w:gridSpan w:val="3"/>
          </w:tcPr>
          <w:p w14:paraId="365D9E24" w14:textId="0D0B49AD" w:rsidR="009F0C37" w:rsidRPr="009F0C37" w:rsidRDefault="009F0C37" w:rsidP="0097404B">
            <w:pPr>
              <w:pStyle w:val="1"/>
            </w:pPr>
            <w:bookmarkStart w:id="90" w:name="_Hlk140667220"/>
            <w:r w:rsidRPr="009F0C37">
              <w:lastRenderedPageBreak/>
              <w:br w:type="page"/>
            </w:r>
            <w:bookmarkStart w:id="91" w:name="_Toc148372495"/>
            <w:bookmarkStart w:id="92" w:name="_Toc196364979"/>
            <w:r w:rsidRPr="009F0C37">
              <w:rPr>
                <w:lang w:bidi="en-US"/>
              </w:rPr>
              <w:t>大宗商品市场：</w:t>
            </w:r>
            <w:bookmarkEnd w:id="91"/>
            <w:r w:rsidR="00DB1D1F" w:rsidRPr="00DB1D1F">
              <w:rPr>
                <w:rFonts w:hint="eastAsia"/>
                <w:lang w:bidi="en-US"/>
              </w:rPr>
              <w:t>关税风险冲击需求，供给仍偏过剩</w:t>
            </w:r>
            <w:bookmarkEnd w:id="92"/>
          </w:p>
        </w:tc>
      </w:tr>
      <w:tr w:rsidR="009F0C37" w:rsidRPr="009F0C37" w14:paraId="0DA9E465" w14:textId="77777777" w:rsidTr="00FE4928">
        <w:trPr>
          <w:jc w:val="center"/>
        </w:trPr>
        <w:tc>
          <w:tcPr>
            <w:tcW w:w="9639" w:type="dxa"/>
            <w:gridSpan w:val="3"/>
          </w:tcPr>
          <w:p w14:paraId="51ADA543" w14:textId="03D961DF" w:rsidR="009F0C37" w:rsidRPr="001D737A" w:rsidRDefault="00DB1D1F" w:rsidP="009F0C37">
            <w:pPr>
              <w:spacing w:after="240"/>
              <w:ind w:firstLine="480"/>
              <w:outlineLvl w:val="1"/>
              <w:rPr>
                <w:rFonts w:asciiTheme="minorEastAsia" w:hAnsiTheme="minorEastAsia"/>
                <w:lang w:eastAsia="zh-CN"/>
              </w:rPr>
            </w:pPr>
            <w:bookmarkStart w:id="93" w:name="_Toc148372496"/>
            <w:bookmarkStart w:id="94" w:name="_Toc187912973"/>
            <w:bookmarkStart w:id="95" w:name="_Toc196364980"/>
            <w:r w:rsidRPr="001D737A">
              <w:rPr>
                <w:rFonts w:asciiTheme="minorEastAsia" w:hAnsiTheme="minorEastAsia" w:hint="eastAsia"/>
                <w:lang w:eastAsia="zh-CN"/>
              </w:rPr>
              <w:t>2025年1季度大宗商品价格震荡走弱，环比下跌10.2%。需求端受关税战预期和美国衰退风险提升冲击，较为疲弱。石油虽然季度均值高于上季度，但从年初至今震荡下行，中国进口反弹无法抵消美国增速降温和关税战带来的冲击。1季度金属价格先涨后跌，但表现出了需求的结构变化：整体来看，铜强于铝，铝强于铁矿石，体现了经济转型对金属品种需求结构的影响。同时，各类金属下游需求结构也释放出需求向“新质生产力”偏移的信号</w:t>
            </w:r>
            <w:r w:rsidR="009F0C37" w:rsidRPr="001D737A">
              <w:rPr>
                <w:rFonts w:asciiTheme="minorEastAsia" w:hAnsiTheme="minorEastAsia" w:hint="eastAsia"/>
                <w:lang w:eastAsia="zh-CN"/>
              </w:rPr>
              <w:t>。</w:t>
            </w:r>
            <w:bookmarkEnd w:id="93"/>
            <w:bookmarkEnd w:id="94"/>
            <w:bookmarkEnd w:id="95"/>
          </w:p>
        </w:tc>
      </w:tr>
      <w:tr w:rsidR="009F0C37" w:rsidRPr="009F0C37" w14:paraId="00F8992C" w14:textId="77777777" w:rsidTr="00FE4928">
        <w:trPr>
          <w:trHeight w:val="993"/>
          <w:jc w:val="center"/>
        </w:trPr>
        <w:tc>
          <w:tcPr>
            <w:tcW w:w="2146" w:type="dxa"/>
            <w:vAlign w:val="center"/>
          </w:tcPr>
          <w:p w14:paraId="49AB9D21" w14:textId="55D7F108" w:rsidR="009F0C37" w:rsidRPr="009F0C37" w:rsidRDefault="00DB1D1F" w:rsidP="009F0C37">
            <w:pPr>
              <w:spacing w:beforeLines="50" w:before="163"/>
              <w:ind w:firstLineChars="0" w:firstLine="0"/>
              <w:rPr>
                <w:rFonts w:eastAsia="楷体"/>
                <w:b/>
                <w:szCs w:val="28"/>
                <w:lang w:eastAsia="zh-CN"/>
              </w:rPr>
            </w:pPr>
            <w:r w:rsidRPr="00DB1D1F">
              <w:rPr>
                <w:rFonts w:eastAsia="楷体" w:hint="eastAsia"/>
                <w:b/>
                <w:szCs w:val="28"/>
                <w:lang w:eastAsia="zh-CN"/>
              </w:rPr>
              <w:t>1</w:t>
            </w:r>
            <w:r w:rsidRPr="00DB1D1F">
              <w:rPr>
                <w:rFonts w:eastAsia="楷体" w:hint="eastAsia"/>
                <w:b/>
                <w:szCs w:val="28"/>
                <w:lang w:eastAsia="zh-CN"/>
              </w:rPr>
              <w:t>季度大宗商品价格整体疲弱，石油价格震荡下行，需求预期弱；金属价格在</w:t>
            </w:r>
            <w:r w:rsidRPr="00DB1D1F">
              <w:rPr>
                <w:rFonts w:eastAsia="楷体" w:hint="eastAsia"/>
                <w:b/>
                <w:szCs w:val="28"/>
                <w:lang w:eastAsia="zh-CN"/>
              </w:rPr>
              <w:t>1-2</w:t>
            </w:r>
            <w:r w:rsidRPr="00DB1D1F">
              <w:rPr>
                <w:rFonts w:eastAsia="楷体" w:hint="eastAsia"/>
                <w:b/>
                <w:szCs w:val="28"/>
                <w:lang w:eastAsia="zh-CN"/>
              </w:rPr>
              <w:t>月受基础设施投资和政策支持上涨，</w:t>
            </w:r>
            <w:r w:rsidRPr="00DB1D1F">
              <w:rPr>
                <w:rFonts w:eastAsia="楷体" w:hint="eastAsia"/>
                <w:b/>
                <w:szCs w:val="28"/>
                <w:lang w:eastAsia="zh-CN"/>
              </w:rPr>
              <w:t>3</w:t>
            </w:r>
            <w:r w:rsidRPr="00DB1D1F">
              <w:rPr>
                <w:rFonts w:eastAsia="楷体" w:hint="eastAsia"/>
                <w:b/>
                <w:szCs w:val="28"/>
                <w:lang w:eastAsia="zh-CN"/>
              </w:rPr>
              <w:t>月受需求减弱和政策冲击而下跌</w:t>
            </w:r>
            <w:r w:rsidR="009F0C37" w:rsidRPr="009F0C37">
              <w:rPr>
                <w:rFonts w:eastAsia="楷体" w:hint="eastAsia"/>
                <w:b/>
                <w:szCs w:val="28"/>
                <w:lang w:eastAsia="zh-CN"/>
              </w:rPr>
              <w:t>。</w:t>
            </w:r>
          </w:p>
        </w:tc>
        <w:tc>
          <w:tcPr>
            <w:tcW w:w="334" w:type="dxa"/>
          </w:tcPr>
          <w:p w14:paraId="57B7DBCB" w14:textId="77777777" w:rsidR="009F0C37" w:rsidRPr="009F0C37" w:rsidRDefault="009F0C37" w:rsidP="009F0C37">
            <w:pPr>
              <w:keepNext/>
              <w:keepLines/>
              <w:spacing w:before="260" w:after="260"/>
              <w:ind w:firstLine="480"/>
              <w:rPr>
                <w:rFonts w:eastAsia="楷体_GB2312"/>
                <w:lang w:eastAsia="zh-CN"/>
              </w:rPr>
            </w:pPr>
          </w:p>
          <w:p w14:paraId="4377EEA9" w14:textId="77777777" w:rsidR="009F0C37" w:rsidRPr="009F0C37" w:rsidRDefault="009F0C37" w:rsidP="009F0C37">
            <w:pPr>
              <w:ind w:firstLineChars="0" w:firstLine="0"/>
              <w:rPr>
                <w:rFonts w:eastAsia="楷体_GB2312"/>
                <w:lang w:eastAsia="zh-CN"/>
              </w:rPr>
            </w:pPr>
          </w:p>
        </w:tc>
        <w:tc>
          <w:tcPr>
            <w:tcW w:w="7159" w:type="dxa"/>
          </w:tcPr>
          <w:p w14:paraId="6B0BA328" w14:textId="77777777" w:rsidR="009F0C37" w:rsidRPr="009F0C37" w:rsidRDefault="009F0C37" w:rsidP="009F0C37">
            <w:pPr>
              <w:spacing w:line="288" w:lineRule="auto"/>
              <w:ind w:firstLineChars="0" w:firstLine="0"/>
              <w:rPr>
                <w:rFonts w:eastAsia="宋体"/>
                <w:b/>
                <w:sz w:val="28"/>
                <w:szCs w:val="28"/>
                <w:lang w:eastAsia="zh-CN"/>
              </w:rPr>
            </w:pPr>
            <w:r w:rsidRPr="009F0C37">
              <w:rPr>
                <w:rFonts w:eastAsia="宋体"/>
                <w:b/>
                <w:sz w:val="28"/>
                <w:szCs w:val="28"/>
                <w:lang w:eastAsia="zh-CN"/>
              </w:rPr>
              <w:t>一、大宗商品总体价格走势</w:t>
            </w:r>
          </w:p>
          <w:p w14:paraId="387F2699" w14:textId="21179B54" w:rsidR="009F0C37" w:rsidRPr="009F0C37" w:rsidRDefault="009F0C37" w:rsidP="009F0C37">
            <w:pPr>
              <w:ind w:firstLine="480"/>
              <w:rPr>
                <w:rFonts w:eastAsia="宋体"/>
                <w:lang w:eastAsia="zh-CN"/>
              </w:rPr>
            </w:pPr>
            <w:r w:rsidRPr="009F0C37">
              <w:rPr>
                <w:rFonts w:eastAsia="宋体" w:hint="eastAsia"/>
                <w:lang w:eastAsia="zh-CN"/>
              </w:rPr>
              <w:t>2</w:t>
            </w:r>
            <w:r w:rsidRPr="009F0C37">
              <w:rPr>
                <w:rFonts w:eastAsia="宋体"/>
                <w:lang w:eastAsia="zh-CN"/>
              </w:rPr>
              <w:t>02</w:t>
            </w:r>
            <w:r w:rsidRPr="009F0C37">
              <w:rPr>
                <w:rFonts w:eastAsia="宋体" w:hint="eastAsia"/>
                <w:lang w:eastAsia="zh-CN"/>
              </w:rPr>
              <w:t>4</w:t>
            </w:r>
            <w:r w:rsidRPr="009F0C37">
              <w:rPr>
                <w:rFonts w:eastAsia="宋体" w:hint="eastAsia"/>
                <w:lang w:eastAsia="zh-CN"/>
              </w:rPr>
              <w:t>年</w:t>
            </w:r>
            <w:r w:rsidRPr="009F0C37">
              <w:rPr>
                <w:rFonts w:eastAsia="宋体" w:hint="eastAsia"/>
                <w:lang w:eastAsia="zh-CN"/>
              </w:rPr>
              <w:t>4</w:t>
            </w:r>
            <w:r w:rsidRPr="009F0C37">
              <w:rPr>
                <w:rFonts w:eastAsia="宋体" w:hint="eastAsia"/>
                <w:lang w:eastAsia="zh-CN"/>
              </w:rPr>
              <w:t>季度</w:t>
            </w:r>
            <w:r w:rsidRPr="009F0C37">
              <w:rPr>
                <w:rFonts w:eastAsia="宋体"/>
                <w:lang w:eastAsia="zh-CN"/>
              </w:rPr>
              <w:t xml:space="preserve"> CEEM</w:t>
            </w:r>
            <w:r w:rsidRPr="009F0C37">
              <w:rPr>
                <w:rFonts w:eastAsia="宋体"/>
                <w:lang w:eastAsia="zh-CN"/>
              </w:rPr>
              <w:t>大宗商品价格</w:t>
            </w:r>
            <w:r w:rsidRPr="009F0C37">
              <w:rPr>
                <w:rFonts w:eastAsia="宋体" w:hint="eastAsia"/>
                <w:vertAlign w:val="superscript"/>
              </w:rPr>
              <w:footnoteReference w:id="1"/>
            </w:r>
            <w:r w:rsidRPr="009F0C37">
              <w:rPr>
                <w:rFonts w:eastAsia="宋体" w:hint="eastAsia"/>
                <w:lang w:eastAsia="zh-CN"/>
              </w:rPr>
              <w:t>季度</w:t>
            </w:r>
            <w:r w:rsidR="00D1362F" w:rsidRPr="00D1362F">
              <w:rPr>
                <w:rFonts w:eastAsia="宋体" w:hint="eastAsia"/>
                <w:lang w:eastAsia="zh-CN"/>
              </w:rPr>
              <w:t>均价环比下跌近</w:t>
            </w:r>
            <w:r w:rsidR="00D1362F" w:rsidRPr="00D1362F">
              <w:rPr>
                <w:rFonts w:eastAsia="宋体" w:hint="eastAsia"/>
                <w:lang w:eastAsia="zh-CN"/>
              </w:rPr>
              <w:t>1%</w:t>
            </w:r>
            <w:r w:rsidR="00D1362F" w:rsidRPr="00D1362F">
              <w:rPr>
                <w:rFonts w:eastAsia="宋体" w:hint="eastAsia"/>
                <w:lang w:eastAsia="zh-CN"/>
              </w:rPr>
              <w:t>，但整个季度前高后低，持续下行。原油方面，受关税战和美国衰退预期提升影响，原油价格在季度初冲高后，持续震荡回落。</w:t>
            </w:r>
            <w:r w:rsidR="00D1362F" w:rsidRPr="00D1362F">
              <w:rPr>
                <w:rFonts w:eastAsia="宋体" w:hint="eastAsia"/>
                <w:lang w:eastAsia="zh-CN"/>
              </w:rPr>
              <w:t>OPEC</w:t>
            </w:r>
            <w:r w:rsidR="00D1362F" w:rsidRPr="00D1362F">
              <w:rPr>
                <w:rFonts w:eastAsia="宋体" w:hint="eastAsia"/>
                <w:lang w:eastAsia="zh-CN"/>
              </w:rPr>
              <w:t>开始增产也使油价承压。金属方面，市场价格整体先涨后跌，</w:t>
            </w:r>
            <w:r w:rsidR="00D1362F" w:rsidRPr="00D1362F">
              <w:rPr>
                <w:rFonts w:eastAsia="宋体" w:hint="eastAsia"/>
                <w:lang w:eastAsia="zh-CN"/>
              </w:rPr>
              <w:t>1-2</w:t>
            </w:r>
            <w:r w:rsidR="00D1362F" w:rsidRPr="00D1362F">
              <w:rPr>
                <w:rFonts w:eastAsia="宋体" w:hint="eastAsia"/>
                <w:lang w:eastAsia="zh-CN"/>
              </w:rPr>
              <w:t>月，基础设施投资和制造业的稳定运行，加上中国政府的积极政策，支撑了金属消费的增长。</w:t>
            </w:r>
            <w:r w:rsidR="00D1362F" w:rsidRPr="00D1362F">
              <w:rPr>
                <w:rFonts w:eastAsia="宋体" w:hint="eastAsia"/>
                <w:lang w:eastAsia="zh-CN"/>
              </w:rPr>
              <w:t>3</w:t>
            </w:r>
            <w:r w:rsidR="00D1362F" w:rsidRPr="00D1362F">
              <w:rPr>
                <w:rFonts w:eastAsia="宋体" w:hint="eastAsia"/>
                <w:lang w:eastAsia="zh-CN"/>
              </w:rPr>
              <w:t>月份，由于美联储放缓缩表节奏未达市场预期，经济数据显示需求减弱，加上产业政策冲击，导致金属价格下跌</w:t>
            </w:r>
            <w:r w:rsidRPr="009F0C37">
              <w:rPr>
                <w:rFonts w:eastAsia="宋体" w:hint="eastAsia"/>
                <w:lang w:eastAsia="zh-CN"/>
              </w:rPr>
              <w:t>。</w:t>
            </w:r>
          </w:p>
        </w:tc>
      </w:tr>
    </w:tbl>
    <w:p w14:paraId="1F678C73" w14:textId="77777777" w:rsidR="00EC4BA2" w:rsidRDefault="00EC4BA2">
      <w:pPr>
        <w:ind w:firstLine="482"/>
        <w:rPr>
          <w:lang w:eastAsia="zh-CN"/>
        </w:rPr>
      </w:pPr>
      <w:r>
        <w:rPr>
          <w:b/>
          <w:bCs/>
          <w:lang w:eastAsia="zh-CN"/>
        </w:rPr>
        <w:br w:type="page"/>
      </w:r>
    </w:p>
    <w:tbl>
      <w:tblPr>
        <w:tblpPr w:leftFromText="181" w:rightFromText="181" w:vertAnchor="text" w:horzAnchor="page" w:tblpX="1084" w:tblpY="12"/>
        <w:tblOverlap w:val="never"/>
        <w:tblW w:w="10090" w:type="dxa"/>
        <w:tblLayout w:type="fixed"/>
        <w:tblLook w:val="04A0" w:firstRow="1" w:lastRow="0" w:firstColumn="1" w:lastColumn="0" w:noHBand="0" w:noVBand="1"/>
      </w:tblPr>
      <w:tblGrid>
        <w:gridCol w:w="2298"/>
        <w:gridCol w:w="340"/>
        <w:gridCol w:w="2392"/>
        <w:gridCol w:w="5060"/>
      </w:tblGrid>
      <w:tr w:rsidR="003B4DF9" w:rsidRPr="003B4DF9" w14:paraId="65B366E7" w14:textId="77777777" w:rsidTr="00D72849">
        <w:tc>
          <w:tcPr>
            <w:tcW w:w="5030" w:type="dxa"/>
            <w:gridSpan w:val="3"/>
            <w:vAlign w:val="center"/>
          </w:tcPr>
          <w:p w14:paraId="3520B9D7" w14:textId="607874AD" w:rsidR="003B4DF9" w:rsidRPr="003B4DF9" w:rsidRDefault="00D37774" w:rsidP="00D37774">
            <w:pPr>
              <w:pStyle w:val="a4"/>
              <w:rPr>
                <w:rFonts w:eastAsia="楷体"/>
                <w:szCs w:val="21"/>
              </w:rPr>
            </w:pPr>
            <w:bookmarkStart w:id="96" w:name="_Toc196399449"/>
            <w:bookmarkEnd w:id="90"/>
            <w:r w:rsidRPr="00D37774">
              <w:rPr>
                <w:rFonts w:hint="eastAsia"/>
              </w:rPr>
              <w:lastRenderedPageBreak/>
              <w:t xml:space="preserve">图表 </w:t>
            </w:r>
            <w:r w:rsidRPr="00D37774">
              <w:rPr>
                <w:rFonts w:hint="eastAsia"/>
              </w:rPr>
              <w:fldChar w:fldCharType="begin"/>
            </w:r>
            <w:r w:rsidRPr="00D37774">
              <w:rPr>
                <w:rFonts w:hint="eastAsia"/>
              </w:rPr>
              <w:instrText xml:space="preserve"> SEQ 图表 \* ARABIC </w:instrText>
            </w:r>
            <w:r w:rsidRPr="00D37774">
              <w:rPr>
                <w:rFonts w:hint="eastAsia"/>
              </w:rPr>
              <w:fldChar w:fldCharType="separate"/>
            </w:r>
            <w:r w:rsidR="00530ED7">
              <w:rPr>
                <w:rFonts w:hint="eastAsia"/>
                <w:noProof/>
              </w:rPr>
              <w:t>38</w:t>
            </w:r>
            <w:r w:rsidRPr="00D37774">
              <w:rPr>
                <w:rFonts w:hint="eastAsia"/>
              </w:rPr>
              <w:fldChar w:fldCharType="end"/>
            </w:r>
            <w:r w:rsidRPr="00D37774">
              <w:rPr>
                <w:rFonts w:eastAsia="楷体"/>
                <w:szCs w:val="21"/>
              </w:rPr>
              <w:t xml:space="preserve">  </w:t>
            </w:r>
            <w:r w:rsidR="003B4DF9" w:rsidRPr="003B4DF9">
              <w:rPr>
                <w:rFonts w:eastAsia="楷体"/>
                <w:szCs w:val="21"/>
              </w:rPr>
              <w:t>3</w:t>
            </w:r>
            <w:r w:rsidR="003B4DF9" w:rsidRPr="003B4DF9">
              <w:rPr>
                <w:rFonts w:eastAsia="楷体"/>
                <w:szCs w:val="21"/>
              </w:rPr>
              <w:t>季度</w:t>
            </w:r>
            <w:r w:rsidR="003B4DF9" w:rsidRPr="003B4DF9">
              <w:rPr>
                <w:rFonts w:eastAsia="楷体"/>
                <w:szCs w:val="21"/>
              </w:rPr>
              <w:t>CEEM</w:t>
            </w:r>
            <w:r w:rsidR="003B4DF9" w:rsidRPr="003B4DF9">
              <w:rPr>
                <w:rFonts w:eastAsia="楷体"/>
                <w:szCs w:val="21"/>
              </w:rPr>
              <w:t>大宗商品指数显著反弹</w:t>
            </w:r>
            <w:bookmarkEnd w:id="96"/>
          </w:p>
          <w:p w14:paraId="438640A7" w14:textId="77777777" w:rsidR="003B4DF9" w:rsidRPr="003B4DF9" w:rsidRDefault="003B4DF9" w:rsidP="003B4DF9">
            <w:pPr>
              <w:spacing w:line="240" w:lineRule="auto"/>
              <w:ind w:firstLineChars="0" w:firstLine="0"/>
              <w:jc w:val="center"/>
              <w:rPr>
                <w:rFonts w:eastAsia="宋体"/>
                <w:b/>
                <w:sz w:val="28"/>
                <w:szCs w:val="28"/>
                <w:lang w:eastAsia="zh-CN"/>
              </w:rPr>
            </w:pPr>
            <w:r w:rsidRPr="003B4DF9">
              <w:rPr>
                <w:rFonts w:eastAsia="宋体"/>
                <w:noProof/>
                <w:sz w:val="21"/>
                <w:szCs w:val="22"/>
                <w:lang w:eastAsia="zh-CN" w:bidi="ar-SA"/>
              </w:rPr>
              <w:drawing>
                <wp:inline distT="0" distB="0" distL="114300" distR="114300" wp14:anchorId="3C491C50" wp14:editId="5BCFF989">
                  <wp:extent cx="3053080" cy="1928495"/>
                  <wp:effectExtent l="0" t="0" r="7620" b="1905"/>
                  <wp:docPr id="146785677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67"/>
                          <a:stretch>
                            <a:fillRect/>
                          </a:stretch>
                        </pic:blipFill>
                        <pic:spPr>
                          <a:xfrm>
                            <a:off x="0" y="0"/>
                            <a:ext cx="3053080" cy="1928495"/>
                          </a:xfrm>
                          <a:prstGeom prst="rect">
                            <a:avLst/>
                          </a:prstGeom>
                          <a:noFill/>
                          <a:ln>
                            <a:noFill/>
                          </a:ln>
                        </pic:spPr>
                      </pic:pic>
                    </a:graphicData>
                  </a:graphic>
                </wp:inline>
              </w:drawing>
            </w:r>
          </w:p>
          <w:p w14:paraId="106B0E74" w14:textId="77777777" w:rsidR="003B4DF9" w:rsidRPr="003B4DF9" w:rsidRDefault="003B4DF9" w:rsidP="003B4DF9">
            <w:pPr>
              <w:spacing w:line="240" w:lineRule="auto"/>
              <w:ind w:firstLineChars="0" w:firstLine="0"/>
              <w:jc w:val="center"/>
              <w:rPr>
                <w:rFonts w:eastAsia="宋体"/>
                <w:b/>
                <w:sz w:val="28"/>
                <w:szCs w:val="28"/>
                <w:lang w:eastAsia="zh-CN"/>
              </w:rPr>
            </w:pPr>
          </w:p>
        </w:tc>
        <w:tc>
          <w:tcPr>
            <w:tcW w:w="5060" w:type="dxa"/>
            <w:vAlign w:val="center"/>
          </w:tcPr>
          <w:p w14:paraId="76162C10" w14:textId="6A9F46AA" w:rsidR="003B4DF9" w:rsidRPr="003B4DF9" w:rsidRDefault="00D37774" w:rsidP="00D37774">
            <w:pPr>
              <w:pStyle w:val="a4"/>
              <w:rPr>
                <w:rFonts w:eastAsia="楷体"/>
                <w:szCs w:val="21"/>
              </w:rPr>
            </w:pPr>
            <w:bookmarkStart w:id="97" w:name="_Toc148372461"/>
            <w:bookmarkStart w:id="98" w:name="_Toc196399450"/>
            <w:r w:rsidRPr="00D37774">
              <w:rPr>
                <w:rFonts w:hint="eastAsia"/>
              </w:rPr>
              <w:t xml:space="preserve">图表 </w:t>
            </w:r>
            <w:r w:rsidRPr="00D37774">
              <w:rPr>
                <w:rFonts w:hint="eastAsia"/>
              </w:rPr>
              <w:fldChar w:fldCharType="begin"/>
            </w:r>
            <w:r w:rsidRPr="00D37774">
              <w:rPr>
                <w:rFonts w:hint="eastAsia"/>
              </w:rPr>
              <w:instrText xml:space="preserve"> SEQ 图表 \* ARABIC </w:instrText>
            </w:r>
            <w:r w:rsidRPr="00D37774">
              <w:rPr>
                <w:rFonts w:hint="eastAsia"/>
              </w:rPr>
              <w:fldChar w:fldCharType="separate"/>
            </w:r>
            <w:r w:rsidR="00530ED7">
              <w:rPr>
                <w:rFonts w:hint="eastAsia"/>
                <w:noProof/>
              </w:rPr>
              <w:t>39</w:t>
            </w:r>
            <w:r w:rsidRPr="00D37774">
              <w:rPr>
                <w:rFonts w:hint="eastAsia"/>
              </w:rPr>
              <w:fldChar w:fldCharType="end"/>
            </w:r>
            <w:r w:rsidRPr="00D37774">
              <w:rPr>
                <w:rFonts w:eastAsia="楷体"/>
                <w:szCs w:val="21"/>
              </w:rPr>
              <w:t xml:space="preserve">  </w:t>
            </w:r>
            <w:r w:rsidR="003B4DF9" w:rsidRPr="003B4DF9">
              <w:rPr>
                <w:rFonts w:eastAsia="楷体"/>
                <w:szCs w:val="21"/>
              </w:rPr>
              <w:t>3</w:t>
            </w:r>
            <w:r w:rsidR="003B4DF9" w:rsidRPr="003B4DF9">
              <w:rPr>
                <w:rFonts w:eastAsia="楷体"/>
                <w:szCs w:val="21"/>
              </w:rPr>
              <w:t>季度除煤炭以外主要商品反弹</w:t>
            </w:r>
            <w:bookmarkEnd w:id="97"/>
            <w:bookmarkEnd w:id="98"/>
          </w:p>
          <w:p w14:paraId="4BA55D4B" w14:textId="77777777" w:rsidR="003B4DF9" w:rsidRPr="003B4DF9" w:rsidRDefault="003B4DF9" w:rsidP="003B4DF9">
            <w:pPr>
              <w:spacing w:line="240" w:lineRule="auto"/>
              <w:ind w:firstLineChars="0" w:firstLine="0"/>
              <w:jc w:val="center"/>
              <w:rPr>
                <w:rFonts w:eastAsia="宋体"/>
              </w:rPr>
            </w:pPr>
            <w:r w:rsidRPr="003B4DF9">
              <w:rPr>
                <w:rFonts w:eastAsia="宋体"/>
                <w:noProof/>
                <w:sz w:val="21"/>
                <w:szCs w:val="22"/>
                <w:lang w:eastAsia="zh-CN" w:bidi="ar-SA"/>
              </w:rPr>
              <w:drawing>
                <wp:inline distT="0" distB="0" distL="114300" distR="114300" wp14:anchorId="54A4D9C1" wp14:editId="5342AAE9">
                  <wp:extent cx="3072765" cy="1741805"/>
                  <wp:effectExtent l="0" t="0" r="635" b="1079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8"/>
                          <a:stretch>
                            <a:fillRect/>
                          </a:stretch>
                        </pic:blipFill>
                        <pic:spPr>
                          <a:xfrm>
                            <a:off x="0" y="0"/>
                            <a:ext cx="3072765" cy="1741805"/>
                          </a:xfrm>
                          <a:prstGeom prst="rect">
                            <a:avLst/>
                          </a:prstGeom>
                          <a:noFill/>
                          <a:ln>
                            <a:noFill/>
                          </a:ln>
                        </pic:spPr>
                      </pic:pic>
                    </a:graphicData>
                  </a:graphic>
                </wp:inline>
              </w:drawing>
            </w:r>
          </w:p>
          <w:p w14:paraId="21F8ED46" w14:textId="77777777" w:rsidR="003B4DF9" w:rsidRPr="003B4DF9" w:rsidRDefault="003B4DF9" w:rsidP="003B4DF9">
            <w:pPr>
              <w:spacing w:line="240" w:lineRule="auto"/>
              <w:ind w:firstLineChars="0" w:firstLine="0"/>
              <w:jc w:val="center"/>
              <w:rPr>
                <w:rFonts w:eastAsia="宋体"/>
                <w:sz w:val="28"/>
                <w:szCs w:val="28"/>
              </w:rPr>
            </w:pPr>
          </w:p>
        </w:tc>
      </w:tr>
      <w:tr w:rsidR="003B4DF9" w:rsidRPr="003B4DF9" w14:paraId="39C82086" w14:textId="77777777" w:rsidTr="00D72849">
        <w:trPr>
          <w:trHeight w:val="386"/>
        </w:trPr>
        <w:tc>
          <w:tcPr>
            <w:tcW w:w="2298" w:type="dxa"/>
          </w:tcPr>
          <w:p w14:paraId="2E7F88E8" w14:textId="77777777" w:rsidR="003B4DF9" w:rsidRPr="003B4DF9" w:rsidRDefault="003B4DF9" w:rsidP="003B4DF9">
            <w:pPr>
              <w:ind w:firstLineChars="0" w:firstLine="0"/>
              <w:rPr>
                <w:rFonts w:eastAsia="楷体"/>
                <w:b/>
                <w:color w:val="9CC2E5"/>
                <w:szCs w:val="28"/>
                <w:lang w:eastAsia="zh-CN"/>
              </w:rPr>
            </w:pPr>
          </w:p>
          <w:p w14:paraId="6DB3EFB7" w14:textId="77777777" w:rsidR="003B4DF9" w:rsidRPr="003B4DF9" w:rsidRDefault="003B4DF9" w:rsidP="003B4DF9">
            <w:pPr>
              <w:ind w:firstLineChars="0" w:firstLine="0"/>
              <w:rPr>
                <w:rFonts w:eastAsia="楷体"/>
                <w:b/>
                <w:color w:val="9CC2E5"/>
                <w:szCs w:val="28"/>
                <w:lang w:eastAsia="zh-CN"/>
              </w:rPr>
            </w:pPr>
          </w:p>
          <w:p w14:paraId="2B002B9B" w14:textId="77777777" w:rsidR="003B4DF9" w:rsidRPr="003B4DF9" w:rsidRDefault="003B4DF9" w:rsidP="003B4DF9">
            <w:pPr>
              <w:ind w:firstLineChars="0" w:firstLine="0"/>
              <w:rPr>
                <w:rFonts w:eastAsia="楷体"/>
                <w:b/>
                <w:color w:val="9CC2E5"/>
                <w:szCs w:val="28"/>
                <w:lang w:eastAsia="zh-CN"/>
              </w:rPr>
            </w:pPr>
            <w:r w:rsidRPr="003B4DF9">
              <w:rPr>
                <w:rFonts w:eastAsia="楷体" w:hint="eastAsia"/>
                <w:b/>
                <w:szCs w:val="28"/>
                <w:lang w:eastAsia="zh-CN"/>
              </w:rPr>
              <w:t>原油价格受需求端预期不佳拖累，整个季度震荡下行，价格中枢从</w:t>
            </w:r>
            <w:r w:rsidRPr="003B4DF9">
              <w:rPr>
                <w:rFonts w:eastAsia="楷体" w:hint="eastAsia"/>
                <w:b/>
                <w:szCs w:val="28"/>
                <w:lang w:eastAsia="zh-CN"/>
              </w:rPr>
              <w:t>80</w:t>
            </w:r>
            <w:r w:rsidRPr="003B4DF9">
              <w:rPr>
                <w:rFonts w:eastAsia="楷体" w:hint="eastAsia"/>
                <w:b/>
                <w:szCs w:val="28"/>
                <w:lang w:eastAsia="zh-CN"/>
              </w:rPr>
              <w:t>美元下跌至</w:t>
            </w:r>
            <w:r w:rsidRPr="003B4DF9">
              <w:rPr>
                <w:rFonts w:eastAsia="楷体" w:hint="eastAsia"/>
                <w:b/>
                <w:szCs w:val="28"/>
                <w:lang w:eastAsia="zh-CN"/>
              </w:rPr>
              <w:t>70</w:t>
            </w:r>
            <w:r w:rsidRPr="003B4DF9">
              <w:rPr>
                <w:rFonts w:eastAsia="楷体" w:hint="eastAsia"/>
                <w:b/>
                <w:szCs w:val="28"/>
                <w:lang w:eastAsia="zh-CN"/>
              </w:rPr>
              <w:t>美元，最低触达</w:t>
            </w:r>
            <w:r w:rsidRPr="003B4DF9">
              <w:rPr>
                <w:rFonts w:eastAsia="楷体" w:hint="eastAsia"/>
                <w:b/>
                <w:szCs w:val="28"/>
                <w:lang w:eastAsia="zh-CN"/>
              </w:rPr>
              <w:t>60</w:t>
            </w:r>
            <w:r w:rsidRPr="003B4DF9">
              <w:rPr>
                <w:rFonts w:eastAsia="楷体" w:hint="eastAsia"/>
                <w:b/>
                <w:szCs w:val="28"/>
                <w:lang w:eastAsia="zh-CN"/>
              </w:rPr>
              <w:t>美元。</w:t>
            </w:r>
          </w:p>
        </w:tc>
        <w:tc>
          <w:tcPr>
            <w:tcW w:w="340" w:type="dxa"/>
            <w:vAlign w:val="center"/>
          </w:tcPr>
          <w:p w14:paraId="409590FB" w14:textId="77777777" w:rsidR="003B4DF9" w:rsidRPr="003B4DF9" w:rsidRDefault="003B4DF9" w:rsidP="003B4DF9">
            <w:pPr>
              <w:keepNext/>
              <w:keepLines/>
              <w:spacing w:before="260" w:after="260"/>
              <w:ind w:firstLine="480"/>
              <w:rPr>
                <w:rFonts w:eastAsia="楷体_GB2312"/>
                <w:color w:val="9CC2E5"/>
                <w:lang w:eastAsia="zh-CN"/>
              </w:rPr>
            </w:pPr>
          </w:p>
        </w:tc>
        <w:tc>
          <w:tcPr>
            <w:tcW w:w="7452" w:type="dxa"/>
            <w:gridSpan w:val="2"/>
            <w:vAlign w:val="center"/>
          </w:tcPr>
          <w:p w14:paraId="44E7C573" w14:textId="77777777" w:rsidR="003B4DF9" w:rsidRPr="003B4DF9" w:rsidRDefault="003B4DF9" w:rsidP="003B4DF9">
            <w:pPr>
              <w:spacing w:beforeLines="100" w:before="326"/>
              <w:ind w:firstLineChars="0" w:firstLine="0"/>
              <w:rPr>
                <w:rFonts w:eastAsia="宋体"/>
                <w:b/>
                <w:sz w:val="28"/>
                <w:szCs w:val="28"/>
                <w:lang w:eastAsia="zh-CN"/>
              </w:rPr>
            </w:pPr>
            <w:r w:rsidRPr="003B4DF9">
              <w:rPr>
                <w:rFonts w:eastAsia="宋体"/>
                <w:b/>
                <w:sz w:val="28"/>
                <w:szCs w:val="28"/>
                <w:lang w:eastAsia="zh-CN"/>
              </w:rPr>
              <w:t>二、主要大宗商品供求情况与价格走势</w:t>
            </w:r>
          </w:p>
          <w:p w14:paraId="0A8EA592" w14:textId="77777777" w:rsidR="003B4DF9" w:rsidRPr="003B4DF9" w:rsidRDefault="003B4DF9" w:rsidP="003B4DF9">
            <w:pPr>
              <w:ind w:firstLine="480"/>
              <w:rPr>
                <w:rFonts w:eastAsia="宋体"/>
                <w:lang w:eastAsia="zh-CN"/>
              </w:rPr>
            </w:pPr>
            <w:r w:rsidRPr="003B4DF9">
              <w:rPr>
                <w:rFonts w:eastAsia="宋体" w:hint="eastAsia"/>
                <w:lang w:eastAsia="zh-CN"/>
              </w:rPr>
              <w:t>上季度报告中我们认为原油价格缺乏上涨基础，但考虑到</w:t>
            </w:r>
            <w:r w:rsidRPr="003B4DF9">
              <w:rPr>
                <w:rFonts w:eastAsia="宋体" w:hint="eastAsia"/>
                <w:lang w:eastAsia="zh-CN"/>
              </w:rPr>
              <w:t>OPEC</w:t>
            </w:r>
            <w:r w:rsidRPr="003B4DF9">
              <w:rPr>
                <w:rFonts w:eastAsia="宋体" w:hint="eastAsia"/>
                <w:lang w:eastAsia="zh-CN"/>
              </w:rPr>
              <w:t>产量控制和地缘风险影响，下跌空间也有限。从实际走势来看，特朗普关税战爆发的速度和烈度均超预期，引发全球动荡，触发美国衰退预警，也连累美股在内的各类风险资产。原油价格在</w:t>
            </w:r>
            <w:r w:rsidRPr="003B4DF9">
              <w:rPr>
                <w:rFonts w:eastAsia="宋体" w:hint="eastAsia"/>
                <w:lang w:eastAsia="zh-CN"/>
              </w:rPr>
              <w:t>1</w:t>
            </w:r>
            <w:r w:rsidRPr="003B4DF9">
              <w:rPr>
                <w:rFonts w:eastAsia="宋体" w:hint="eastAsia"/>
                <w:lang w:eastAsia="zh-CN"/>
              </w:rPr>
              <w:t>季度震荡回落，布伦特油价一度在</w:t>
            </w:r>
            <w:r w:rsidRPr="003B4DF9">
              <w:rPr>
                <w:rFonts w:eastAsia="宋体" w:hint="eastAsia"/>
                <w:lang w:eastAsia="zh-CN"/>
              </w:rPr>
              <w:t>2</w:t>
            </w:r>
            <w:r w:rsidRPr="003B4DF9">
              <w:rPr>
                <w:rFonts w:eastAsia="宋体" w:hint="eastAsia"/>
                <w:lang w:eastAsia="zh-CN"/>
              </w:rPr>
              <w:t>季度初跌至接近</w:t>
            </w:r>
            <w:r w:rsidRPr="003B4DF9">
              <w:rPr>
                <w:rFonts w:eastAsia="宋体" w:hint="eastAsia"/>
                <w:lang w:eastAsia="zh-CN"/>
              </w:rPr>
              <w:t>60</w:t>
            </w:r>
            <w:r w:rsidRPr="003B4DF9">
              <w:rPr>
                <w:rFonts w:eastAsia="宋体" w:hint="eastAsia"/>
                <w:lang w:eastAsia="zh-CN"/>
              </w:rPr>
              <w:t>美元，整体价格中枢下移。</w:t>
            </w:r>
          </w:p>
          <w:p w14:paraId="1D728EE2" w14:textId="77777777" w:rsidR="003B4DF9" w:rsidRPr="003B4DF9" w:rsidRDefault="003B4DF9" w:rsidP="003B4DF9">
            <w:pPr>
              <w:ind w:firstLine="480"/>
              <w:rPr>
                <w:rFonts w:eastAsia="宋体"/>
                <w:lang w:eastAsia="zh-CN"/>
              </w:rPr>
            </w:pPr>
            <w:r w:rsidRPr="003B4DF9">
              <w:rPr>
                <w:rFonts w:eastAsia="宋体" w:hint="eastAsia"/>
                <w:lang w:eastAsia="zh-CN"/>
              </w:rPr>
              <w:t>当下全球需求仍未见反弹，实体经济受关税冲击，预期不佳。中国</w:t>
            </w:r>
            <w:r w:rsidRPr="003B4DF9">
              <w:rPr>
                <w:rFonts w:eastAsia="宋体" w:hint="eastAsia"/>
                <w:lang w:eastAsia="zh-CN"/>
              </w:rPr>
              <w:t>1-2</w:t>
            </w:r>
            <w:r w:rsidRPr="003B4DF9">
              <w:rPr>
                <w:rFonts w:eastAsia="宋体" w:hint="eastAsia"/>
                <w:lang w:eastAsia="zh-CN"/>
              </w:rPr>
              <w:t>月份原油进口有所反弹，开局不错，但</w:t>
            </w:r>
            <w:r w:rsidRPr="003B4DF9">
              <w:rPr>
                <w:rFonts w:eastAsia="宋体" w:hint="eastAsia"/>
                <w:lang w:eastAsia="zh-CN"/>
              </w:rPr>
              <w:t>3</w:t>
            </w:r>
            <w:r w:rsidRPr="003B4DF9">
              <w:rPr>
                <w:rFonts w:eastAsia="宋体" w:hint="eastAsia"/>
                <w:lang w:eastAsia="zh-CN"/>
              </w:rPr>
              <w:t>月份后关税冲击显现。此外美国衰退风险显著上升，对油价形成压制。</w:t>
            </w:r>
            <w:r w:rsidRPr="003B4DF9">
              <w:rPr>
                <w:rFonts w:eastAsia="宋体" w:hint="eastAsia"/>
                <w:lang w:eastAsia="zh-CN"/>
              </w:rPr>
              <w:t>OPEC+</w:t>
            </w:r>
            <w:r w:rsidRPr="003B4DF9">
              <w:rPr>
                <w:rFonts w:eastAsia="宋体" w:hint="eastAsia"/>
                <w:lang w:eastAsia="zh-CN"/>
              </w:rPr>
              <w:t>通过限产维持油价的效果越来越有限，成员国有“偷跑”动力。</w:t>
            </w:r>
            <w:r w:rsidRPr="003B4DF9">
              <w:rPr>
                <w:rFonts w:eastAsia="宋体" w:hint="eastAsia"/>
                <w:lang w:eastAsia="zh-CN"/>
              </w:rPr>
              <w:t>OPEC</w:t>
            </w:r>
            <w:r w:rsidRPr="003B4DF9">
              <w:rPr>
                <w:rFonts w:eastAsia="宋体" w:hint="eastAsia"/>
                <w:lang w:eastAsia="zh-CN"/>
              </w:rPr>
              <w:t>也在</w:t>
            </w:r>
            <w:r w:rsidRPr="003B4DF9">
              <w:rPr>
                <w:rFonts w:eastAsia="宋体" w:hint="eastAsia"/>
                <w:lang w:eastAsia="zh-CN"/>
              </w:rPr>
              <w:t>4</w:t>
            </w:r>
            <w:r w:rsidRPr="003B4DF9">
              <w:rPr>
                <w:rFonts w:eastAsia="宋体" w:hint="eastAsia"/>
                <w:lang w:eastAsia="zh-CN"/>
              </w:rPr>
              <w:t>月份确认将如期增产。供需两端均疲，原油价格企稳更多依靠自身价格信号的调节，削减产量，如北美页岩油活跃钻井数回落。</w:t>
            </w:r>
          </w:p>
          <w:p w14:paraId="4EE03A75" w14:textId="77777777" w:rsidR="003B4DF9" w:rsidRPr="003B4DF9" w:rsidRDefault="003B4DF9" w:rsidP="003B4DF9">
            <w:pPr>
              <w:ind w:firstLine="480"/>
              <w:rPr>
                <w:rFonts w:eastAsia="宋体"/>
                <w:lang w:eastAsia="zh-CN"/>
              </w:rPr>
            </w:pPr>
            <w:r w:rsidRPr="003B4DF9">
              <w:rPr>
                <w:rFonts w:eastAsia="宋体" w:hint="eastAsia"/>
                <w:lang w:eastAsia="zh-CN"/>
              </w:rPr>
              <w:t>在需求端，最大的变量仍是关税和贸易摩擦引发的连锁反应。</w:t>
            </w:r>
            <w:r w:rsidRPr="003B4DF9">
              <w:rPr>
                <w:rFonts w:eastAsia="宋体" w:hint="eastAsia"/>
                <w:lang w:eastAsia="zh-CN"/>
              </w:rPr>
              <w:t>1</w:t>
            </w:r>
            <w:r w:rsidRPr="003B4DF9">
              <w:rPr>
                <w:rFonts w:eastAsia="宋体" w:hint="eastAsia"/>
                <w:lang w:eastAsia="zh-CN"/>
              </w:rPr>
              <w:t>季度原油需求高于预期，或和中国交运、制造业活跃以及美国特朗普初上任时企业信心走高有关。</w:t>
            </w:r>
            <w:r w:rsidRPr="003B4DF9">
              <w:rPr>
                <w:rFonts w:eastAsia="宋体" w:hint="eastAsia"/>
                <w:lang w:eastAsia="zh-CN"/>
              </w:rPr>
              <w:t>1</w:t>
            </w:r>
            <w:r w:rsidRPr="003B4DF9">
              <w:rPr>
                <w:rFonts w:eastAsia="宋体" w:hint="eastAsia"/>
                <w:lang w:eastAsia="zh-CN"/>
              </w:rPr>
              <w:t>季度中国原油进口量同比走高，</w:t>
            </w:r>
            <w:r w:rsidRPr="003B4DF9">
              <w:rPr>
                <w:rFonts w:eastAsia="宋体" w:hint="eastAsia"/>
                <w:lang w:eastAsia="zh-CN"/>
              </w:rPr>
              <w:t>3</w:t>
            </w:r>
            <w:r w:rsidRPr="003B4DF9">
              <w:rPr>
                <w:rFonts w:eastAsia="宋体" w:hint="eastAsia"/>
                <w:lang w:eastAsia="zh-CN"/>
              </w:rPr>
              <w:t>月份一度转正。但美国商业原油库存仍然以净增长为主，且季度末市场转向悲观。</w:t>
            </w:r>
          </w:p>
          <w:p w14:paraId="0B2F89DA" w14:textId="77777777" w:rsidR="003B4DF9" w:rsidRPr="003B4DF9" w:rsidRDefault="003B4DF9" w:rsidP="003B4DF9">
            <w:pPr>
              <w:ind w:firstLine="480"/>
              <w:rPr>
                <w:rFonts w:eastAsia="宋体"/>
                <w:lang w:eastAsia="zh-CN"/>
              </w:rPr>
            </w:pPr>
            <w:r w:rsidRPr="003B4DF9">
              <w:rPr>
                <w:rFonts w:eastAsia="宋体" w:hint="eastAsia"/>
                <w:lang w:eastAsia="zh-CN"/>
              </w:rPr>
              <w:t>我们认为随着贸易摩擦风险加大，会进一步打击需求。悲观情形下（考虑贸易战和美国经济增速走平）全年原油日需求可能仅增长不</w:t>
            </w:r>
            <w:r w:rsidRPr="003B4DF9">
              <w:rPr>
                <w:rFonts w:eastAsia="宋体" w:hint="eastAsia"/>
                <w:lang w:eastAsia="zh-CN"/>
              </w:rPr>
              <w:lastRenderedPageBreak/>
              <w:t>到</w:t>
            </w:r>
            <w:r w:rsidRPr="003B4DF9">
              <w:rPr>
                <w:rFonts w:eastAsia="宋体" w:hint="eastAsia"/>
                <w:lang w:eastAsia="zh-CN"/>
              </w:rPr>
              <w:t>50</w:t>
            </w:r>
            <w:r w:rsidRPr="003B4DF9">
              <w:rPr>
                <w:rFonts w:eastAsia="宋体" w:hint="eastAsia"/>
                <w:lang w:eastAsia="zh-CN"/>
              </w:rPr>
              <w:t>万桶。不少海外投行也将预期下调至</w:t>
            </w:r>
            <w:r w:rsidRPr="003B4DF9">
              <w:rPr>
                <w:rFonts w:eastAsia="宋体" w:hint="eastAsia"/>
                <w:lang w:eastAsia="zh-CN"/>
              </w:rPr>
              <w:t>100</w:t>
            </w:r>
            <w:r w:rsidRPr="003B4DF9">
              <w:rPr>
                <w:rFonts w:eastAsia="宋体" w:hint="eastAsia"/>
                <w:lang w:eastAsia="zh-CN"/>
              </w:rPr>
              <w:t>万桶以内。中美两国的需求同比甚至可能回落。</w:t>
            </w:r>
          </w:p>
        </w:tc>
      </w:tr>
    </w:tbl>
    <w:p w14:paraId="4D949496" w14:textId="77777777" w:rsidR="003B4DF9" w:rsidRPr="003B4DF9" w:rsidRDefault="003B4DF9" w:rsidP="003B4DF9">
      <w:pPr>
        <w:ind w:firstLineChars="0" w:firstLine="0"/>
        <w:rPr>
          <w:rFonts w:eastAsia="宋体"/>
          <w:color w:val="9CC2E5"/>
          <w:lang w:eastAsia="zh-CN"/>
        </w:rPr>
      </w:pPr>
      <w:bookmarkStart w:id="99" w:name="_Toc148372462"/>
    </w:p>
    <w:tbl>
      <w:tblPr>
        <w:tblpPr w:leftFromText="181" w:rightFromText="181" w:vertAnchor="text" w:horzAnchor="page" w:tblpX="1084" w:tblpY="12"/>
        <w:tblOverlap w:val="never"/>
        <w:tblW w:w="10090" w:type="dxa"/>
        <w:tblLayout w:type="fixed"/>
        <w:tblLook w:val="04A0" w:firstRow="1" w:lastRow="0" w:firstColumn="1" w:lastColumn="0" w:noHBand="0" w:noVBand="1"/>
      </w:tblPr>
      <w:tblGrid>
        <w:gridCol w:w="2298"/>
        <w:gridCol w:w="340"/>
        <w:gridCol w:w="2392"/>
        <w:gridCol w:w="5060"/>
      </w:tblGrid>
      <w:tr w:rsidR="003B4DF9" w:rsidRPr="003B4DF9" w14:paraId="6D5A53C4" w14:textId="77777777" w:rsidTr="00D72849">
        <w:tc>
          <w:tcPr>
            <w:tcW w:w="5030" w:type="dxa"/>
            <w:gridSpan w:val="3"/>
            <w:vAlign w:val="center"/>
          </w:tcPr>
          <w:p w14:paraId="58152B83" w14:textId="6CB74A7E" w:rsidR="003B4DF9" w:rsidRPr="003B4DF9" w:rsidRDefault="00D37774" w:rsidP="00D37774">
            <w:pPr>
              <w:pStyle w:val="a4"/>
            </w:pPr>
            <w:bookmarkStart w:id="100" w:name="_Toc196399451"/>
            <w:r w:rsidRPr="00D37774">
              <w:rPr>
                <w:rFonts w:hint="eastAsia"/>
              </w:rPr>
              <w:t xml:space="preserve">图表 </w:t>
            </w:r>
            <w:r w:rsidRPr="00D37774">
              <w:rPr>
                <w:rFonts w:hint="eastAsia"/>
              </w:rPr>
              <w:fldChar w:fldCharType="begin"/>
            </w:r>
            <w:r w:rsidRPr="00D37774">
              <w:rPr>
                <w:rFonts w:hint="eastAsia"/>
              </w:rPr>
              <w:instrText xml:space="preserve"> SEQ 图表 \* ARABIC </w:instrText>
            </w:r>
            <w:r w:rsidRPr="00D37774">
              <w:rPr>
                <w:rFonts w:hint="eastAsia"/>
              </w:rPr>
              <w:fldChar w:fldCharType="separate"/>
            </w:r>
            <w:r w:rsidR="00530ED7">
              <w:rPr>
                <w:rFonts w:hint="eastAsia"/>
                <w:noProof/>
              </w:rPr>
              <w:t>40</w:t>
            </w:r>
            <w:r w:rsidRPr="00D37774">
              <w:rPr>
                <w:rFonts w:hint="eastAsia"/>
              </w:rPr>
              <w:fldChar w:fldCharType="end"/>
            </w:r>
            <w:r w:rsidRPr="00D37774">
              <w:t xml:space="preserve">  </w:t>
            </w:r>
            <w:r w:rsidR="003B4DF9" w:rsidRPr="003B4DF9">
              <w:rPr>
                <w:rFonts w:hint="eastAsia"/>
              </w:rPr>
              <w:t>1</w:t>
            </w:r>
            <w:r w:rsidR="003B4DF9" w:rsidRPr="003B4DF9">
              <w:t>季度全球油价</w:t>
            </w:r>
            <w:bookmarkEnd w:id="99"/>
            <w:r w:rsidR="003B4DF9" w:rsidRPr="003B4DF9">
              <w:rPr>
                <w:rFonts w:hint="eastAsia"/>
              </w:rPr>
              <w:t>震荡走弱，需求侧不断被关税战负面冲击</w:t>
            </w:r>
            <w:bookmarkEnd w:id="100"/>
          </w:p>
          <w:p w14:paraId="3F332572" w14:textId="77777777" w:rsidR="003B4DF9" w:rsidRPr="003B4DF9" w:rsidRDefault="003B4DF9" w:rsidP="003B4DF9">
            <w:pPr>
              <w:keepNext/>
              <w:spacing w:line="240" w:lineRule="auto"/>
              <w:ind w:firstLineChars="0" w:firstLine="0"/>
              <w:jc w:val="center"/>
              <w:rPr>
                <w:rFonts w:eastAsia="楷体"/>
                <w:b/>
                <w:sz w:val="21"/>
                <w:szCs w:val="21"/>
                <w:lang w:eastAsia="zh-CN" w:bidi="ar-SA"/>
              </w:rPr>
            </w:pPr>
          </w:p>
          <w:p w14:paraId="28304CA0" w14:textId="77777777" w:rsidR="003B4DF9" w:rsidRPr="003B4DF9" w:rsidRDefault="003B4DF9" w:rsidP="003B4DF9">
            <w:pPr>
              <w:keepNext/>
              <w:spacing w:line="0" w:lineRule="atLeast"/>
              <w:ind w:firstLineChars="0" w:firstLine="0"/>
              <w:jc w:val="center"/>
              <w:rPr>
                <w:rFonts w:eastAsia="楷体"/>
                <w:b/>
                <w:sz w:val="21"/>
                <w:szCs w:val="21"/>
                <w:lang w:eastAsia="zh-CN" w:bidi="ar-SA"/>
              </w:rPr>
            </w:pPr>
            <w:r w:rsidRPr="003B4DF9">
              <w:rPr>
                <w:rFonts w:eastAsia="宋体"/>
                <w:noProof/>
                <w:sz w:val="21"/>
                <w:szCs w:val="22"/>
                <w:lang w:eastAsia="zh-CN" w:bidi="ar-SA"/>
              </w:rPr>
              <w:drawing>
                <wp:inline distT="0" distB="0" distL="0" distR="0" wp14:anchorId="3FA398C4" wp14:editId="57C7285D">
                  <wp:extent cx="3056890" cy="2006600"/>
                  <wp:effectExtent l="0" t="0" r="0" b="12700"/>
                  <wp:docPr id="211925994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5FF8512B" w14:textId="77777777" w:rsidR="003B4DF9" w:rsidRPr="003B4DF9" w:rsidRDefault="003B4DF9" w:rsidP="003B4DF9">
            <w:pPr>
              <w:spacing w:line="240" w:lineRule="auto"/>
              <w:ind w:firstLineChars="0" w:firstLine="0"/>
              <w:rPr>
                <w:rFonts w:eastAsia="宋体"/>
                <w:sz w:val="28"/>
                <w:szCs w:val="28"/>
                <w:lang w:eastAsia="zh-CN" w:bidi="ar-SA"/>
              </w:rPr>
            </w:pPr>
          </w:p>
        </w:tc>
        <w:tc>
          <w:tcPr>
            <w:tcW w:w="5060" w:type="dxa"/>
            <w:vAlign w:val="center"/>
          </w:tcPr>
          <w:p w14:paraId="544EBD8E" w14:textId="059C1098" w:rsidR="003B4DF9" w:rsidRPr="003B4DF9" w:rsidRDefault="00D37774" w:rsidP="00D37774">
            <w:pPr>
              <w:pStyle w:val="a4"/>
              <w:rPr>
                <w:rFonts w:eastAsia="楷体"/>
              </w:rPr>
            </w:pPr>
            <w:bookmarkStart w:id="101" w:name="_Toc148372463"/>
            <w:bookmarkStart w:id="102" w:name="_Toc196399452"/>
            <w:r w:rsidRPr="00D37774">
              <w:rPr>
                <w:rFonts w:hint="eastAsia"/>
              </w:rPr>
              <w:t xml:space="preserve">图表 </w:t>
            </w:r>
            <w:r w:rsidRPr="00D37774">
              <w:rPr>
                <w:rFonts w:hint="eastAsia"/>
              </w:rPr>
              <w:fldChar w:fldCharType="begin"/>
            </w:r>
            <w:r w:rsidRPr="00D37774">
              <w:rPr>
                <w:rFonts w:hint="eastAsia"/>
              </w:rPr>
              <w:instrText xml:space="preserve"> SEQ 图表 \* ARABIC </w:instrText>
            </w:r>
            <w:r w:rsidRPr="00D37774">
              <w:rPr>
                <w:rFonts w:hint="eastAsia"/>
              </w:rPr>
              <w:fldChar w:fldCharType="separate"/>
            </w:r>
            <w:r w:rsidR="00530ED7">
              <w:rPr>
                <w:rFonts w:hint="eastAsia"/>
                <w:noProof/>
              </w:rPr>
              <w:t>41</w:t>
            </w:r>
            <w:r w:rsidRPr="00D37774">
              <w:rPr>
                <w:rFonts w:hint="eastAsia"/>
              </w:rPr>
              <w:fldChar w:fldCharType="end"/>
            </w:r>
            <w:r w:rsidRPr="00D37774">
              <w:rPr>
                <w:rFonts w:eastAsia="楷体"/>
              </w:rPr>
              <w:t xml:space="preserve">  </w:t>
            </w:r>
            <w:r w:rsidR="003B4DF9" w:rsidRPr="003B4DF9">
              <w:rPr>
                <w:rFonts w:eastAsia="楷体"/>
              </w:rPr>
              <w:t>EC</w:t>
            </w:r>
            <w:bookmarkEnd w:id="101"/>
            <w:r w:rsidR="003B4DF9" w:rsidRPr="003B4DF9">
              <w:rPr>
                <w:rFonts w:eastAsia="楷体" w:hint="eastAsia"/>
              </w:rPr>
              <w:t>产量逐步回升，部分产油国产出已超配额</w:t>
            </w:r>
            <w:bookmarkEnd w:id="102"/>
          </w:p>
          <w:p w14:paraId="6BCACFBE" w14:textId="77777777" w:rsidR="003B4DF9" w:rsidRPr="003B4DF9" w:rsidRDefault="003B4DF9" w:rsidP="003B4DF9">
            <w:pPr>
              <w:keepNext/>
              <w:ind w:firstLineChars="0" w:firstLine="0"/>
              <w:jc w:val="center"/>
              <w:rPr>
                <w:rFonts w:eastAsia="楷体"/>
                <w:b/>
                <w:sz w:val="21"/>
                <w:szCs w:val="21"/>
                <w:lang w:eastAsia="zh-CN" w:bidi="ar-SA"/>
              </w:rPr>
            </w:pPr>
            <w:r w:rsidRPr="003B4DF9">
              <w:rPr>
                <w:rFonts w:eastAsia="宋体"/>
                <w:noProof/>
                <w:sz w:val="21"/>
                <w:szCs w:val="22"/>
                <w:lang w:eastAsia="zh-CN" w:bidi="ar-SA"/>
              </w:rPr>
              <w:drawing>
                <wp:inline distT="0" distB="0" distL="0" distR="0" wp14:anchorId="65239D8E" wp14:editId="0E646F99">
                  <wp:extent cx="3075940" cy="2454812"/>
                  <wp:effectExtent l="0" t="0" r="10160" b="3175"/>
                  <wp:docPr id="100823764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5E90A016" w14:textId="77777777" w:rsidR="003B4DF9" w:rsidRPr="003B4DF9" w:rsidRDefault="003B4DF9" w:rsidP="003B4DF9">
            <w:pPr>
              <w:spacing w:line="240" w:lineRule="auto"/>
              <w:ind w:firstLineChars="0" w:firstLine="0"/>
              <w:rPr>
                <w:rFonts w:eastAsia="宋体"/>
                <w:sz w:val="28"/>
                <w:szCs w:val="28"/>
                <w:lang w:eastAsia="zh-CN" w:bidi="ar-SA"/>
              </w:rPr>
            </w:pPr>
          </w:p>
        </w:tc>
      </w:tr>
      <w:tr w:rsidR="003B4DF9" w:rsidRPr="003B4DF9" w14:paraId="3C82BF4E" w14:textId="77777777" w:rsidTr="00D72849">
        <w:trPr>
          <w:trHeight w:val="671"/>
        </w:trPr>
        <w:tc>
          <w:tcPr>
            <w:tcW w:w="2298" w:type="dxa"/>
          </w:tcPr>
          <w:p w14:paraId="3D4C75FF" w14:textId="77777777" w:rsidR="003B4DF9" w:rsidRPr="003B4DF9" w:rsidRDefault="003B4DF9" w:rsidP="003B4DF9">
            <w:pPr>
              <w:keepNext/>
              <w:ind w:firstLineChars="0" w:firstLine="0"/>
              <w:rPr>
                <w:rFonts w:eastAsia="楷体"/>
                <w:b/>
                <w:color w:val="9CC2E5"/>
                <w:szCs w:val="28"/>
                <w:lang w:eastAsia="zh-CN" w:bidi="ar-SA"/>
              </w:rPr>
            </w:pPr>
          </w:p>
          <w:p w14:paraId="395791C7" w14:textId="77777777" w:rsidR="003B4DF9" w:rsidRPr="003B4DF9" w:rsidRDefault="003B4DF9" w:rsidP="003B4DF9">
            <w:pPr>
              <w:keepNext/>
              <w:ind w:firstLineChars="0" w:firstLine="0"/>
              <w:rPr>
                <w:rFonts w:eastAsia="楷体"/>
                <w:b/>
                <w:color w:val="9CC2E5"/>
                <w:sz w:val="21"/>
                <w:szCs w:val="21"/>
                <w:lang w:eastAsia="zh-CN" w:bidi="ar-SA"/>
              </w:rPr>
            </w:pPr>
            <w:r w:rsidRPr="003B4DF9">
              <w:rPr>
                <w:rFonts w:eastAsia="楷体" w:hint="eastAsia"/>
                <w:b/>
                <w:szCs w:val="28"/>
                <w:lang w:eastAsia="zh-CN" w:bidi="ar-SA"/>
              </w:rPr>
              <w:t>1</w:t>
            </w:r>
            <w:r w:rsidRPr="003B4DF9">
              <w:rPr>
                <w:rFonts w:eastAsia="楷体" w:hint="eastAsia"/>
                <w:b/>
                <w:szCs w:val="28"/>
                <w:lang w:eastAsia="zh-CN" w:bidi="ar-SA"/>
              </w:rPr>
              <w:t>季度供给端</w:t>
            </w:r>
            <w:r w:rsidRPr="003B4DF9">
              <w:rPr>
                <w:rFonts w:eastAsia="楷体" w:hint="eastAsia"/>
                <w:b/>
                <w:szCs w:val="28"/>
                <w:lang w:eastAsia="zh-CN" w:bidi="ar-SA"/>
              </w:rPr>
              <w:t>OPEC+</w:t>
            </w:r>
            <w:r w:rsidRPr="003B4DF9">
              <w:rPr>
                <w:rFonts w:eastAsia="楷体" w:hint="eastAsia"/>
                <w:b/>
                <w:szCs w:val="28"/>
                <w:lang w:eastAsia="zh-CN" w:bidi="ar-SA"/>
              </w:rPr>
              <w:t>开始按计划增产，以满足成员国需求。非</w:t>
            </w:r>
            <w:r w:rsidRPr="003B4DF9">
              <w:rPr>
                <w:rFonts w:eastAsia="楷体" w:hint="eastAsia"/>
                <w:b/>
                <w:szCs w:val="28"/>
                <w:lang w:eastAsia="zh-CN" w:bidi="ar-SA"/>
              </w:rPr>
              <w:t>OPEC</w:t>
            </w:r>
            <w:r w:rsidRPr="003B4DF9">
              <w:rPr>
                <w:rFonts w:eastAsia="楷体" w:hint="eastAsia"/>
                <w:b/>
                <w:szCs w:val="28"/>
                <w:lang w:eastAsia="zh-CN" w:bidi="ar-SA"/>
              </w:rPr>
              <w:t>国家尤其是美国生产弹性相对较大，成为稳定油价下限的力量。</w:t>
            </w:r>
          </w:p>
        </w:tc>
        <w:tc>
          <w:tcPr>
            <w:tcW w:w="340" w:type="dxa"/>
          </w:tcPr>
          <w:p w14:paraId="6F804679" w14:textId="77777777" w:rsidR="003B4DF9" w:rsidRPr="003B4DF9" w:rsidRDefault="003B4DF9" w:rsidP="003B4DF9">
            <w:pPr>
              <w:keepNext/>
              <w:ind w:firstLineChars="0" w:firstLine="0"/>
              <w:jc w:val="center"/>
              <w:rPr>
                <w:rFonts w:eastAsia="楷体"/>
                <w:b/>
                <w:color w:val="9CC2E5"/>
                <w:sz w:val="21"/>
                <w:szCs w:val="21"/>
                <w:lang w:eastAsia="zh-CN" w:bidi="ar-SA"/>
              </w:rPr>
            </w:pPr>
          </w:p>
        </w:tc>
        <w:tc>
          <w:tcPr>
            <w:tcW w:w="7452" w:type="dxa"/>
            <w:gridSpan w:val="2"/>
          </w:tcPr>
          <w:p w14:paraId="271C7F3A" w14:textId="77777777" w:rsidR="003B4DF9" w:rsidRPr="003B4DF9" w:rsidRDefault="003B4DF9" w:rsidP="003B4DF9">
            <w:pPr>
              <w:ind w:firstLineChars="0" w:firstLine="0"/>
              <w:rPr>
                <w:rFonts w:eastAsia="宋体"/>
                <w:color w:val="9CC2E5"/>
                <w:lang w:eastAsia="zh-CN"/>
              </w:rPr>
            </w:pPr>
          </w:p>
          <w:p w14:paraId="0B49A3DF" w14:textId="77777777" w:rsidR="003B4DF9" w:rsidRPr="003B4DF9" w:rsidRDefault="003B4DF9" w:rsidP="003B4DF9">
            <w:pPr>
              <w:ind w:firstLine="480"/>
              <w:rPr>
                <w:rFonts w:eastAsia="宋体"/>
                <w:lang w:eastAsia="zh-CN"/>
              </w:rPr>
            </w:pPr>
            <w:r w:rsidRPr="003B4DF9">
              <w:rPr>
                <w:rFonts w:eastAsia="宋体" w:hint="eastAsia"/>
                <w:lang w:eastAsia="zh-CN"/>
              </w:rPr>
              <w:t>在供给端，</w:t>
            </w:r>
            <w:r w:rsidRPr="003B4DF9">
              <w:rPr>
                <w:rFonts w:eastAsia="宋体" w:hint="eastAsia"/>
                <w:lang w:eastAsia="zh-CN"/>
              </w:rPr>
              <w:t>OPEC+</w:t>
            </w:r>
            <w:r w:rsidRPr="003B4DF9">
              <w:rPr>
                <w:rFonts w:eastAsia="宋体" w:hint="eastAsia"/>
                <w:lang w:eastAsia="zh-CN"/>
              </w:rPr>
              <w:t>已经开始渐进增产，并可能在</w:t>
            </w:r>
            <w:r w:rsidRPr="003B4DF9">
              <w:rPr>
                <w:rFonts w:eastAsia="宋体" w:hint="eastAsia"/>
                <w:lang w:eastAsia="zh-CN"/>
              </w:rPr>
              <w:t>5</w:t>
            </w:r>
            <w:r w:rsidRPr="003B4DF9">
              <w:rPr>
                <w:rFonts w:eastAsia="宋体" w:hint="eastAsia"/>
                <w:lang w:eastAsia="zh-CN"/>
              </w:rPr>
              <w:t>月后加速。</w:t>
            </w:r>
            <w:r w:rsidRPr="003B4DF9">
              <w:rPr>
                <w:rFonts w:eastAsia="宋体" w:hint="eastAsia"/>
                <w:lang w:eastAsia="zh-CN"/>
              </w:rPr>
              <w:t>OPEC</w:t>
            </w:r>
            <w:r w:rsidRPr="003B4DF9">
              <w:rPr>
                <w:rFonts w:eastAsia="宋体" w:hint="eastAsia"/>
                <w:lang w:eastAsia="zh-CN"/>
              </w:rPr>
              <w:t>核心国</w:t>
            </w:r>
            <w:r w:rsidRPr="003B4DF9">
              <w:rPr>
                <w:rFonts w:eastAsia="宋体" w:hint="eastAsia"/>
                <w:lang w:eastAsia="zh-CN"/>
              </w:rPr>
              <w:t>5</w:t>
            </w:r>
            <w:r w:rsidRPr="003B4DF9">
              <w:rPr>
                <w:rFonts w:eastAsia="宋体" w:hint="eastAsia"/>
                <w:lang w:eastAsia="zh-CN"/>
              </w:rPr>
              <w:t>月份的增产计划超过</w:t>
            </w:r>
            <w:r w:rsidRPr="003B4DF9">
              <w:rPr>
                <w:rFonts w:eastAsia="宋体" w:hint="eastAsia"/>
                <w:lang w:eastAsia="zh-CN"/>
              </w:rPr>
              <w:t>40</w:t>
            </w:r>
            <w:r w:rsidRPr="003B4DF9">
              <w:rPr>
                <w:rFonts w:eastAsia="宋体" w:hint="eastAsia"/>
                <w:lang w:eastAsia="zh-CN"/>
              </w:rPr>
              <w:t>万桶。</w:t>
            </w:r>
            <w:r w:rsidRPr="003B4DF9">
              <w:rPr>
                <w:rFonts w:eastAsia="宋体" w:hint="eastAsia"/>
                <w:lang w:eastAsia="zh-CN"/>
              </w:rPr>
              <w:t>OPEC</w:t>
            </w:r>
            <w:r w:rsidRPr="003B4DF9">
              <w:rPr>
                <w:rFonts w:eastAsia="宋体" w:hint="eastAsia"/>
                <w:lang w:eastAsia="zh-CN"/>
              </w:rPr>
              <w:t>的战略目标或从稳定现货价格，过渡到让成员国有足够的配额以稳定生产纪律。</w:t>
            </w:r>
          </w:p>
          <w:p w14:paraId="232066A6" w14:textId="77777777" w:rsidR="003B4DF9" w:rsidRPr="003B4DF9" w:rsidRDefault="003B4DF9" w:rsidP="003B4DF9">
            <w:pPr>
              <w:ind w:firstLine="480"/>
              <w:rPr>
                <w:rFonts w:eastAsia="宋体"/>
                <w:lang w:eastAsia="zh-CN"/>
              </w:rPr>
            </w:pPr>
            <w:r w:rsidRPr="003B4DF9">
              <w:rPr>
                <w:rFonts w:eastAsia="宋体" w:hint="eastAsia"/>
                <w:lang w:eastAsia="zh-CN"/>
              </w:rPr>
              <w:t>从前三个月的产量来看，</w:t>
            </w:r>
            <w:r w:rsidRPr="003B4DF9">
              <w:rPr>
                <w:rFonts w:eastAsia="宋体" w:hint="eastAsia"/>
                <w:lang w:eastAsia="zh-CN"/>
              </w:rPr>
              <w:t>OPEC</w:t>
            </w:r>
            <w:r w:rsidRPr="003B4DF9">
              <w:rPr>
                <w:rFonts w:eastAsia="宋体" w:hint="eastAsia"/>
                <w:lang w:eastAsia="zh-CN"/>
              </w:rPr>
              <w:t>产量已经开始爬升。哈萨克斯坦产量增速较大，日产量超过配额约</w:t>
            </w:r>
            <w:r w:rsidRPr="003B4DF9">
              <w:rPr>
                <w:rFonts w:eastAsia="宋体" w:hint="eastAsia"/>
                <w:lang w:eastAsia="zh-CN"/>
              </w:rPr>
              <w:t>30</w:t>
            </w:r>
            <w:r w:rsidRPr="003B4DF9">
              <w:rPr>
                <w:rFonts w:eastAsia="宋体" w:hint="eastAsia"/>
                <w:lang w:eastAsia="zh-CN"/>
              </w:rPr>
              <w:t>万桶。</w:t>
            </w:r>
          </w:p>
          <w:p w14:paraId="2D0EB078" w14:textId="31059F7F" w:rsidR="003B4DF9" w:rsidRPr="003B4DF9" w:rsidRDefault="003B4DF9" w:rsidP="003B4DF9">
            <w:pPr>
              <w:ind w:firstLine="480"/>
              <w:rPr>
                <w:rFonts w:eastAsia="宋体"/>
                <w:lang w:eastAsia="zh-CN"/>
              </w:rPr>
            </w:pPr>
            <w:r w:rsidRPr="003B4DF9">
              <w:rPr>
                <w:rFonts w:eastAsia="宋体" w:hint="eastAsia"/>
                <w:lang w:eastAsia="zh-CN"/>
              </w:rPr>
              <w:t>在</w:t>
            </w:r>
            <w:r w:rsidRPr="003B4DF9">
              <w:rPr>
                <w:rFonts w:eastAsia="宋体" w:hint="eastAsia"/>
                <w:lang w:eastAsia="zh-CN"/>
              </w:rPr>
              <w:t>OPEC</w:t>
            </w:r>
            <w:r w:rsidRPr="003B4DF9">
              <w:rPr>
                <w:rFonts w:eastAsia="宋体" w:hint="eastAsia"/>
                <w:lang w:eastAsia="zh-CN"/>
              </w:rPr>
              <w:t>核心国增产的同时，其他产油国面临产出压力。例如，伊朗在产出可能受美国制裁。俄罗斯原油出口也因制裁加深下跌至</w:t>
            </w:r>
            <w:r w:rsidRPr="003B4DF9">
              <w:rPr>
                <w:rFonts w:eastAsia="宋体" w:hint="eastAsia"/>
                <w:lang w:eastAsia="zh-CN"/>
              </w:rPr>
              <w:t>2023</w:t>
            </w:r>
            <w:r w:rsidRPr="003B4DF9">
              <w:rPr>
                <w:rFonts w:eastAsia="宋体" w:hint="eastAsia"/>
                <w:lang w:eastAsia="zh-CN"/>
              </w:rPr>
              <w:t>年以来的低点，</w:t>
            </w:r>
            <w:r w:rsidRPr="003B4DF9">
              <w:rPr>
                <w:rFonts w:eastAsia="宋体" w:hint="eastAsia"/>
                <w:lang w:eastAsia="zh-CN"/>
              </w:rPr>
              <w:t>3</w:t>
            </w:r>
            <w:r w:rsidRPr="003B4DF9">
              <w:rPr>
                <w:rFonts w:eastAsia="宋体" w:hint="eastAsia"/>
                <w:lang w:eastAsia="zh-CN"/>
              </w:rPr>
              <w:t>月份原油收入同比下跌超过</w:t>
            </w:r>
            <w:r w:rsidR="00E017BB">
              <w:rPr>
                <w:rFonts w:eastAsia="宋体" w:hint="eastAsia"/>
                <w:lang w:eastAsia="zh-CN"/>
              </w:rPr>
              <w:t>二</w:t>
            </w:r>
            <w:r w:rsidRPr="003B4DF9">
              <w:rPr>
                <w:rFonts w:eastAsia="宋体" w:hint="eastAsia"/>
                <w:lang w:eastAsia="zh-CN"/>
              </w:rPr>
              <w:t>成，财政压力加剧。</w:t>
            </w:r>
          </w:p>
          <w:p w14:paraId="2794ADFB" w14:textId="77777777" w:rsidR="003B4DF9" w:rsidRPr="003B4DF9" w:rsidRDefault="003B4DF9" w:rsidP="003B4DF9">
            <w:pPr>
              <w:ind w:firstLine="480"/>
              <w:rPr>
                <w:rFonts w:eastAsia="宋体"/>
                <w:lang w:eastAsia="zh-CN"/>
              </w:rPr>
            </w:pPr>
            <w:r w:rsidRPr="003B4DF9">
              <w:rPr>
                <w:rFonts w:eastAsia="宋体" w:hint="eastAsia"/>
                <w:lang w:eastAsia="zh-CN"/>
              </w:rPr>
              <w:t>美国的原油产量阶段性走平。本土供应屡创新高后，美国的净进口量已处于低位。但近期油价下跌打击生产积极性。达拉斯联储调查显示，维持和新增钻井的</w:t>
            </w:r>
            <w:r w:rsidRPr="003B4DF9">
              <w:rPr>
                <w:rFonts w:eastAsia="宋体" w:hint="eastAsia"/>
                <w:lang w:eastAsia="zh-CN"/>
              </w:rPr>
              <w:t>WTI</w:t>
            </w:r>
            <w:r w:rsidRPr="003B4DF9">
              <w:rPr>
                <w:rFonts w:eastAsia="宋体" w:hint="eastAsia"/>
                <w:lang w:eastAsia="zh-CN"/>
              </w:rPr>
              <w:t>均衡油价水平在</w:t>
            </w:r>
            <w:r w:rsidRPr="003B4DF9">
              <w:rPr>
                <w:rFonts w:eastAsia="宋体" w:hint="eastAsia"/>
                <w:lang w:eastAsia="zh-CN"/>
              </w:rPr>
              <w:t>41-65</w:t>
            </w:r>
            <w:r w:rsidRPr="003B4DF9">
              <w:rPr>
                <w:rFonts w:eastAsia="宋体" w:hint="eastAsia"/>
                <w:lang w:eastAsia="zh-CN"/>
              </w:rPr>
              <w:t>美元之间，目前价格在</w:t>
            </w:r>
            <w:r w:rsidRPr="003B4DF9">
              <w:rPr>
                <w:rFonts w:eastAsia="宋体" w:hint="eastAsia"/>
                <w:lang w:eastAsia="zh-CN"/>
              </w:rPr>
              <w:t>60</w:t>
            </w:r>
            <w:r w:rsidRPr="003B4DF9">
              <w:rPr>
                <w:rFonts w:eastAsia="宋体" w:hint="eastAsia"/>
                <w:lang w:eastAsia="zh-CN"/>
              </w:rPr>
              <w:t>美元左右，新增钻井动力不足。部分产油区活跃钻井数下降，后续可能带动整体产出下降。从市场预期来看，美国实际产量多</w:t>
            </w:r>
            <w:r w:rsidRPr="003B4DF9">
              <w:rPr>
                <w:rFonts w:eastAsia="宋体" w:hint="eastAsia"/>
                <w:lang w:eastAsia="zh-CN"/>
              </w:rPr>
              <w:lastRenderedPageBreak/>
              <w:t>次低于</w:t>
            </w:r>
            <w:r w:rsidRPr="003B4DF9">
              <w:rPr>
                <w:rFonts w:eastAsia="宋体" w:hint="eastAsia"/>
                <w:lang w:eastAsia="zh-CN"/>
              </w:rPr>
              <w:t>EIA</w:t>
            </w:r>
            <w:r w:rsidRPr="003B4DF9">
              <w:rPr>
                <w:rFonts w:eastAsia="宋体" w:hint="eastAsia"/>
                <w:lang w:eastAsia="zh-CN"/>
              </w:rPr>
              <w:t>预期。就历史数据而言，美国的产量是</w:t>
            </w:r>
            <w:r w:rsidRPr="003B4DF9">
              <w:rPr>
                <w:rFonts w:eastAsia="宋体" w:hint="eastAsia"/>
                <w:lang w:eastAsia="zh-CN"/>
              </w:rPr>
              <w:t>OPEC</w:t>
            </w:r>
            <w:r w:rsidRPr="003B4DF9">
              <w:rPr>
                <w:rFonts w:eastAsia="宋体" w:hint="eastAsia"/>
                <w:lang w:eastAsia="zh-CN"/>
              </w:rPr>
              <w:t>以外最具弹性的。在当前价格区间，每</w:t>
            </w:r>
            <w:r w:rsidRPr="003B4DF9">
              <w:rPr>
                <w:rFonts w:eastAsia="宋体" w:hint="eastAsia"/>
                <w:lang w:eastAsia="zh-CN"/>
              </w:rPr>
              <w:t>10</w:t>
            </w:r>
            <w:r w:rsidRPr="003B4DF9">
              <w:rPr>
                <w:rFonts w:eastAsia="宋体" w:hint="eastAsia"/>
                <w:lang w:eastAsia="zh-CN"/>
              </w:rPr>
              <w:t>美元的下跌会导致美国产量下降</w:t>
            </w:r>
            <w:r w:rsidRPr="003B4DF9">
              <w:rPr>
                <w:rFonts w:eastAsia="宋体" w:hint="eastAsia"/>
                <w:lang w:eastAsia="zh-CN"/>
              </w:rPr>
              <w:t>50</w:t>
            </w:r>
            <w:r w:rsidRPr="003B4DF9">
              <w:rPr>
                <w:rFonts w:eastAsia="宋体" w:hint="eastAsia"/>
                <w:lang w:eastAsia="zh-CN"/>
              </w:rPr>
              <w:t>万桶。</w:t>
            </w:r>
          </w:p>
          <w:p w14:paraId="0DE34D7A" w14:textId="77777777" w:rsidR="003B4DF9" w:rsidRPr="003B4DF9" w:rsidRDefault="003B4DF9" w:rsidP="003B4DF9">
            <w:pPr>
              <w:ind w:firstLine="480"/>
              <w:rPr>
                <w:rFonts w:eastAsia="宋体"/>
                <w:lang w:eastAsia="zh-CN"/>
              </w:rPr>
            </w:pPr>
            <w:r w:rsidRPr="003B4DF9">
              <w:rPr>
                <w:rFonts w:eastAsia="宋体" w:hint="eastAsia"/>
                <w:lang w:eastAsia="zh-CN"/>
              </w:rPr>
              <w:t>上述特性会为油价在</w:t>
            </w:r>
            <w:r w:rsidRPr="003B4DF9">
              <w:rPr>
                <w:rFonts w:eastAsia="宋体" w:hint="eastAsia"/>
                <w:lang w:eastAsia="zh-CN"/>
              </w:rPr>
              <w:t>60</w:t>
            </w:r>
            <w:r w:rsidRPr="003B4DF9">
              <w:rPr>
                <w:rFonts w:eastAsia="宋体" w:hint="eastAsia"/>
                <w:lang w:eastAsia="zh-CN"/>
              </w:rPr>
              <w:t>美元附近带来支撑，但前提是美国经济不陷入衰退。</w:t>
            </w:r>
          </w:p>
          <w:p w14:paraId="64200C3F" w14:textId="77777777" w:rsidR="003B4DF9" w:rsidRPr="003B4DF9" w:rsidRDefault="003B4DF9" w:rsidP="003B4DF9">
            <w:pPr>
              <w:ind w:firstLine="480"/>
              <w:rPr>
                <w:rFonts w:eastAsia="宋体"/>
                <w:lang w:eastAsia="zh-CN"/>
              </w:rPr>
            </w:pPr>
            <w:r w:rsidRPr="003B4DF9">
              <w:rPr>
                <w:rFonts w:eastAsia="宋体" w:hint="eastAsia"/>
                <w:lang w:eastAsia="zh-CN"/>
              </w:rPr>
              <w:t>我们认为由于需求端存在高度不确定性，远超供给端的反应速度，因此</w:t>
            </w:r>
            <w:r w:rsidRPr="003B4DF9">
              <w:rPr>
                <w:rFonts w:eastAsia="宋体" w:hint="eastAsia"/>
                <w:lang w:eastAsia="zh-CN"/>
              </w:rPr>
              <w:t>Q2</w:t>
            </w:r>
            <w:r w:rsidRPr="003B4DF9">
              <w:rPr>
                <w:rFonts w:eastAsia="宋体" w:hint="eastAsia"/>
                <w:lang w:eastAsia="zh-CN"/>
              </w:rPr>
              <w:t>开始油价波动性会加剧。</w:t>
            </w:r>
          </w:p>
        </w:tc>
      </w:tr>
    </w:tbl>
    <w:p w14:paraId="7EF1D4D2" w14:textId="77777777" w:rsidR="003B4DF9" w:rsidRPr="003B4DF9" w:rsidRDefault="003B4DF9" w:rsidP="003B4DF9">
      <w:pPr>
        <w:ind w:firstLineChars="0" w:firstLine="0"/>
        <w:rPr>
          <w:rFonts w:eastAsia="宋体"/>
          <w:lang w:eastAsia="zh-CN"/>
        </w:rPr>
      </w:pPr>
      <w:bookmarkStart w:id="103" w:name="_Toc148372464"/>
    </w:p>
    <w:tbl>
      <w:tblPr>
        <w:tblpPr w:leftFromText="181" w:rightFromText="181" w:vertAnchor="text" w:horzAnchor="page" w:tblpX="1084" w:tblpY="12"/>
        <w:tblOverlap w:val="never"/>
        <w:tblW w:w="10090" w:type="dxa"/>
        <w:tblLayout w:type="fixed"/>
        <w:tblLook w:val="04A0" w:firstRow="1" w:lastRow="0" w:firstColumn="1" w:lastColumn="0" w:noHBand="0" w:noVBand="1"/>
      </w:tblPr>
      <w:tblGrid>
        <w:gridCol w:w="5030"/>
        <w:gridCol w:w="167"/>
        <w:gridCol w:w="4893"/>
      </w:tblGrid>
      <w:tr w:rsidR="003B4DF9" w:rsidRPr="003B4DF9" w14:paraId="7BD1A6CF" w14:textId="77777777" w:rsidTr="00D72849">
        <w:tc>
          <w:tcPr>
            <w:tcW w:w="5030" w:type="dxa"/>
          </w:tcPr>
          <w:p w14:paraId="1E7E730E" w14:textId="24C9A9FE" w:rsidR="003B4DF9" w:rsidRPr="003B4DF9" w:rsidRDefault="00D37774" w:rsidP="00D37774">
            <w:pPr>
              <w:pStyle w:val="a4"/>
              <w:rPr>
                <w:rFonts w:eastAsia="楷体"/>
              </w:rPr>
            </w:pPr>
            <w:bookmarkStart w:id="104" w:name="_Toc196399453"/>
            <w:r w:rsidRPr="00D37774">
              <w:rPr>
                <w:rFonts w:hint="eastAsia"/>
              </w:rPr>
              <w:t xml:space="preserve">图表 </w:t>
            </w:r>
            <w:r w:rsidRPr="00D37774">
              <w:rPr>
                <w:rFonts w:hint="eastAsia"/>
              </w:rPr>
              <w:fldChar w:fldCharType="begin"/>
            </w:r>
            <w:r w:rsidRPr="00D37774">
              <w:rPr>
                <w:rFonts w:hint="eastAsia"/>
              </w:rPr>
              <w:instrText xml:space="preserve"> SEQ 图表 \* ARABIC </w:instrText>
            </w:r>
            <w:r w:rsidRPr="00D37774">
              <w:rPr>
                <w:rFonts w:hint="eastAsia"/>
              </w:rPr>
              <w:fldChar w:fldCharType="separate"/>
            </w:r>
            <w:r w:rsidR="00530ED7">
              <w:rPr>
                <w:rFonts w:hint="eastAsia"/>
                <w:noProof/>
              </w:rPr>
              <w:t>42</w:t>
            </w:r>
            <w:r w:rsidRPr="00D37774">
              <w:rPr>
                <w:rFonts w:hint="eastAsia"/>
              </w:rPr>
              <w:fldChar w:fldCharType="end"/>
            </w:r>
            <w:bookmarkEnd w:id="103"/>
            <w:r w:rsidRPr="00D37774">
              <w:rPr>
                <w:rFonts w:eastAsia="楷体"/>
              </w:rPr>
              <w:t xml:space="preserve">  </w:t>
            </w:r>
            <w:r w:rsidR="003B4DF9" w:rsidRPr="003B4DF9">
              <w:rPr>
                <w:rFonts w:eastAsia="楷体" w:hint="eastAsia"/>
              </w:rPr>
              <w:t>1</w:t>
            </w:r>
            <w:r w:rsidR="003B4DF9" w:rsidRPr="003B4DF9">
              <w:rPr>
                <w:rFonts w:eastAsia="楷体" w:hint="eastAsia"/>
              </w:rPr>
              <w:t>季度经济开局良好，中国原油总进口反弹</w:t>
            </w:r>
            <w:bookmarkEnd w:id="104"/>
          </w:p>
          <w:p w14:paraId="74108FD0" w14:textId="77777777" w:rsidR="003B4DF9" w:rsidRPr="003B4DF9" w:rsidRDefault="003B4DF9" w:rsidP="003B4DF9">
            <w:pPr>
              <w:widowControl w:val="0"/>
              <w:snapToGrid w:val="0"/>
              <w:spacing w:line="240" w:lineRule="auto"/>
              <w:ind w:firstLineChars="0" w:firstLine="0"/>
              <w:jc w:val="center"/>
              <w:rPr>
                <w:rFonts w:eastAsia="楷体"/>
                <w:b/>
                <w:sz w:val="21"/>
                <w:szCs w:val="21"/>
                <w:lang w:eastAsia="zh-CN" w:bidi="ar-SA"/>
              </w:rPr>
            </w:pPr>
            <w:r w:rsidRPr="003B4DF9">
              <w:rPr>
                <w:rFonts w:eastAsia="宋体"/>
                <w:noProof/>
                <w:sz w:val="21"/>
                <w:szCs w:val="22"/>
                <w:lang w:eastAsia="zh-CN" w:bidi="ar-SA"/>
              </w:rPr>
              <w:drawing>
                <wp:inline distT="0" distB="0" distL="0" distR="0" wp14:anchorId="5EBE5AF8" wp14:editId="3E1A0511">
                  <wp:extent cx="3056890" cy="2487295"/>
                  <wp:effectExtent l="0" t="0" r="10160" b="8255"/>
                  <wp:docPr id="60030311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3A6A1374" w14:textId="77777777" w:rsidR="003B4DF9" w:rsidRPr="003B4DF9" w:rsidRDefault="003B4DF9" w:rsidP="003B4DF9">
            <w:pPr>
              <w:widowControl w:val="0"/>
              <w:snapToGrid w:val="0"/>
              <w:spacing w:line="240" w:lineRule="auto"/>
              <w:ind w:firstLineChars="0" w:firstLine="0"/>
              <w:jc w:val="center"/>
              <w:rPr>
                <w:rFonts w:eastAsia="楷体"/>
                <w:b/>
                <w:sz w:val="28"/>
                <w:szCs w:val="28"/>
                <w:lang w:eastAsia="zh-CN" w:bidi="ar-SA"/>
              </w:rPr>
            </w:pPr>
          </w:p>
        </w:tc>
        <w:tc>
          <w:tcPr>
            <w:tcW w:w="5060" w:type="dxa"/>
            <w:gridSpan w:val="2"/>
          </w:tcPr>
          <w:p w14:paraId="12790A68" w14:textId="26D1E9BA" w:rsidR="003B4DF9" w:rsidRPr="003B4DF9" w:rsidRDefault="00D37774" w:rsidP="00D37774">
            <w:pPr>
              <w:pStyle w:val="a4"/>
              <w:rPr>
                <w:rFonts w:eastAsia="楷体"/>
                <w:szCs w:val="21"/>
              </w:rPr>
            </w:pPr>
            <w:bookmarkStart w:id="105" w:name="_Toc148372465"/>
            <w:bookmarkStart w:id="106" w:name="_Toc196399454"/>
            <w:r w:rsidRPr="00D37774">
              <w:rPr>
                <w:rFonts w:hint="eastAsia"/>
              </w:rPr>
              <w:t xml:space="preserve">图表 </w:t>
            </w:r>
            <w:r w:rsidRPr="00D37774">
              <w:rPr>
                <w:rFonts w:hint="eastAsia"/>
              </w:rPr>
              <w:fldChar w:fldCharType="begin"/>
            </w:r>
            <w:r w:rsidRPr="00D37774">
              <w:rPr>
                <w:rFonts w:hint="eastAsia"/>
              </w:rPr>
              <w:instrText xml:space="preserve"> SEQ 图表 \* ARABIC </w:instrText>
            </w:r>
            <w:r w:rsidRPr="00D37774">
              <w:rPr>
                <w:rFonts w:hint="eastAsia"/>
              </w:rPr>
              <w:fldChar w:fldCharType="separate"/>
            </w:r>
            <w:r w:rsidR="00530ED7">
              <w:rPr>
                <w:rFonts w:hint="eastAsia"/>
                <w:noProof/>
              </w:rPr>
              <w:t>43</w:t>
            </w:r>
            <w:r w:rsidRPr="00D37774">
              <w:rPr>
                <w:rFonts w:hint="eastAsia"/>
              </w:rPr>
              <w:fldChar w:fldCharType="end"/>
            </w:r>
            <w:r w:rsidRPr="00D37774">
              <w:t xml:space="preserve">  </w:t>
            </w:r>
            <w:r w:rsidR="003B4DF9" w:rsidRPr="003B4DF9">
              <w:rPr>
                <w:rFonts w:eastAsia="楷体" w:hint="eastAsia"/>
                <w:szCs w:val="21"/>
              </w:rPr>
              <w:t>美国原油净进口</w:t>
            </w:r>
            <w:bookmarkEnd w:id="105"/>
            <w:r w:rsidR="003B4DF9" w:rsidRPr="003B4DF9">
              <w:rPr>
                <w:rFonts w:eastAsia="楷体" w:hint="eastAsia"/>
                <w:szCs w:val="21"/>
              </w:rPr>
              <w:t>继续探底，但本土产出已开始走平</w:t>
            </w:r>
            <w:bookmarkEnd w:id="106"/>
          </w:p>
          <w:p w14:paraId="4890F346" w14:textId="77777777" w:rsidR="003B4DF9" w:rsidRPr="003B4DF9" w:rsidRDefault="003B4DF9" w:rsidP="003B4DF9">
            <w:pPr>
              <w:keepNext/>
              <w:snapToGrid w:val="0"/>
              <w:spacing w:line="240" w:lineRule="auto"/>
              <w:ind w:firstLineChars="0" w:firstLine="0"/>
              <w:jc w:val="center"/>
              <w:rPr>
                <w:rFonts w:eastAsia="楷体"/>
                <w:b/>
                <w:sz w:val="21"/>
                <w:szCs w:val="21"/>
                <w:lang w:eastAsia="zh-CN" w:bidi="ar-SA"/>
              </w:rPr>
            </w:pPr>
            <w:r w:rsidRPr="003B4DF9">
              <w:rPr>
                <w:rFonts w:eastAsia="宋体"/>
                <w:noProof/>
                <w:sz w:val="21"/>
                <w:szCs w:val="22"/>
                <w:lang w:eastAsia="zh-CN" w:bidi="ar-SA"/>
              </w:rPr>
              <w:drawing>
                <wp:inline distT="0" distB="0" distL="0" distR="0" wp14:anchorId="7CB40C79" wp14:editId="074137C5">
                  <wp:extent cx="3075940" cy="2311400"/>
                  <wp:effectExtent l="0" t="0" r="10160" b="12700"/>
                  <wp:docPr id="210710044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tc>
      </w:tr>
      <w:tr w:rsidR="003B4DF9" w:rsidRPr="003B4DF9" w14:paraId="4E74754D" w14:textId="77777777" w:rsidTr="00D72849">
        <w:trPr>
          <w:trHeight w:val="671"/>
        </w:trPr>
        <w:tc>
          <w:tcPr>
            <w:tcW w:w="5030" w:type="dxa"/>
            <w:vAlign w:val="center"/>
          </w:tcPr>
          <w:p w14:paraId="34F93FFF" w14:textId="7D3EB4E8" w:rsidR="003B4DF9" w:rsidRPr="003B4DF9" w:rsidRDefault="00D37774" w:rsidP="00D37774">
            <w:pPr>
              <w:pStyle w:val="a4"/>
              <w:rPr>
                <w:rFonts w:eastAsia="楷体"/>
                <w:szCs w:val="21"/>
              </w:rPr>
            </w:pPr>
            <w:bookmarkStart w:id="107" w:name="_Toc148372466"/>
            <w:bookmarkStart w:id="108" w:name="_Toc196399455"/>
            <w:r w:rsidRPr="00D37774">
              <w:rPr>
                <w:rFonts w:hint="eastAsia"/>
              </w:rPr>
              <w:t xml:space="preserve">图表 </w:t>
            </w:r>
            <w:r w:rsidRPr="00D37774">
              <w:rPr>
                <w:rFonts w:hint="eastAsia"/>
              </w:rPr>
              <w:fldChar w:fldCharType="begin"/>
            </w:r>
            <w:r w:rsidRPr="00D37774">
              <w:rPr>
                <w:rFonts w:hint="eastAsia"/>
              </w:rPr>
              <w:instrText xml:space="preserve"> SEQ 图表 \* ARABIC </w:instrText>
            </w:r>
            <w:r w:rsidRPr="00D37774">
              <w:rPr>
                <w:rFonts w:hint="eastAsia"/>
              </w:rPr>
              <w:fldChar w:fldCharType="separate"/>
            </w:r>
            <w:r w:rsidR="00530ED7">
              <w:rPr>
                <w:rFonts w:hint="eastAsia"/>
                <w:noProof/>
              </w:rPr>
              <w:t>44</w:t>
            </w:r>
            <w:r w:rsidRPr="00D37774">
              <w:rPr>
                <w:rFonts w:hint="eastAsia"/>
              </w:rPr>
              <w:fldChar w:fldCharType="end"/>
            </w:r>
            <w:r w:rsidRPr="00D37774">
              <w:rPr>
                <w:rFonts w:eastAsia="楷体"/>
              </w:rPr>
              <w:t xml:space="preserve">  </w:t>
            </w:r>
            <w:r w:rsidR="003B4DF9" w:rsidRPr="003B4DF9">
              <w:rPr>
                <w:rFonts w:eastAsia="楷体" w:hint="eastAsia"/>
                <w:szCs w:val="21"/>
              </w:rPr>
              <w:t>欧美炼油厂开工率</w:t>
            </w:r>
            <w:bookmarkEnd w:id="107"/>
            <w:r w:rsidR="003B4DF9" w:rsidRPr="003B4DF9">
              <w:rPr>
                <w:rFonts w:eastAsia="楷体" w:hint="eastAsia"/>
                <w:szCs w:val="21"/>
              </w:rPr>
              <w:t>回落</w:t>
            </w:r>
            <w:bookmarkEnd w:id="108"/>
          </w:p>
          <w:p w14:paraId="5918E996" w14:textId="77777777" w:rsidR="003B4DF9" w:rsidRPr="003B4DF9" w:rsidRDefault="003B4DF9" w:rsidP="003B4DF9">
            <w:pPr>
              <w:keepNext/>
              <w:snapToGrid w:val="0"/>
              <w:spacing w:line="240" w:lineRule="auto"/>
              <w:ind w:firstLineChars="0" w:firstLine="0"/>
              <w:jc w:val="center"/>
              <w:rPr>
                <w:rFonts w:eastAsia="楷体"/>
                <w:b/>
                <w:sz w:val="21"/>
                <w:szCs w:val="21"/>
                <w:lang w:eastAsia="zh-CN" w:bidi="ar-SA"/>
              </w:rPr>
            </w:pPr>
            <w:r w:rsidRPr="003B4DF9">
              <w:rPr>
                <w:rFonts w:eastAsia="宋体"/>
                <w:noProof/>
                <w:sz w:val="21"/>
                <w:szCs w:val="22"/>
                <w:lang w:eastAsia="zh-CN" w:bidi="ar-SA"/>
              </w:rPr>
              <w:drawing>
                <wp:inline distT="0" distB="0" distL="0" distR="0" wp14:anchorId="5DE4456F" wp14:editId="6C0524D4">
                  <wp:extent cx="3056890" cy="2565400"/>
                  <wp:effectExtent l="0" t="0" r="0" b="6350"/>
                  <wp:docPr id="64026755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2BC5F211" w14:textId="77777777" w:rsidR="003B4DF9" w:rsidRPr="003B4DF9" w:rsidRDefault="003B4DF9" w:rsidP="003B4DF9">
            <w:pPr>
              <w:spacing w:line="240" w:lineRule="auto"/>
              <w:ind w:firstLine="560"/>
              <w:rPr>
                <w:rFonts w:eastAsia="宋体"/>
                <w:sz w:val="28"/>
                <w:szCs w:val="28"/>
                <w:lang w:eastAsia="zh-CN" w:bidi="ar-SA"/>
              </w:rPr>
            </w:pPr>
          </w:p>
        </w:tc>
        <w:tc>
          <w:tcPr>
            <w:tcW w:w="5060" w:type="dxa"/>
            <w:gridSpan w:val="2"/>
            <w:vAlign w:val="center"/>
          </w:tcPr>
          <w:p w14:paraId="63E43018" w14:textId="391AB3DE" w:rsidR="003B4DF9" w:rsidRPr="003B4DF9" w:rsidRDefault="00D37774" w:rsidP="00D37774">
            <w:pPr>
              <w:pStyle w:val="a4"/>
              <w:rPr>
                <w:rFonts w:eastAsia="楷体"/>
                <w:szCs w:val="21"/>
              </w:rPr>
            </w:pPr>
            <w:bookmarkStart w:id="109" w:name="_Toc148372467"/>
            <w:bookmarkStart w:id="110" w:name="_Toc196399456"/>
            <w:r w:rsidRPr="00D37774">
              <w:rPr>
                <w:rFonts w:hint="eastAsia"/>
              </w:rPr>
              <w:lastRenderedPageBreak/>
              <w:t xml:space="preserve">图表 </w:t>
            </w:r>
            <w:r w:rsidRPr="00D37774">
              <w:rPr>
                <w:rFonts w:hint="eastAsia"/>
              </w:rPr>
              <w:fldChar w:fldCharType="begin"/>
            </w:r>
            <w:r w:rsidRPr="00D37774">
              <w:rPr>
                <w:rFonts w:hint="eastAsia"/>
              </w:rPr>
              <w:instrText xml:space="preserve"> SEQ 图表 \* ARABIC </w:instrText>
            </w:r>
            <w:r w:rsidRPr="00D37774">
              <w:rPr>
                <w:rFonts w:hint="eastAsia"/>
              </w:rPr>
              <w:fldChar w:fldCharType="separate"/>
            </w:r>
            <w:r w:rsidR="00530ED7">
              <w:rPr>
                <w:rFonts w:hint="eastAsia"/>
                <w:noProof/>
              </w:rPr>
              <w:t>45</w:t>
            </w:r>
            <w:r w:rsidRPr="00D37774">
              <w:rPr>
                <w:rFonts w:hint="eastAsia"/>
              </w:rPr>
              <w:fldChar w:fldCharType="end"/>
            </w:r>
            <w:r w:rsidRPr="00D37774">
              <w:t xml:space="preserve">  </w:t>
            </w:r>
            <w:r w:rsidR="003B4DF9" w:rsidRPr="003B4DF9">
              <w:rPr>
                <w:rFonts w:eastAsia="楷体" w:hint="eastAsia"/>
                <w:szCs w:val="21"/>
              </w:rPr>
              <w:t>美国商业原油库存</w:t>
            </w:r>
            <w:bookmarkEnd w:id="109"/>
            <w:r w:rsidR="003B4DF9" w:rsidRPr="003B4DF9">
              <w:rPr>
                <w:rFonts w:eastAsia="楷体" w:hint="eastAsia"/>
                <w:szCs w:val="21"/>
              </w:rPr>
              <w:t>近期净增长为主</w:t>
            </w:r>
            <w:bookmarkEnd w:id="110"/>
          </w:p>
          <w:p w14:paraId="4415F238" w14:textId="77777777" w:rsidR="003B4DF9" w:rsidRPr="003B4DF9" w:rsidRDefault="003B4DF9" w:rsidP="003B4DF9">
            <w:pPr>
              <w:keepNext/>
              <w:snapToGrid w:val="0"/>
              <w:spacing w:line="240" w:lineRule="auto"/>
              <w:ind w:firstLineChars="0" w:firstLine="0"/>
              <w:jc w:val="center"/>
              <w:rPr>
                <w:rFonts w:eastAsia="楷体"/>
                <w:b/>
                <w:sz w:val="21"/>
                <w:szCs w:val="21"/>
                <w:lang w:eastAsia="zh-CN" w:bidi="ar-SA"/>
              </w:rPr>
            </w:pPr>
            <w:r w:rsidRPr="003B4DF9">
              <w:rPr>
                <w:rFonts w:eastAsia="宋体"/>
                <w:noProof/>
                <w:sz w:val="21"/>
                <w:szCs w:val="22"/>
                <w:lang w:eastAsia="zh-CN" w:bidi="ar-SA"/>
              </w:rPr>
              <w:drawing>
                <wp:inline distT="0" distB="0" distL="0" distR="0" wp14:anchorId="1216D682" wp14:editId="1C62D5EC">
                  <wp:extent cx="3075940" cy="2047875"/>
                  <wp:effectExtent l="0" t="0" r="0" b="9525"/>
                  <wp:docPr id="42739254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18FA1E98" w14:textId="77777777" w:rsidR="003B4DF9" w:rsidRPr="003B4DF9" w:rsidRDefault="003B4DF9" w:rsidP="003B4DF9">
            <w:pPr>
              <w:spacing w:line="240" w:lineRule="auto"/>
              <w:ind w:firstLine="560"/>
              <w:rPr>
                <w:rFonts w:eastAsia="宋体"/>
                <w:sz w:val="28"/>
                <w:szCs w:val="28"/>
                <w:lang w:eastAsia="zh-CN" w:bidi="ar-SA"/>
              </w:rPr>
            </w:pPr>
          </w:p>
        </w:tc>
      </w:tr>
      <w:tr w:rsidR="003B4DF9" w:rsidRPr="003B4DF9" w14:paraId="33761C11" w14:textId="77777777" w:rsidTr="00D72849">
        <w:trPr>
          <w:trHeight w:val="671"/>
        </w:trPr>
        <w:tc>
          <w:tcPr>
            <w:tcW w:w="5197" w:type="dxa"/>
            <w:gridSpan w:val="2"/>
            <w:vAlign w:val="center"/>
          </w:tcPr>
          <w:p w14:paraId="64C4DAC5" w14:textId="2C996D53" w:rsidR="003B4DF9" w:rsidRPr="003B4DF9" w:rsidRDefault="00D37774" w:rsidP="00D37774">
            <w:pPr>
              <w:pStyle w:val="a4"/>
              <w:rPr>
                <w:rFonts w:eastAsia="楷体"/>
                <w:szCs w:val="21"/>
              </w:rPr>
            </w:pPr>
            <w:bookmarkStart w:id="111" w:name="_Toc148372468"/>
            <w:bookmarkStart w:id="112" w:name="_Toc196399457"/>
            <w:r w:rsidRPr="00D37774">
              <w:rPr>
                <w:rFonts w:hint="eastAsia"/>
              </w:rPr>
              <w:lastRenderedPageBreak/>
              <w:t xml:space="preserve">图表 </w:t>
            </w:r>
            <w:r w:rsidRPr="00D37774">
              <w:rPr>
                <w:rFonts w:hint="eastAsia"/>
              </w:rPr>
              <w:fldChar w:fldCharType="begin"/>
            </w:r>
            <w:r w:rsidRPr="00D37774">
              <w:rPr>
                <w:rFonts w:hint="eastAsia"/>
              </w:rPr>
              <w:instrText xml:space="preserve"> SEQ 图表 \* ARABIC </w:instrText>
            </w:r>
            <w:r w:rsidRPr="00D37774">
              <w:rPr>
                <w:rFonts w:hint="eastAsia"/>
              </w:rPr>
              <w:fldChar w:fldCharType="separate"/>
            </w:r>
            <w:r w:rsidR="00530ED7">
              <w:rPr>
                <w:rFonts w:hint="eastAsia"/>
                <w:noProof/>
              </w:rPr>
              <w:t>46</w:t>
            </w:r>
            <w:r w:rsidRPr="00D37774">
              <w:rPr>
                <w:rFonts w:hint="eastAsia"/>
              </w:rPr>
              <w:fldChar w:fldCharType="end"/>
            </w:r>
            <w:bookmarkEnd w:id="111"/>
            <w:r w:rsidR="003B4DF9" w:rsidRPr="003B4DF9">
              <w:rPr>
                <w:rFonts w:eastAsia="楷体" w:hint="eastAsia"/>
                <w:szCs w:val="21"/>
              </w:rPr>
              <w:t xml:space="preserve"> </w:t>
            </w:r>
            <w:r w:rsidR="003B4DF9" w:rsidRPr="003B4DF9">
              <w:rPr>
                <w:rFonts w:hint="eastAsia"/>
                <w:szCs w:val="22"/>
              </w:rPr>
              <w:t xml:space="preserve"> </w:t>
            </w:r>
            <w:r w:rsidR="003B4DF9" w:rsidRPr="003B4DF9">
              <w:rPr>
                <w:rFonts w:eastAsia="楷体" w:hint="eastAsia"/>
                <w:szCs w:val="21"/>
              </w:rPr>
              <w:t>LME</w:t>
            </w:r>
            <w:r w:rsidR="003B4DF9" w:rsidRPr="003B4DF9">
              <w:rPr>
                <w:rFonts w:eastAsia="楷体" w:hint="eastAsia"/>
                <w:szCs w:val="21"/>
              </w:rPr>
              <w:t>铜铝价格先涨后跌</w:t>
            </w:r>
            <w:bookmarkEnd w:id="112"/>
          </w:p>
          <w:p w14:paraId="6F09A290" w14:textId="77777777" w:rsidR="003B4DF9" w:rsidRPr="003B4DF9" w:rsidRDefault="003B4DF9" w:rsidP="003B4DF9">
            <w:pPr>
              <w:spacing w:line="240" w:lineRule="auto"/>
              <w:ind w:firstLineChars="0" w:firstLine="0"/>
              <w:jc w:val="center"/>
              <w:rPr>
                <w:rFonts w:eastAsia="宋体"/>
                <w:bCs/>
                <w:lang w:eastAsia="zh-CN"/>
              </w:rPr>
            </w:pPr>
            <w:r w:rsidRPr="003B4DF9">
              <w:rPr>
                <w:rFonts w:eastAsia="宋体"/>
                <w:noProof/>
                <w:sz w:val="21"/>
                <w:szCs w:val="22"/>
                <w:lang w:eastAsia="zh-CN" w:bidi="ar-SA"/>
              </w:rPr>
              <w:drawing>
                <wp:inline distT="0" distB="0" distL="0" distR="0" wp14:anchorId="75EEEEB1" wp14:editId="16B590C9">
                  <wp:extent cx="3014345" cy="2294890"/>
                  <wp:effectExtent l="0" t="0" r="0" b="10160"/>
                  <wp:docPr id="1995099955" name="图表 1995099955"/>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5FAE56D6" w14:textId="77777777" w:rsidR="003B4DF9" w:rsidRPr="003B4DF9" w:rsidRDefault="003B4DF9" w:rsidP="003B4DF9">
            <w:pPr>
              <w:spacing w:line="240" w:lineRule="auto"/>
              <w:ind w:firstLineChars="0" w:firstLine="0"/>
              <w:jc w:val="center"/>
              <w:rPr>
                <w:rFonts w:eastAsia="宋体"/>
                <w:bCs/>
                <w:lang w:eastAsia="zh-CN"/>
              </w:rPr>
            </w:pPr>
          </w:p>
        </w:tc>
        <w:tc>
          <w:tcPr>
            <w:tcW w:w="4893" w:type="dxa"/>
            <w:vAlign w:val="center"/>
          </w:tcPr>
          <w:p w14:paraId="3E463891" w14:textId="65CF4D30" w:rsidR="003B4DF9" w:rsidRPr="003B4DF9" w:rsidRDefault="00D37774" w:rsidP="00D37774">
            <w:pPr>
              <w:pStyle w:val="a4"/>
              <w:rPr>
                <w:rFonts w:eastAsia="楷体"/>
                <w:szCs w:val="21"/>
              </w:rPr>
            </w:pPr>
            <w:bookmarkStart w:id="113" w:name="_Toc148372469"/>
            <w:bookmarkStart w:id="114" w:name="_Toc196399458"/>
            <w:r w:rsidRPr="00D37774">
              <w:rPr>
                <w:rFonts w:hint="eastAsia"/>
              </w:rPr>
              <w:t xml:space="preserve">图表 </w:t>
            </w:r>
            <w:r w:rsidRPr="00D37774">
              <w:rPr>
                <w:rFonts w:hint="eastAsia"/>
              </w:rPr>
              <w:fldChar w:fldCharType="begin"/>
            </w:r>
            <w:r w:rsidRPr="00D37774">
              <w:rPr>
                <w:rFonts w:hint="eastAsia"/>
              </w:rPr>
              <w:instrText xml:space="preserve"> SEQ 图表 \* ARABIC </w:instrText>
            </w:r>
            <w:r w:rsidRPr="00D37774">
              <w:rPr>
                <w:rFonts w:hint="eastAsia"/>
              </w:rPr>
              <w:fldChar w:fldCharType="separate"/>
            </w:r>
            <w:r w:rsidR="00530ED7">
              <w:rPr>
                <w:rFonts w:hint="eastAsia"/>
                <w:noProof/>
              </w:rPr>
              <w:t>47</w:t>
            </w:r>
            <w:r w:rsidRPr="00D37774">
              <w:rPr>
                <w:rFonts w:hint="eastAsia"/>
              </w:rPr>
              <w:fldChar w:fldCharType="end"/>
            </w:r>
            <w:bookmarkEnd w:id="113"/>
            <w:r w:rsidRPr="00D37774">
              <w:t xml:space="preserve">  </w:t>
            </w:r>
            <w:r w:rsidR="003B4DF9" w:rsidRPr="003B4DF9">
              <w:rPr>
                <w:rFonts w:eastAsia="楷体" w:hint="eastAsia"/>
                <w:szCs w:val="21"/>
              </w:rPr>
              <w:t>全球铜库存压力缓解</w:t>
            </w:r>
            <w:bookmarkEnd w:id="114"/>
          </w:p>
          <w:p w14:paraId="26F4F0F0" w14:textId="77777777" w:rsidR="003B4DF9" w:rsidRPr="003B4DF9" w:rsidRDefault="003B4DF9" w:rsidP="003B4DF9">
            <w:pPr>
              <w:spacing w:line="240" w:lineRule="auto"/>
              <w:ind w:firstLineChars="0" w:firstLine="0"/>
              <w:jc w:val="center"/>
              <w:rPr>
                <w:rFonts w:eastAsia="宋体"/>
                <w:bCs/>
                <w:lang w:eastAsia="zh-CN"/>
              </w:rPr>
            </w:pPr>
            <w:r w:rsidRPr="003B4DF9">
              <w:rPr>
                <w:rFonts w:eastAsia="宋体"/>
                <w:noProof/>
                <w:sz w:val="21"/>
                <w:szCs w:val="22"/>
                <w:lang w:eastAsia="zh-CN" w:bidi="ar-SA"/>
              </w:rPr>
              <w:drawing>
                <wp:inline distT="0" distB="0" distL="0" distR="0" wp14:anchorId="62CEFF4D" wp14:editId="4E801E86">
                  <wp:extent cx="3018790" cy="2625090"/>
                  <wp:effectExtent l="0" t="0" r="0" b="3810"/>
                  <wp:docPr id="121326058" name="图表 121326058"/>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1DCBEDFF" w14:textId="77777777" w:rsidR="003B4DF9" w:rsidRPr="003B4DF9" w:rsidRDefault="003B4DF9" w:rsidP="003B4DF9">
            <w:pPr>
              <w:spacing w:line="240" w:lineRule="auto"/>
              <w:ind w:firstLineChars="0" w:firstLine="0"/>
              <w:jc w:val="center"/>
              <w:rPr>
                <w:rFonts w:eastAsia="宋体"/>
                <w:bCs/>
                <w:lang w:eastAsia="zh-CN"/>
              </w:rPr>
            </w:pPr>
          </w:p>
        </w:tc>
      </w:tr>
    </w:tbl>
    <w:p w14:paraId="551F7624" w14:textId="6E0C516E" w:rsidR="003B4DF9" w:rsidRPr="003B4DF9" w:rsidRDefault="003B4DF9" w:rsidP="001D737A">
      <w:pPr>
        <w:ind w:firstLineChars="0" w:firstLine="0"/>
        <w:rPr>
          <w:rFonts w:eastAsia="宋体"/>
        </w:rPr>
      </w:pPr>
      <w:bookmarkStart w:id="115" w:name="_Toc148372470"/>
    </w:p>
    <w:tbl>
      <w:tblPr>
        <w:tblpPr w:leftFromText="181" w:rightFromText="181" w:vertAnchor="text" w:horzAnchor="page" w:tblpX="1084" w:tblpY="12"/>
        <w:tblOverlap w:val="never"/>
        <w:tblW w:w="10090" w:type="dxa"/>
        <w:tblLayout w:type="fixed"/>
        <w:tblLook w:val="04A0" w:firstRow="1" w:lastRow="0" w:firstColumn="1" w:lastColumn="0" w:noHBand="0" w:noVBand="1"/>
      </w:tblPr>
      <w:tblGrid>
        <w:gridCol w:w="2298"/>
        <w:gridCol w:w="340"/>
        <w:gridCol w:w="7452"/>
      </w:tblGrid>
      <w:tr w:rsidR="003B4DF9" w:rsidRPr="003B4DF9" w14:paraId="411546B0" w14:textId="77777777" w:rsidTr="00D72849">
        <w:trPr>
          <w:trHeight w:val="283"/>
        </w:trPr>
        <w:tc>
          <w:tcPr>
            <w:tcW w:w="10090" w:type="dxa"/>
            <w:gridSpan w:val="3"/>
            <w:vAlign w:val="center"/>
          </w:tcPr>
          <w:p w14:paraId="3304253C" w14:textId="039CF38D" w:rsidR="003B4DF9" w:rsidRPr="003B4DF9" w:rsidRDefault="00D37774" w:rsidP="00D37774">
            <w:pPr>
              <w:pStyle w:val="a4"/>
              <w:rPr>
                <w:rFonts w:eastAsia="楷体"/>
                <w:szCs w:val="21"/>
              </w:rPr>
            </w:pPr>
            <w:bookmarkStart w:id="116" w:name="_Toc196399459"/>
            <w:r w:rsidRPr="00D37774">
              <w:rPr>
                <w:rFonts w:hint="eastAsia"/>
              </w:rPr>
              <w:t xml:space="preserve">图表 </w:t>
            </w:r>
            <w:r w:rsidRPr="00D37774">
              <w:rPr>
                <w:rFonts w:hint="eastAsia"/>
              </w:rPr>
              <w:fldChar w:fldCharType="begin"/>
            </w:r>
            <w:r w:rsidRPr="00D37774">
              <w:rPr>
                <w:rFonts w:hint="eastAsia"/>
              </w:rPr>
              <w:instrText xml:space="preserve"> SEQ 图表 \* ARABIC </w:instrText>
            </w:r>
            <w:r w:rsidRPr="00D37774">
              <w:rPr>
                <w:rFonts w:hint="eastAsia"/>
              </w:rPr>
              <w:fldChar w:fldCharType="separate"/>
            </w:r>
            <w:r w:rsidR="00530ED7">
              <w:rPr>
                <w:rFonts w:hint="eastAsia"/>
                <w:noProof/>
              </w:rPr>
              <w:t>48</w:t>
            </w:r>
            <w:r w:rsidRPr="00D37774">
              <w:rPr>
                <w:rFonts w:hint="eastAsia"/>
              </w:rPr>
              <w:fldChar w:fldCharType="end"/>
            </w:r>
            <w:bookmarkEnd w:id="115"/>
            <w:r w:rsidRPr="00D37774">
              <w:rPr>
                <w:rFonts w:eastAsia="楷体"/>
                <w:szCs w:val="21"/>
              </w:rPr>
              <w:t xml:space="preserve">  </w:t>
            </w:r>
            <w:r w:rsidR="003B4DF9" w:rsidRPr="003B4DF9">
              <w:rPr>
                <w:rFonts w:eastAsia="楷体" w:hint="eastAsia"/>
                <w:szCs w:val="21"/>
              </w:rPr>
              <w:t>国际铁矿石价格先涨后跌</w:t>
            </w:r>
            <w:bookmarkEnd w:id="116"/>
          </w:p>
        </w:tc>
      </w:tr>
      <w:tr w:rsidR="003B4DF9" w:rsidRPr="003B4DF9" w14:paraId="68EFD982" w14:textId="77777777" w:rsidTr="00D72849">
        <w:trPr>
          <w:trHeight w:val="671"/>
        </w:trPr>
        <w:tc>
          <w:tcPr>
            <w:tcW w:w="10090" w:type="dxa"/>
            <w:gridSpan w:val="3"/>
            <w:vAlign w:val="center"/>
          </w:tcPr>
          <w:p w14:paraId="6845AA3F" w14:textId="77777777" w:rsidR="003B4DF9" w:rsidRPr="003B4DF9" w:rsidRDefault="003B4DF9" w:rsidP="003B4DF9">
            <w:pPr>
              <w:ind w:firstLineChars="0" w:firstLine="0"/>
              <w:jc w:val="center"/>
              <w:rPr>
                <w:rFonts w:eastAsia="宋体"/>
                <w:lang w:eastAsia="zh-CN"/>
              </w:rPr>
            </w:pPr>
            <w:r w:rsidRPr="003B4DF9">
              <w:rPr>
                <w:rFonts w:eastAsia="宋体"/>
                <w:noProof/>
                <w:sz w:val="21"/>
                <w:szCs w:val="22"/>
                <w:lang w:eastAsia="zh-CN" w:bidi="ar-SA"/>
              </w:rPr>
              <w:drawing>
                <wp:inline distT="0" distB="0" distL="0" distR="0" wp14:anchorId="3BE1AFF2" wp14:editId="241FDAAA">
                  <wp:extent cx="5151665" cy="2743200"/>
                  <wp:effectExtent l="0" t="0" r="0" b="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53A12AB2" w14:textId="77777777" w:rsidR="003B4DF9" w:rsidRPr="003B4DF9" w:rsidRDefault="003B4DF9" w:rsidP="003B4DF9">
            <w:pPr>
              <w:spacing w:line="240" w:lineRule="auto"/>
              <w:ind w:firstLineChars="0" w:firstLine="0"/>
              <w:jc w:val="center"/>
              <w:rPr>
                <w:rFonts w:eastAsia="宋体"/>
                <w:lang w:eastAsia="zh-CN"/>
              </w:rPr>
            </w:pPr>
          </w:p>
        </w:tc>
      </w:tr>
      <w:tr w:rsidR="003B4DF9" w:rsidRPr="003B4DF9" w14:paraId="0C0055EC" w14:textId="77777777" w:rsidTr="00D72849">
        <w:trPr>
          <w:trHeight w:val="510"/>
        </w:trPr>
        <w:tc>
          <w:tcPr>
            <w:tcW w:w="2298" w:type="dxa"/>
          </w:tcPr>
          <w:p w14:paraId="5478512D" w14:textId="77777777" w:rsidR="003B4DF9" w:rsidRPr="003B4DF9" w:rsidRDefault="003B4DF9" w:rsidP="003B4DF9">
            <w:pPr>
              <w:ind w:firstLineChars="0" w:firstLine="0"/>
              <w:rPr>
                <w:rFonts w:eastAsia="楷体"/>
                <w:b/>
                <w:szCs w:val="28"/>
                <w:lang w:eastAsia="zh-CN"/>
              </w:rPr>
            </w:pPr>
          </w:p>
          <w:p w14:paraId="26CF1C57" w14:textId="77777777" w:rsidR="003B4DF9" w:rsidRPr="003B4DF9" w:rsidRDefault="003B4DF9" w:rsidP="003B4DF9">
            <w:pPr>
              <w:ind w:firstLineChars="0" w:firstLine="0"/>
              <w:rPr>
                <w:rFonts w:eastAsia="楷体"/>
                <w:b/>
                <w:szCs w:val="28"/>
                <w:lang w:eastAsia="zh-CN"/>
              </w:rPr>
            </w:pPr>
            <w:r w:rsidRPr="003B4DF9">
              <w:rPr>
                <w:rFonts w:eastAsia="楷体"/>
                <w:b/>
                <w:szCs w:val="28"/>
                <w:lang w:eastAsia="zh-CN"/>
              </w:rPr>
              <w:t>1</w:t>
            </w:r>
            <w:r w:rsidRPr="003B4DF9">
              <w:rPr>
                <w:rFonts w:eastAsia="楷体"/>
                <w:b/>
                <w:szCs w:val="28"/>
                <w:lang w:eastAsia="zh-CN"/>
              </w:rPr>
              <w:t>季度</w:t>
            </w:r>
            <w:r w:rsidRPr="003B4DF9">
              <w:rPr>
                <w:rFonts w:eastAsia="楷体" w:hint="eastAsia"/>
                <w:b/>
                <w:szCs w:val="28"/>
                <w:lang w:eastAsia="zh-CN"/>
              </w:rPr>
              <w:t>金属价格先涨后跌。整体来看，铜强于铝，铝强于铁矿石，体现</w:t>
            </w:r>
            <w:r w:rsidRPr="003B4DF9">
              <w:rPr>
                <w:rFonts w:eastAsia="楷体" w:hint="eastAsia"/>
                <w:b/>
                <w:szCs w:val="28"/>
                <w:lang w:eastAsia="zh-CN"/>
              </w:rPr>
              <w:lastRenderedPageBreak/>
              <w:t>了经济转型对金属品种需求结构的影响。</w:t>
            </w:r>
          </w:p>
        </w:tc>
        <w:tc>
          <w:tcPr>
            <w:tcW w:w="340" w:type="dxa"/>
          </w:tcPr>
          <w:p w14:paraId="727F0C25" w14:textId="77777777" w:rsidR="003B4DF9" w:rsidRPr="003B4DF9" w:rsidRDefault="003B4DF9" w:rsidP="003B4DF9">
            <w:pPr>
              <w:keepNext/>
              <w:spacing w:line="240" w:lineRule="auto"/>
              <w:ind w:firstLineChars="0" w:firstLine="0"/>
              <w:jc w:val="center"/>
              <w:rPr>
                <w:rFonts w:eastAsia="楷体"/>
                <w:b/>
                <w:sz w:val="21"/>
                <w:szCs w:val="21"/>
                <w:lang w:eastAsia="zh-CN" w:bidi="ar-SA"/>
              </w:rPr>
            </w:pPr>
          </w:p>
        </w:tc>
        <w:tc>
          <w:tcPr>
            <w:tcW w:w="7452" w:type="dxa"/>
          </w:tcPr>
          <w:p w14:paraId="0F01DFC8" w14:textId="77777777" w:rsidR="003B4DF9" w:rsidRPr="003B4DF9" w:rsidRDefault="003B4DF9" w:rsidP="003B4DF9">
            <w:pPr>
              <w:ind w:firstLine="480"/>
              <w:rPr>
                <w:rFonts w:eastAsia="宋体"/>
                <w:lang w:eastAsia="zh-CN"/>
              </w:rPr>
            </w:pPr>
            <w:r w:rsidRPr="003B4DF9">
              <w:rPr>
                <w:rFonts w:eastAsia="宋体" w:hint="eastAsia"/>
                <w:lang w:eastAsia="zh-CN"/>
              </w:rPr>
              <w:t>2025</w:t>
            </w:r>
            <w:r w:rsidRPr="003B4DF9">
              <w:rPr>
                <w:rFonts w:eastAsia="宋体" w:hint="eastAsia"/>
                <w:lang w:eastAsia="zh-CN"/>
              </w:rPr>
              <w:t>年第一季度，全球金属市场呈现先涨后跌的价格走势。</w:t>
            </w:r>
            <w:r w:rsidRPr="003B4DF9">
              <w:rPr>
                <w:rFonts w:eastAsia="宋体" w:hint="eastAsia"/>
                <w:lang w:eastAsia="zh-CN"/>
              </w:rPr>
              <w:t>1-2</w:t>
            </w:r>
            <w:r w:rsidRPr="003B4DF9">
              <w:rPr>
                <w:rFonts w:eastAsia="宋体" w:hint="eastAsia"/>
                <w:lang w:eastAsia="zh-CN"/>
              </w:rPr>
              <w:t>月全球基础设施投资与制造业稳定运行，叠加中国积极政策信号，为金属消费提供底部支撑，主要金属品种延续</w:t>
            </w:r>
            <w:r w:rsidRPr="003B4DF9">
              <w:rPr>
                <w:rFonts w:eastAsia="宋体" w:hint="eastAsia"/>
                <w:lang w:eastAsia="zh-CN"/>
              </w:rPr>
              <w:t>2024</w:t>
            </w:r>
            <w:r w:rsidRPr="003B4DF9">
              <w:rPr>
                <w:rFonts w:eastAsia="宋体" w:hint="eastAsia"/>
                <w:lang w:eastAsia="zh-CN"/>
              </w:rPr>
              <w:t>年末的复苏态势，但</w:t>
            </w:r>
            <w:r w:rsidRPr="003B4DF9">
              <w:rPr>
                <w:rFonts w:eastAsia="宋体" w:hint="eastAsia"/>
                <w:lang w:eastAsia="zh-CN"/>
              </w:rPr>
              <w:t>3</w:t>
            </w:r>
            <w:r w:rsidRPr="003B4DF9">
              <w:rPr>
                <w:rFonts w:eastAsia="宋体" w:hint="eastAsia"/>
                <w:lang w:eastAsia="zh-CN"/>
              </w:rPr>
              <w:t>月最后两周出现断崖式下跌，截至</w:t>
            </w:r>
            <w:r w:rsidRPr="003B4DF9">
              <w:rPr>
                <w:rFonts w:eastAsia="宋体" w:hint="eastAsia"/>
                <w:lang w:eastAsia="zh-CN"/>
              </w:rPr>
              <w:t>4</w:t>
            </w:r>
            <w:r w:rsidRPr="003B4DF9">
              <w:rPr>
                <w:rFonts w:eastAsia="宋体" w:hint="eastAsia"/>
                <w:lang w:eastAsia="zh-CN"/>
              </w:rPr>
              <w:t>月</w:t>
            </w:r>
            <w:r w:rsidRPr="003B4DF9">
              <w:rPr>
                <w:rFonts w:eastAsia="宋体" w:hint="eastAsia"/>
                <w:lang w:eastAsia="zh-CN"/>
              </w:rPr>
              <w:t>4</w:t>
            </w:r>
            <w:r w:rsidRPr="003B4DF9">
              <w:rPr>
                <w:rFonts w:eastAsia="宋体" w:hint="eastAsia"/>
                <w:lang w:eastAsia="zh-CN"/>
              </w:rPr>
              <w:t>日，</w:t>
            </w:r>
            <w:r w:rsidRPr="003B4DF9">
              <w:rPr>
                <w:rFonts w:eastAsia="宋体" w:hint="eastAsia"/>
                <w:lang w:eastAsia="zh-CN"/>
              </w:rPr>
              <w:t>LME</w:t>
            </w:r>
            <w:r w:rsidRPr="003B4DF9">
              <w:rPr>
                <w:rFonts w:eastAsia="宋体" w:hint="eastAsia"/>
                <w:lang w:eastAsia="zh-CN"/>
              </w:rPr>
              <w:t>铜和铝的两周内跌幅达到</w:t>
            </w:r>
            <w:r w:rsidRPr="003B4DF9">
              <w:rPr>
                <w:rFonts w:eastAsia="宋体" w:hint="eastAsia"/>
                <w:lang w:eastAsia="zh-CN"/>
              </w:rPr>
              <w:t>9.41%</w:t>
            </w:r>
            <w:r w:rsidRPr="003B4DF9">
              <w:rPr>
                <w:rFonts w:eastAsia="宋体" w:hint="eastAsia"/>
                <w:lang w:eastAsia="zh-CN"/>
              </w:rPr>
              <w:t>和</w:t>
            </w:r>
            <w:r w:rsidRPr="003B4DF9">
              <w:rPr>
                <w:rFonts w:eastAsia="宋体" w:hint="eastAsia"/>
                <w:lang w:eastAsia="zh-CN"/>
              </w:rPr>
              <w:t>13.24%</w:t>
            </w:r>
            <w:r w:rsidRPr="003B4DF9">
              <w:rPr>
                <w:rFonts w:eastAsia="宋体" w:hint="eastAsia"/>
                <w:lang w:eastAsia="zh-CN"/>
              </w:rPr>
              <w:t>，铁矿石单周最大跌幅达</w:t>
            </w:r>
            <w:r w:rsidRPr="003B4DF9">
              <w:rPr>
                <w:rFonts w:eastAsia="宋体" w:hint="eastAsia"/>
                <w:lang w:eastAsia="zh-CN"/>
              </w:rPr>
              <w:t>5.8%</w:t>
            </w:r>
            <w:r w:rsidRPr="003B4DF9">
              <w:rPr>
                <w:rFonts w:eastAsia="宋体" w:hint="eastAsia"/>
                <w:lang w:eastAsia="zh-CN"/>
              </w:rPr>
              <w:t>。</w:t>
            </w:r>
          </w:p>
          <w:p w14:paraId="55F2A457" w14:textId="7C4ED9BF" w:rsidR="003B4DF9" w:rsidRPr="003B4DF9" w:rsidRDefault="003B4DF9" w:rsidP="003B4DF9">
            <w:pPr>
              <w:ind w:firstLine="480"/>
              <w:rPr>
                <w:rFonts w:eastAsia="宋体"/>
                <w:lang w:eastAsia="zh-CN"/>
              </w:rPr>
            </w:pPr>
            <w:r w:rsidRPr="003B4DF9">
              <w:rPr>
                <w:rFonts w:eastAsia="宋体" w:hint="eastAsia"/>
                <w:lang w:eastAsia="zh-CN"/>
              </w:rPr>
              <w:lastRenderedPageBreak/>
              <w:t>铜价震荡走强，除供给扰动因素外，更是宏观与产业转型叠加的结果。具体来看，南美地区供应端风险持续发酵，导致铜矿现货加工费（</w:t>
            </w:r>
            <w:r w:rsidRPr="003B4DF9">
              <w:rPr>
                <w:rFonts w:eastAsia="宋体" w:hint="eastAsia"/>
                <w:lang w:eastAsia="zh-CN"/>
              </w:rPr>
              <w:t>TC</w:t>
            </w:r>
            <w:r w:rsidRPr="003B4DF9">
              <w:rPr>
                <w:rFonts w:eastAsia="宋体" w:hint="eastAsia"/>
                <w:lang w:eastAsia="zh-CN"/>
              </w:rPr>
              <w:t>）持续下行，</w:t>
            </w:r>
            <w:r w:rsidRPr="003B4DF9">
              <w:rPr>
                <w:rFonts w:eastAsia="宋体" w:hint="eastAsia"/>
                <w:lang w:eastAsia="zh-CN"/>
              </w:rPr>
              <w:t>1</w:t>
            </w:r>
            <w:r w:rsidRPr="003B4DF9">
              <w:rPr>
                <w:rFonts w:eastAsia="宋体" w:hint="eastAsia"/>
                <w:lang w:eastAsia="zh-CN"/>
              </w:rPr>
              <w:t>季度末已降至负</w:t>
            </w:r>
            <w:r w:rsidRPr="003B4DF9">
              <w:rPr>
                <w:rFonts w:eastAsia="宋体" w:hint="eastAsia"/>
                <w:lang w:eastAsia="zh-CN"/>
              </w:rPr>
              <w:t>24</w:t>
            </w:r>
            <w:r w:rsidRPr="003B4DF9">
              <w:rPr>
                <w:rFonts w:eastAsia="宋体" w:hint="eastAsia"/>
                <w:lang w:eastAsia="zh-CN"/>
              </w:rPr>
              <w:t>美元，凸显原料市场供应紧张态势；与此同时，中国政策底部逐步明朗，财政扩张与</w:t>
            </w:r>
            <w:r w:rsidR="00E017BB">
              <w:rPr>
                <w:rFonts w:eastAsia="宋体" w:hint="eastAsia"/>
                <w:lang w:eastAsia="zh-CN"/>
              </w:rPr>
              <w:t>“</w:t>
            </w:r>
            <w:r w:rsidRPr="003B4DF9">
              <w:rPr>
                <w:rFonts w:eastAsia="宋体" w:hint="eastAsia"/>
                <w:lang w:eastAsia="zh-CN"/>
              </w:rPr>
              <w:t>新基建</w:t>
            </w:r>
            <w:r w:rsidR="004551C6">
              <w:rPr>
                <w:rFonts w:eastAsia="宋体" w:hint="eastAsia"/>
                <w:lang w:eastAsia="zh-CN"/>
              </w:rPr>
              <w:t>”</w:t>
            </w:r>
            <w:r w:rsidRPr="003B4DF9">
              <w:rPr>
                <w:rFonts w:eastAsia="宋体" w:hint="eastAsia"/>
                <w:lang w:eastAsia="zh-CN"/>
              </w:rPr>
              <w:t>项目加速落地，推动电网建设、储能设施及风光发电等铜密集型投资稳步推进，为铜价提供有力支撑。</w:t>
            </w:r>
            <w:r w:rsidRPr="003B4DF9">
              <w:rPr>
                <w:rFonts w:eastAsia="宋体" w:hint="eastAsia"/>
                <w:lang w:eastAsia="zh-CN"/>
              </w:rPr>
              <w:t>1</w:t>
            </w:r>
            <w:r w:rsidRPr="003B4DF9">
              <w:rPr>
                <w:rFonts w:eastAsia="宋体" w:hint="eastAsia"/>
                <w:lang w:eastAsia="zh-CN"/>
              </w:rPr>
              <w:t>季度美国制造业呈现结构性复苏特征，新能源汽车、航空航天、半导体及基础设施建设四大产业构成核心驱动力。电池制造和芯片制造环节推动铜需求增长。</w:t>
            </w:r>
          </w:p>
          <w:p w14:paraId="58978FA5" w14:textId="77777777" w:rsidR="003B4DF9" w:rsidRPr="003B4DF9" w:rsidRDefault="003B4DF9" w:rsidP="003B4DF9">
            <w:pPr>
              <w:ind w:firstLine="480"/>
              <w:rPr>
                <w:rFonts w:eastAsia="宋体"/>
                <w:lang w:eastAsia="zh-CN"/>
              </w:rPr>
            </w:pPr>
            <w:r w:rsidRPr="003B4DF9">
              <w:rPr>
                <w:rFonts w:eastAsia="宋体" w:hint="eastAsia"/>
                <w:lang w:eastAsia="zh-CN"/>
              </w:rPr>
              <w:t>铝价波动凸显中国经济复苏结构性分化。从供给端看，氧化铝价格大幅回调</w:t>
            </w:r>
            <w:r w:rsidRPr="003B4DF9">
              <w:rPr>
                <w:rFonts w:eastAsia="宋体" w:hint="eastAsia"/>
                <w:lang w:eastAsia="zh-CN"/>
              </w:rPr>
              <w:t>43.6%</w:t>
            </w:r>
            <w:r w:rsidRPr="003B4DF9">
              <w:rPr>
                <w:rFonts w:eastAsia="宋体" w:hint="eastAsia"/>
                <w:lang w:eastAsia="zh-CN"/>
              </w:rPr>
              <w:t>至</w:t>
            </w:r>
            <w:r w:rsidRPr="003B4DF9">
              <w:rPr>
                <w:rFonts w:eastAsia="宋体" w:hint="eastAsia"/>
                <w:lang w:eastAsia="zh-CN"/>
              </w:rPr>
              <w:t>3160</w:t>
            </w:r>
            <w:r w:rsidRPr="003B4DF9">
              <w:rPr>
                <w:rFonts w:eastAsia="宋体" w:hint="eastAsia"/>
                <w:lang w:eastAsia="zh-CN"/>
              </w:rPr>
              <w:t>元</w:t>
            </w:r>
            <w:r w:rsidRPr="003B4DF9">
              <w:rPr>
                <w:rFonts w:eastAsia="宋体" w:hint="eastAsia"/>
                <w:lang w:eastAsia="zh-CN"/>
              </w:rPr>
              <w:t>/</w:t>
            </w:r>
            <w:r w:rsidRPr="003B4DF9">
              <w:rPr>
                <w:rFonts w:eastAsia="宋体" w:hint="eastAsia"/>
                <w:lang w:eastAsia="zh-CN"/>
              </w:rPr>
              <w:t>吨，显著改善电解铝企业盈利空间。国内需求端则呈现明显分化：制造业与出口表现相对稳健，但房地产竣工面积同比下降</w:t>
            </w:r>
            <w:r w:rsidRPr="003B4DF9">
              <w:rPr>
                <w:rFonts w:eastAsia="宋体" w:hint="eastAsia"/>
                <w:lang w:eastAsia="zh-CN"/>
              </w:rPr>
              <w:t>15.6%</w:t>
            </w:r>
            <w:r w:rsidRPr="003B4DF9">
              <w:rPr>
                <w:rFonts w:eastAsia="宋体" w:hint="eastAsia"/>
                <w:lang w:eastAsia="zh-CN"/>
              </w:rPr>
              <w:t>（</w:t>
            </w:r>
            <w:r w:rsidRPr="003B4DF9">
              <w:rPr>
                <w:rFonts w:eastAsia="宋体" w:hint="eastAsia"/>
                <w:lang w:eastAsia="zh-CN"/>
              </w:rPr>
              <w:t>2</w:t>
            </w:r>
            <w:r w:rsidRPr="003B4DF9">
              <w:rPr>
                <w:rFonts w:eastAsia="宋体" w:hint="eastAsia"/>
                <w:lang w:eastAsia="zh-CN"/>
              </w:rPr>
              <w:t>月），建筑铝型材需求同比下滑，而新能源汽车产量则保持强劲增长，累计同比增幅达</w:t>
            </w:r>
            <w:r w:rsidRPr="003B4DF9">
              <w:rPr>
                <w:rFonts w:eastAsia="宋体" w:hint="eastAsia"/>
                <w:lang w:eastAsia="zh-CN"/>
              </w:rPr>
              <w:t>47.7%</w:t>
            </w:r>
            <w:r w:rsidRPr="003B4DF9">
              <w:rPr>
                <w:rFonts w:eastAsia="宋体" w:hint="eastAsia"/>
                <w:lang w:eastAsia="zh-CN"/>
              </w:rPr>
              <w:t>。国际方面，新能源汽车产业是美国政策支持力度最大的领域，随着《清洁能源法案》和《新能源汽车补贴计划》的实施，电动汽车市场份额按照</w:t>
            </w:r>
            <w:r w:rsidRPr="003B4DF9">
              <w:rPr>
                <w:rFonts w:eastAsia="宋体" w:hint="eastAsia"/>
                <w:lang w:eastAsia="zh-CN"/>
              </w:rPr>
              <w:t>7%-8%</w:t>
            </w:r>
            <w:r w:rsidRPr="003B4DF9">
              <w:rPr>
                <w:rFonts w:eastAsia="宋体" w:hint="eastAsia"/>
                <w:lang w:eastAsia="zh-CN"/>
              </w:rPr>
              <w:t>的季度增长</w:t>
            </w:r>
            <w:r w:rsidRPr="003B4DF9">
              <w:rPr>
                <w:rFonts w:eastAsia="宋体" w:hint="eastAsia"/>
                <w:lang w:eastAsia="zh-CN"/>
              </w:rPr>
              <w:t xml:space="preserve"> </w:t>
            </w:r>
            <w:r w:rsidRPr="003B4DF9">
              <w:rPr>
                <w:rFonts w:eastAsia="宋体" w:hint="eastAsia"/>
                <w:lang w:eastAsia="zh-CN"/>
              </w:rPr>
              <w:t>，宝马在</w:t>
            </w:r>
            <w:r w:rsidRPr="003B4DF9">
              <w:rPr>
                <w:rFonts w:eastAsia="宋体" w:hint="eastAsia"/>
                <w:lang w:eastAsia="zh-CN"/>
              </w:rPr>
              <w:t>1</w:t>
            </w:r>
            <w:r w:rsidRPr="003B4DF9">
              <w:rPr>
                <w:rFonts w:eastAsia="宋体" w:hint="eastAsia"/>
                <w:lang w:eastAsia="zh-CN"/>
              </w:rPr>
              <w:t>季度交付的电动汽车数量增长了</w:t>
            </w:r>
            <w:r w:rsidRPr="003B4DF9">
              <w:rPr>
                <w:rFonts w:eastAsia="宋体" w:hint="eastAsia"/>
                <w:lang w:eastAsia="zh-CN"/>
              </w:rPr>
              <w:t xml:space="preserve">26.4% </w:t>
            </w:r>
            <w:r w:rsidRPr="003B4DF9">
              <w:rPr>
                <w:rFonts w:eastAsia="宋体" w:hint="eastAsia"/>
                <w:lang w:eastAsia="zh-CN"/>
              </w:rPr>
              <w:t>。</w:t>
            </w:r>
          </w:p>
          <w:p w14:paraId="496E9850" w14:textId="6C2E2FF5" w:rsidR="003B4DF9" w:rsidRPr="003B4DF9" w:rsidRDefault="003B4DF9" w:rsidP="003B4DF9">
            <w:pPr>
              <w:ind w:firstLine="480"/>
              <w:rPr>
                <w:rFonts w:eastAsia="宋体"/>
                <w:lang w:eastAsia="zh-CN"/>
              </w:rPr>
            </w:pPr>
            <w:r w:rsidRPr="003B4DF9">
              <w:rPr>
                <w:rFonts w:eastAsia="宋体" w:hint="eastAsia"/>
                <w:lang w:eastAsia="zh-CN"/>
              </w:rPr>
              <w:t>铁矿石价格走势体现了其政策属性和实体需求的博弈。市场对政策预期反应灵敏，但实际效果存在时滞，导致价格呈现</w:t>
            </w:r>
            <w:r w:rsidR="004551C6">
              <w:rPr>
                <w:rFonts w:eastAsia="宋体" w:hint="eastAsia"/>
                <w:lang w:eastAsia="zh-CN"/>
              </w:rPr>
              <w:t>“</w:t>
            </w:r>
            <w:r w:rsidRPr="003B4DF9">
              <w:rPr>
                <w:rFonts w:eastAsia="宋体" w:hint="eastAsia"/>
                <w:lang w:eastAsia="zh-CN"/>
              </w:rPr>
              <w:t>先扬后抑</w:t>
            </w:r>
            <w:r w:rsidR="004551C6">
              <w:rPr>
                <w:rFonts w:eastAsia="宋体" w:hint="eastAsia"/>
                <w:lang w:eastAsia="zh-CN"/>
              </w:rPr>
              <w:t>”</w:t>
            </w:r>
            <w:r w:rsidRPr="003B4DF9">
              <w:rPr>
                <w:rFonts w:eastAsia="宋体" w:hint="eastAsia"/>
                <w:lang w:eastAsia="zh-CN"/>
              </w:rPr>
              <w:t>的走势。一季度数据显示，澳洲与巴西铁矿石发运量保持稳健增长，四大矿山周度发运量回升至</w:t>
            </w:r>
            <w:r w:rsidRPr="003B4DF9">
              <w:rPr>
                <w:rFonts w:eastAsia="宋体" w:hint="eastAsia"/>
                <w:lang w:eastAsia="zh-CN"/>
              </w:rPr>
              <w:t>1360</w:t>
            </w:r>
            <w:r w:rsidRPr="003B4DF9">
              <w:rPr>
                <w:rFonts w:eastAsia="宋体" w:hint="eastAsia"/>
                <w:lang w:eastAsia="zh-CN"/>
              </w:rPr>
              <w:t>万吨水平。作为全球最大消费市场，中国的上游港口铁矿石库存持续累积；中游钢厂盈利率回落至</w:t>
            </w:r>
            <w:r w:rsidRPr="003B4DF9">
              <w:rPr>
                <w:rFonts w:eastAsia="宋体" w:hint="eastAsia"/>
                <w:lang w:eastAsia="zh-CN"/>
              </w:rPr>
              <w:t>51.12%</w:t>
            </w:r>
            <w:r w:rsidRPr="003B4DF9">
              <w:rPr>
                <w:rFonts w:eastAsia="宋体" w:hint="eastAsia"/>
                <w:lang w:eastAsia="zh-CN"/>
              </w:rPr>
              <w:t>（季度均值，环比下降</w:t>
            </w:r>
            <w:r w:rsidRPr="003B4DF9">
              <w:rPr>
                <w:rFonts w:eastAsia="宋体" w:hint="eastAsia"/>
                <w:lang w:eastAsia="zh-CN"/>
              </w:rPr>
              <w:t>8.9%</w:t>
            </w:r>
            <w:r w:rsidRPr="003B4DF9">
              <w:rPr>
                <w:rFonts w:eastAsia="宋体" w:hint="eastAsia"/>
                <w:lang w:eastAsia="zh-CN"/>
              </w:rPr>
              <w:t>），</w:t>
            </w:r>
            <w:r w:rsidRPr="003B4DF9">
              <w:rPr>
                <w:rFonts w:eastAsia="宋体" w:hint="eastAsia"/>
                <w:lang w:eastAsia="zh-CN"/>
              </w:rPr>
              <w:t>247</w:t>
            </w:r>
            <w:r w:rsidRPr="003B4DF9">
              <w:rPr>
                <w:rFonts w:eastAsia="宋体" w:hint="eastAsia"/>
                <w:lang w:eastAsia="zh-CN"/>
              </w:rPr>
              <w:t>家样本钢厂日均铁水产量为</w:t>
            </w:r>
            <w:r w:rsidRPr="003B4DF9">
              <w:rPr>
                <w:rFonts w:eastAsia="宋体" w:hint="eastAsia"/>
                <w:lang w:eastAsia="zh-CN"/>
              </w:rPr>
              <w:t>228</w:t>
            </w:r>
            <w:r w:rsidRPr="003B4DF9">
              <w:rPr>
                <w:rFonts w:eastAsia="宋体" w:hint="eastAsia"/>
                <w:lang w:eastAsia="zh-CN"/>
              </w:rPr>
              <w:t>万吨（季度均值，同比减少</w:t>
            </w:r>
            <w:r w:rsidRPr="003B4DF9">
              <w:rPr>
                <w:rFonts w:eastAsia="宋体" w:hint="eastAsia"/>
                <w:lang w:eastAsia="zh-CN"/>
              </w:rPr>
              <w:t>3.0%</w:t>
            </w:r>
            <w:r w:rsidRPr="003B4DF9">
              <w:rPr>
                <w:rFonts w:eastAsia="宋体" w:hint="eastAsia"/>
                <w:lang w:eastAsia="zh-CN"/>
              </w:rPr>
              <w:t>），企业主动减产以缓解库存压力；下游需求呈现分化，基建需求增长难以抵消建筑需求下滑：</w:t>
            </w:r>
            <w:r w:rsidRPr="003B4DF9">
              <w:rPr>
                <w:rFonts w:eastAsia="宋体" w:hint="eastAsia"/>
                <w:lang w:eastAsia="zh-CN"/>
              </w:rPr>
              <w:t>2</w:t>
            </w:r>
            <w:r w:rsidRPr="003B4DF9">
              <w:rPr>
                <w:rFonts w:eastAsia="宋体" w:hint="eastAsia"/>
                <w:lang w:eastAsia="zh-CN"/>
              </w:rPr>
              <w:t>月数据显示，房地产行业仍处于深度调整期（房屋新开工面积累计同比下降</w:t>
            </w:r>
            <w:r w:rsidRPr="003B4DF9">
              <w:rPr>
                <w:rFonts w:eastAsia="宋体" w:hint="eastAsia"/>
                <w:lang w:eastAsia="zh-CN"/>
              </w:rPr>
              <w:t>29.6%</w:t>
            </w:r>
            <w:r w:rsidRPr="003B4DF9">
              <w:rPr>
                <w:rFonts w:eastAsia="宋体" w:hint="eastAsia"/>
                <w:lang w:eastAsia="zh-CN"/>
              </w:rPr>
              <w:t>），固定资产投资完成额</w:t>
            </w:r>
            <w:r w:rsidRPr="003B4DF9">
              <w:rPr>
                <w:rFonts w:eastAsia="宋体" w:hint="eastAsia"/>
                <w:lang w:eastAsia="zh-CN"/>
              </w:rPr>
              <w:t>:</w:t>
            </w:r>
            <w:r w:rsidRPr="003B4DF9">
              <w:rPr>
                <w:rFonts w:eastAsia="宋体" w:hint="eastAsia"/>
                <w:lang w:eastAsia="zh-CN"/>
              </w:rPr>
              <w:t>基础设施建设投资累计同比增长</w:t>
            </w:r>
            <w:r w:rsidRPr="003B4DF9">
              <w:rPr>
                <w:rFonts w:eastAsia="宋体" w:hint="eastAsia"/>
                <w:lang w:eastAsia="zh-CN"/>
              </w:rPr>
              <w:t>5.6%</w:t>
            </w:r>
            <w:r w:rsidRPr="003B4DF9">
              <w:rPr>
                <w:rFonts w:eastAsia="宋体" w:hint="eastAsia"/>
                <w:lang w:eastAsia="zh-CN"/>
              </w:rPr>
              <w:t>。</w:t>
            </w:r>
          </w:p>
          <w:p w14:paraId="32D61A11" w14:textId="77777777" w:rsidR="003B4DF9" w:rsidRPr="003B4DF9" w:rsidRDefault="003B4DF9" w:rsidP="003B4DF9">
            <w:pPr>
              <w:ind w:firstLine="480"/>
              <w:rPr>
                <w:rFonts w:eastAsia="宋体"/>
                <w:lang w:eastAsia="zh-CN"/>
              </w:rPr>
            </w:pPr>
            <w:r w:rsidRPr="003B4DF9">
              <w:rPr>
                <w:rFonts w:eastAsia="宋体" w:hint="eastAsia"/>
                <w:lang w:eastAsia="zh-CN"/>
              </w:rPr>
              <w:t>3</w:t>
            </w:r>
            <w:r w:rsidRPr="003B4DF9">
              <w:rPr>
                <w:rFonts w:eastAsia="宋体" w:hint="eastAsia"/>
                <w:lang w:eastAsia="zh-CN"/>
              </w:rPr>
              <w:t>月份的下跌源于多维度宏观冲击的集中爆发。</w:t>
            </w:r>
            <w:r w:rsidRPr="003B4DF9">
              <w:rPr>
                <w:rFonts w:eastAsia="宋体" w:hint="eastAsia"/>
                <w:b/>
                <w:lang w:eastAsia="zh-CN"/>
              </w:rPr>
              <w:t>流动性紧缩预期逆转。</w:t>
            </w:r>
            <w:r w:rsidRPr="003B4DF9">
              <w:rPr>
                <w:rFonts w:eastAsia="宋体" w:hint="eastAsia"/>
                <w:lang w:eastAsia="zh-CN"/>
              </w:rPr>
              <w:t>美联储</w:t>
            </w:r>
            <w:r w:rsidRPr="003B4DF9">
              <w:rPr>
                <w:rFonts w:eastAsia="宋体" w:hint="eastAsia"/>
                <w:lang w:eastAsia="zh-CN"/>
              </w:rPr>
              <w:t>3</w:t>
            </w:r>
            <w:r w:rsidRPr="003B4DF9">
              <w:rPr>
                <w:rFonts w:eastAsia="宋体" w:hint="eastAsia"/>
                <w:lang w:eastAsia="zh-CN"/>
              </w:rPr>
              <w:t>月议息会议虽放缓缩表节奏（国债赎回上限降至</w:t>
            </w:r>
            <w:r w:rsidRPr="003B4DF9">
              <w:rPr>
                <w:rFonts w:eastAsia="宋体" w:hint="eastAsia"/>
                <w:lang w:eastAsia="zh-CN"/>
              </w:rPr>
              <w:t>50</w:t>
            </w:r>
            <w:r w:rsidRPr="003B4DF9">
              <w:rPr>
                <w:rFonts w:eastAsia="宋体" w:hint="eastAsia"/>
                <w:lang w:eastAsia="zh-CN"/>
              </w:rPr>
              <w:lastRenderedPageBreak/>
              <w:t>亿美元），但维持</w:t>
            </w:r>
            <w:r w:rsidRPr="003B4DF9">
              <w:rPr>
                <w:rFonts w:eastAsia="宋体" w:hint="eastAsia"/>
                <w:lang w:eastAsia="zh-CN"/>
              </w:rPr>
              <w:t>4.25%-4.5%</w:t>
            </w:r>
            <w:r w:rsidRPr="003B4DF9">
              <w:rPr>
                <w:rFonts w:eastAsia="宋体" w:hint="eastAsia"/>
                <w:lang w:eastAsia="zh-CN"/>
              </w:rPr>
              <w:t>的利率走廊。市场对政策转向的预期落空，美元指数单周跳升</w:t>
            </w:r>
            <w:r w:rsidRPr="003B4DF9">
              <w:rPr>
                <w:rFonts w:eastAsia="宋体" w:hint="eastAsia"/>
                <w:lang w:eastAsia="zh-CN"/>
              </w:rPr>
              <w:t>2.1%</w:t>
            </w:r>
            <w:r w:rsidRPr="003B4DF9">
              <w:rPr>
                <w:rFonts w:eastAsia="宋体" w:hint="eastAsia"/>
                <w:lang w:eastAsia="zh-CN"/>
              </w:rPr>
              <w:t>，</w:t>
            </w:r>
            <w:r w:rsidRPr="003B4DF9">
              <w:rPr>
                <w:rFonts w:eastAsia="宋体" w:hint="eastAsia"/>
                <w:lang w:eastAsia="zh-CN"/>
              </w:rPr>
              <w:t>LME</w:t>
            </w:r>
            <w:r w:rsidRPr="003B4DF9">
              <w:rPr>
                <w:rFonts w:eastAsia="宋体" w:hint="eastAsia"/>
                <w:lang w:eastAsia="zh-CN"/>
              </w:rPr>
              <w:t>铜价与美元指数的负相关性在</w:t>
            </w:r>
            <w:r w:rsidRPr="003B4DF9">
              <w:rPr>
                <w:rFonts w:eastAsia="宋体" w:hint="eastAsia"/>
                <w:lang w:eastAsia="zh-CN"/>
              </w:rPr>
              <w:t>3</w:t>
            </w:r>
            <w:r w:rsidRPr="003B4DF9">
              <w:rPr>
                <w:rFonts w:eastAsia="宋体" w:hint="eastAsia"/>
                <w:lang w:eastAsia="zh-CN"/>
              </w:rPr>
              <w:t>月最后两周达到</w:t>
            </w:r>
            <w:r w:rsidRPr="003B4DF9">
              <w:rPr>
                <w:rFonts w:eastAsia="宋体" w:hint="eastAsia"/>
                <w:lang w:eastAsia="zh-CN"/>
              </w:rPr>
              <w:t>-0.87</w:t>
            </w:r>
            <w:r w:rsidRPr="003B4DF9">
              <w:rPr>
                <w:rFonts w:eastAsia="宋体" w:hint="eastAsia"/>
                <w:lang w:eastAsia="zh-CN"/>
              </w:rPr>
              <w:t>。</w:t>
            </w:r>
            <w:r w:rsidRPr="003B4DF9">
              <w:rPr>
                <w:rFonts w:eastAsia="宋体" w:hint="eastAsia"/>
                <w:b/>
                <w:lang w:eastAsia="zh-CN"/>
              </w:rPr>
              <w:t>主要经济体经济数据不佳。</w:t>
            </w:r>
            <w:r w:rsidRPr="003B4DF9">
              <w:rPr>
                <w:rFonts w:eastAsia="宋体" w:hint="eastAsia"/>
                <w:lang w:eastAsia="zh-CN"/>
              </w:rPr>
              <w:t>美国</w:t>
            </w:r>
            <w:r w:rsidRPr="003B4DF9">
              <w:rPr>
                <w:rFonts w:eastAsia="宋体" w:hint="eastAsia"/>
                <w:lang w:eastAsia="zh-CN"/>
              </w:rPr>
              <w:t>3</w:t>
            </w:r>
            <w:r w:rsidRPr="003B4DF9">
              <w:rPr>
                <w:rFonts w:eastAsia="宋体" w:hint="eastAsia"/>
                <w:lang w:eastAsia="zh-CN"/>
              </w:rPr>
              <w:t>月制造业再次陷入萎缩，中国尽管政策预期仍推升价格，但</w:t>
            </w:r>
            <w:r w:rsidRPr="003B4DF9">
              <w:rPr>
                <w:rFonts w:eastAsia="宋体" w:hint="eastAsia"/>
                <w:lang w:eastAsia="zh-CN"/>
              </w:rPr>
              <w:t>1-2</w:t>
            </w:r>
            <w:r w:rsidRPr="003B4DF9">
              <w:rPr>
                <w:rFonts w:eastAsia="宋体" w:hint="eastAsia"/>
                <w:lang w:eastAsia="zh-CN"/>
              </w:rPr>
              <w:t>月基建投资增速</w:t>
            </w:r>
            <w:r w:rsidRPr="003B4DF9">
              <w:rPr>
                <w:rFonts w:eastAsia="宋体" w:hint="eastAsia"/>
                <w:lang w:eastAsia="zh-CN"/>
              </w:rPr>
              <w:t>5.6%</w:t>
            </w:r>
            <w:r w:rsidRPr="003B4DF9">
              <w:rPr>
                <w:rFonts w:eastAsia="宋体" w:hint="eastAsia"/>
                <w:lang w:eastAsia="zh-CN"/>
              </w:rPr>
              <w:t>未能有效对冲房地产新开工面积</w:t>
            </w:r>
            <w:r w:rsidRPr="003B4DF9">
              <w:rPr>
                <w:rFonts w:eastAsia="宋体" w:hint="eastAsia"/>
                <w:lang w:eastAsia="zh-CN"/>
              </w:rPr>
              <w:t>-29.6%</w:t>
            </w:r>
            <w:r w:rsidRPr="003B4DF9">
              <w:rPr>
                <w:rFonts w:eastAsia="宋体" w:hint="eastAsia"/>
                <w:lang w:eastAsia="zh-CN"/>
              </w:rPr>
              <w:t>的下滑。这一矛盾在</w:t>
            </w:r>
            <w:r w:rsidRPr="003B4DF9">
              <w:rPr>
                <w:rFonts w:eastAsia="宋体" w:hint="eastAsia"/>
                <w:lang w:eastAsia="zh-CN"/>
              </w:rPr>
              <w:t>3</w:t>
            </w:r>
            <w:r w:rsidRPr="003B4DF9">
              <w:rPr>
                <w:rFonts w:eastAsia="宋体" w:hint="eastAsia"/>
                <w:lang w:eastAsia="zh-CN"/>
              </w:rPr>
              <w:t>月集中显现：建筑钢材表观消费量同比减少</w:t>
            </w:r>
            <w:r w:rsidRPr="003B4DF9">
              <w:rPr>
                <w:rFonts w:eastAsia="宋体" w:hint="eastAsia"/>
                <w:lang w:eastAsia="zh-CN"/>
              </w:rPr>
              <w:t>18%</w:t>
            </w:r>
            <w:r w:rsidRPr="003B4DF9">
              <w:rPr>
                <w:rFonts w:eastAsia="宋体" w:hint="eastAsia"/>
                <w:lang w:eastAsia="zh-CN"/>
              </w:rPr>
              <w:t>，螺纹钢库存创同期新高。上游传导效应显著，铁矿石港口库存突破</w:t>
            </w:r>
            <w:r w:rsidRPr="003B4DF9">
              <w:rPr>
                <w:rFonts w:eastAsia="宋体" w:hint="eastAsia"/>
                <w:lang w:eastAsia="zh-CN"/>
              </w:rPr>
              <w:t>1.53</w:t>
            </w:r>
            <w:r w:rsidRPr="003B4DF9">
              <w:rPr>
                <w:rFonts w:eastAsia="宋体" w:hint="eastAsia"/>
                <w:lang w:eastAsia="zh-CN"/>
              </w:rPr>
              <w:t>亿吨，铝型材加工企业开工率较</w:t>
            </w:r>
            <w:r w:rsidRPr="003B4DF9">
              <w:rPr>
                <w:rFonts w:eastAsia="宋体" w:hint="eastAsia"/>
                <w:lang w:eastAsia="zh-CN"/>
              </w:rPr>
              <w:t>2024</w:t>
            </w:r>
            <w:r w:rsidRPr="003B4DF9">
              <w:rPr>
                <w:rFonts w:eastAsia="宋体" w:hint="eastAsia"/>
                <w:lang w:eastAsia="zh-CN"/>
              </w:rPr>
              <w:t>年同期下降</w:t>
            </w:r>
            <w:r w:rsidRPr="003B4DF9">
              <w:rPr>
                <w:rFonts w:eastAsia="宋体" w:hint="eastAsia"/>
                <w:lang w:eastAsia="zh-CN"/>
              </w:rPr>
              <w:t>7.3</w:t>
            </w:r>
            <w:r w:rsidRPr="003B4DF9">
              <w:rPr>
                <w:rFonts w:eastAsia="宋体" w:hint="eastAsia"/>
                <w:lang w:eastAsia="zh-CN"/>
              </w:rPr>
              <w:t>个百分点。</w:t>
            </w:r>
            <w:r w:rsidRPr="003B4DF9">
              <w:rPr>
                <w:rFonts w:eastAsia="宋体" w:hint="eastAsia"/>
                <w:b/>
                <w:lang w:eastAsia="zh-CN"/>
              </w:rPr>
              <w:t>欧盟产业政策和美国关税政策冲击。</w:t>
            </w:r>
            <w:r w:rsidRPr="003B4DF9">
              <w:rPr>
                <w:rFonts w:eastAsia="宋体" w:hint="eastAsia"/>
                <w:lang w:eastAsia="zh-CN"/>
              </w:rPr>
              <w:t>3</w:t>
            </w:r>
            <w:r w:rsidRPr="003B4DF9">
              <w:rPr>
                <w:rFonts w:eastAsia="宋体" w:hint="eastAsia"/>
                <w:lang w:eastAsia="zh-CN"/>
              </w:rPr>
              <w:t>月</w:t>
            </w:r>
            <w:r w:rsidRPr="003B4DF9">
              <w:rPr>
                <w:rFonts w:eastAsia="宋体" w:hint="eastAsia"/>
                <w:lang w:eastAsia="zh-CN"/>
              </w:rPr>
              <w:t>20</w:t>
            </w:r>
            <w:r w:rsidRPr="003B4DF9">
              <w:rPr>
                <w:rFonts w:eastAsia="宋体" w:hint="eastAsia"/>
                <w:lang w:eastAsia="zh-CN"/>
              </w:rPr>
              <w:t>日欧盟委员会宣布钢铁保障措施升级，自</w:t>
            </w:r>
            <w:r w:rsidRPr="003B4DF9">
              <w:rPr>
                <w:rFonts w:eastAsia="宋体" w:hint="eastAsia"/>
                <w:lang w:eastAsia="zh-CN"/>
              </w:rPr>
              <w:t>4</w:t>
            </w:r>
            <w:r w:rsidRPr="003B4DF9">
              <w:rPr>
                <w:rFonts w:eastAsia="宋体" w:hint="eastAsia"/>
                <w:lang w:eastAsia="zh-CN"/>
              </w:rPr>
              <w:t>月</w:t>
            </w:r>
            <w:r w:rsidRPr="003B4DF9">
              <w:rPr>
                <w:rFonts w:eastAsia="宋体" w:hint="eastAsia"/>
                <w:lang w:eastAsia="zh-CN"/>
              </w:rPr>
              <w:t>1</w:t>
            </w:r>
            <w:r w:rsidRPr="003B4DF9">
              <w:rPr>
                <w:rFonts w:eastAsia="宋体" w:hint="eastAsia"/>
                <w:lang w:eastAsia="zh-CN"/>
              </w:rPr>
              <w:t>日起超配额部分关税上调至</w:t>
            </w:r>
            <w:r w:rsidRPr="003B4DF9">
              <w:rPr>
                <w:rFonts w:eastAsia="宋体" w:hint="eastAsia"/>
                <w:lang w:eastAsia="zh-CN"/>
              </w:rPr>
              <w:t>25%</w:t>
            </w:r>
            <w:r w:rsidRPr="003B4DF9">
              <w:rPr>
                <w:rFonts w:eastAsia="宋体" w:hint="eastAsia"/>
                <w:lang w:eastAsia="zh-CN"/>
              </w:rPr>
              <w:t>，引发连锁反应。中国热轧卷板出口报价单周下跌</w:t>
            </w:r>
            <w:r w:rsidRPr="003B4DF9">
              <w:rPr>
                <w:rFonts w:eastAsia="宋体" w:hint="eastAsia"/>
                <w:lang w:eastAsia="zh-CN"/>
              </w:rPr>
              <w:t>45</w:t>
            </w:r>
            <w:r w:rsidRPr="003B4DF9">
              <w:rPr>
                <w:rFonts w:eastAsia="宋体" w:hint="eastAsia"/>
                <w:lang w:eastAsia="zh-CN"/>
              </w:rPr>
              <w:t>美元</w:t>
            </w:r>
            <w:r w:rsidRPr="003B4DF9">
              <w:rPr>
                <w:rFonts w:eastAsia="宋体" w:hint="eastAsia"/>
                <w:lang w:eastAsia="zh-CN"/>
              </w:rPr>
              <w:t>/</w:t>
            </w:r>
            <w:r w:rsidRPr="003B4DF9">
              <w:rPr>
                <w:rFonts w:eastAsia="宋体" w:hint="eastAsia"/>
                <w:lang w:eastAsia="zh-CN"/>
              </w:rPr>
              <w:t>吨，钢厂被迫削减原料库存周转天数，铁矿石采购量环比下降</w:t>
            </w:r>
            <w:r w:rsidRPr="003B4DF9">
              <w:rPr>
                <w:rFonts w:eastAsia="宋体" w:hint="eastAsia"/>
                <w:lang w:eastAsia="zh-CN"/>
              </w:rPr>
              <w:t>23%</w:t>
            </w:r>
            <w:r w:rsidRPr="003B4DF9">
              <w:rPr>
                <w:rFonts w:eastAsia="宋体" w:hint="eastAsia"/>
                <w:lang w:eastAsia="zh-CN"/>
              </w:rPr>
              <w:t>。</w:t>
            </w:r>
          </w:p>
          <w:p w14:paraId="5AB2D252" w14:textId="55F0ED69" w:rsidR="003B4DF9" w:rsidRPr="003B4DF9" w:rsidRDefault="003B4DF9" w:rsidP="003B4DF9">
            <w:pPr>
              <w:ind w:firstLine="480"/>
              <w:rPr>
                <w:rFonts w:eastAsia="宋体"/>
                <w:lang w:eastAsia="zh-CN"/>
              </w:rPr>
            </w:pPr>
            <w:r w:rsidRPr="003B4DF9">
              <w:rPr>
                <w:rFonts w:eastAsia="宋体" w:hint="eastAsia"/>
                <w:lang w:eastAsia="zh-CN"/>
              </w:rPr>
              <w:t>1</w:t>
            </w:r>
            <w:r w:rsidRPr="003B4DF9">
              <w:rPr>
                <w:rFonts w:eastAsia="宋体" w:hint="eastAsia"/>
                <w:lang w:eastAsia="zh-CN"/>
              </w:rPr>
              <w:t>季度金属需求结构释放出向“新质生产力”过渡的信号。铜方面，需求增长聚焦新产业基建（特高压电网、</w:t>
            </w:r>
            <w:r w:rsidRPr="003B4DF9">
              <w:rPr>
                <w:rFonts w:eastAsia="宋体" w:hint="eastAsia"/>
                <w:lang w:eastAsia="zh-CN"/>
              </w:rPr>
              <w:t>AI</w:t>
            </w:r>
            <w:r w:rsidRPr="003B4DF9">
              <w:rPr>
                <w:rFonts w:eastAsia="宋体" w:hint="eastAsia"/>
                <w:lang w:eastAsia="zh-CN"/>
              </w:rPr>
              <w:t>数据中心）和新能源设备。中国</w:t>
            </w:r>
            <w:r w:rsidRPr="003B4DF9">
              <w:rPr>
                <w:rFonts w:eastAsia="宋体" w:hint="eastAsia"/>
                <w:lang w:eastAsia="zh-CN"/>
              </w:rPr>
              <w:t>1-2</w:t>
            </w:r>
            <w:r w:rsidRPr="003B4DF9">
              <w:rPr>
                <w:rFonts w:eastAsia="宋体" w:hint="eastAsia"/>
                <w:lang w:eastAsia="zh-CN"/>
              </w:rPr>
              <w:t>月电网投资同比增长</w:t>
            </w:r>
            <w:r w:rsidRPr="003B4DF9">
              <w:rPr>
                <w:rFonts w:eastAsia="宋体" w:hint="eastAsia"/>
                <w:lang w:eastAsia="zh-CN"/>
              </w:rPr>
              <w:t>33.3%</w:t>
            </w:r>
            <w:r w:rsidRPr="003B4DF9">
              <w:rPr>
                <w:rFonts w:eastAsia="宋体" w:hint="eastAsia"/>
                <w:lang w:eastAsia="zh-CN"/>
              </w:rPr>
              <w:t>，国家电网截至</w:t>
            </w:r>
            <w:r w:rsidRPr="003B4DF9">
              <w:rPr>
                <w:rFonts w:eastAsia="宋体" w:hint="eastAsia"/>
                <w:lang w:eastAsia="zh-CN"/>
              </w:rPr>
              <w:t>3</w:t>
            </w:r>
            <w:r w:rsidRPr="003B4DF9">
              <w:rPr>
                <w:rFonts w:eastAsia="宋体" w:hint="eastAsia"/>
                <w:lang w:eastAsia="zh-CN"/>
              </w:rPr>
              <w:t>月底电网投资同比增长</w:t>
            </w:r>
            <w:r w:rsidRPr="003B4DF9">
              <w:rPr>
                <w:rFonts w:eastAsia="宋体" w:hint="eastAsia"/>
                <w:lang w:eastAsia="zh-CN"/>
              </w:rPr>
              <w:t>27.7%</w:t>
            </w:r>
            <w:r w:rsidRPr="003B4DF9">
              <w:rPr>
                <w:rFonts w:eastAsia="宋体" w:hint="eastAsia"/>
                <w:lang w:eastAsia="zh-CN"/>
              </w:rPr>
              <w:t>，创一季度历史新高。</w:t>
            </w:r>
            <w:r w:rsidRPr="003B4DF9">
              <w:rPr>
                <w:rFonts w:eastAsia="宋体" w:hint="eastAsia"/>
                <w:lang w:eastAsia="zh-CN"/>
              </w:rPr>
              <w:t>2025</w:t>
            </w:r>
            <w:r w:rsidRPr="003B4DF9">
              <w:rPr>
                <w:rFonts w:eastAsia="宋体" w:hint="eastAsia"/>
                <w:lang w:eastAsia="zh-CN"/>
              </w:rPr>
              <w:t>年，南方电网的固定资产投资预计达</w:t>
            </w:r>
            <w:r w:rsidRPr="003B4DF9">
              <w:rPr>
                <w:rFonts w:eastAsia="宋体" w:hint="eastAsia"/>
                <w:lang w:eastAsia="zh-CN"/>
              </w:rPr>
              <w:t>1750</w:t>
            </w:r>
            <w:r w:rsidRPr="003B4DF9">
              <w:rPr>
                <w:rFonts w:eastAsia="宋体" w:hint="eastAsia"/>
                <w:lang w:eastAsia="zh-CN"/>
              </w:rPr>
              <w:t>亿元。截至去年底，国家五批次增量</w:t>
            </w:r>
            <w:r w:rsidRPr="003B4DF9">
              <w:rPr>
                <w:rFonts w:eastAsia="宋体" w:hint="eastAsia"/>
                <w:lang w:eastAsia="zh-CN"/>
              </w:rPr>
              <w:t xml:space="preserve">. </w:t>
            </w:r>
            <w:r w:rsidRPr="003B4DF9">
              <w:rPr>
                <w:rFonts w:eastAsia="宋体" w:hint="eastAsia"/>
                <w:lang w:eastAsia="zh-CN"/>
              </w:rPr>
              <w:t>配电试点项目</w:t>
            </w:r>
            <w:r w:rsidRPr="003B4DF9">
              <w:rPr>
                <w:rFonts w:eastAsia="宋体" w:hint="eastAsia"/>
                <w:lang w:eastAsia="zh-CN"/>
              </w:rPr>
              <w:t>459</w:t>
            </w:r>
            <w:r w:rsidRPr="003B4DF9">
              <w:rPr>
                <w:rFonts w:eastAsia="宋体" w:hint="eastAsia"/>
                <w:lang w:eastAsia="zh-CN"/>
              </w:rPr>
              <w:t>个，已有</w:t>
            </w:r>
            <w:r w:rsidRPr="003B4DF9">
              <w:rPr>
                <w:rFonts w:eastAsia="宋体" w:hint="eastAsia"/>
                <w:lang w:eastAsia="zh-CN"/>
              </w:rPr>
              <w:t>331</w:t>
            </w:r>
            <w:r w:rsidRPr="003B4DF9">
              <w:rPr>
                <w:rFonts w:eastAsia="宋体" w:hint="eastAsia"/>
                <w:lang w:eastAsia="zh-CN"/>
              </w:rPr>
              <w:t>个试点项目完成规划，新能源消纳配套工程用铜贡献度增长。特高压项目成为增长亮点，</w:t>
            </w:r>
            <w:r w:rsidR="004551C6" w:rsidRPr="004551C6">
              <w:rPr>
                <w:rFonts w:eastAsia="宋体" w:hint="eastAsia"/>
                <w:lang w:eastAsia="zh-CN"/>
              </w:rPr>
              <w:t>3</w:t>
            </w:r>
            <w:r w:rsidR="004551C6" w:rsidRPr="004551C6">
              <w:rPr>
                <w:rFonts w:eastAsia="宋体" w:hint="eastAsia"/>
                <w:lang w:eastAsia="zh-CN"/>
              </w:rPr>
              <w:t>月中国电网大同—怀来—天津南</w:t>
            </w:r>
            <w:r w:rsidR="004551C6" w:rsidRPr="004551C6">
              <w:rPr>
                <w:rFonts w:eastAsia="宋体" w:hint="eastAsia"/>
                <w:lang w:eastAsia="zh-CN"/>
              </w:rPr>
              <w:t>1000</w:t>
            </w:r>
            <w:r w:rsidR="004551C6" w:rsidRPr="004551C6">
              <w:rPr>
                <w:rFonts w:eastAsia="宋体" w:hint="eastAsia"/>
                <w:lang w:eastAsia="zh-CN"/>
              </w:rPr>
              <w:t>千伏特高压交流工程开工建设</w:t>
            </w:r>
            <w:r w:rsidRPr="003B4DF9">
              <w:rPr>
                <w:rFonts w:eastAsia="宋体" w:hint="eastAsia"/>
                <w:lang w:eastAsia="zh-CN"/>
              </w:rPr>
              <w:t>，陕西至河南特高压、藏粤特高压项目后续也将开工建设</w:t>
            </w:r>
            <w:r w:rsidRPr="003B4DF9">
              <w:rPr>
                <w:rFonts w:eastAsia="宋体" w:hint="eastAsia"/>
                <w:lang w:eastAsia="zh-CN"/>
              </w:rPr>
              <w:t xml:space="preserve"> </w:t>
            </w:r>
            <w:r w:rsidRPr="003B4DF9">
              <w:rPr>
                <w:rFonts w:eastAsia="宋体" w:hint="eastAsia"/>
                <w:lang w:eastAsia="zh-CN"/>
              </w:rPr>
              <w:t>。</w:t>
            </w:r>
            <w:r w:rsidRPr="003B4DF9">
              <w:rPr>
                <w:rFonts w:eastAsia="宋体" w:hint="eastAsia"/>
                <w:lang w:eastAsia="zh-CN"/>
              </w:rPr>
              <w:t>AI</w:t>
            </w:r>
            <w:r w:rsidRPr="003B4DF9">
              <w:rPr>
                <w:rFonts w:eastAsia="宋体" w:hint="eastAsia"/>
                <w:lang w:eastAsia="zh-CN"/>
              </w:rPr>
              <w:t>数据中心建设进入爆发期，</w:t>
            </w:r>
            <w:r w:rsidRPr="003B4DF9">
              <w:rPr>
                <w:rFonts w:eastAsia="宋体" w:hint="eastAsia"/>
                <w:lang w:eastAsia="zh-CN"/>
              </w:rPr>
              <w:t>1</w:t>
            </w:r>
            <w:r w:rsidRPr="003B4DF9">
              <w:rPr>
                <w:rFonts w:eastAsia="宋体" w:hint="eastAsia"/>
                <w:lang w:eastAsia="zh-CN"/>
              </w:rPr>
              <w:t>月，微软计划在</w:t>
            </w:r>
            <w:r w:rsidRPr="003B4DF9">
              <w:rPr>
                <w:rFonts w:eastAsia="宋体" w:hint="eastAsia"/>
                <w:lang w:eastAsia="zh-CN"/>
              </w:rPr>
              <w:t>2025</w:t>
            </w:r>
            <w:r w:rsidRPr="003B4DF9">
              <w:rPr>
                <w:rFonts w:eastAsia="宋体" w:hint="eastAsia"/>
                <w:lang w:eastAsia="zh-CN"/>
              </w:rPr>
              <w:t>财年斥资</w:t>
            </w:r>
            <w:r w:rsidRPr="003B4DF9">
              <w:rPr>
                <w:rFonts w:eastAsia="宋体" w:hint="eastAsia"/>
                <w:lang w:eastAsia="zh-CN"/>
              </w:rPr>
              <w:t>800</w:t>
            </w:r>
            <w:r w:rsidRPr="003B4DF9">
              <w:rPr>
                <w:rFonts w:eastAsia="宋体" w:hint="eastAsia"/>
                <w:lang w:eastAsia="zh-CN"/>
              </w:rPr>
              <w:t>亿美元用于建设</w:t>
            </w:r>
            <w:r w:rsidRPr="003B4DF9">
              <w:rPr>
                <w:rFonts w:eastAsia="宋体" w:hint="eastAsia"/>
                <w:lang w:eastAsia="zh-CN"/>
              </w:rPr>
              <w:t>AI</w:t>
            </w:r>
            <w:r w:rsidRPr="003B4DF9">
              <w:rPr>
                <w:rFonts w:eastAsia="宋体" w:hint="eastAsia"/>
                <w:lang w:eastAsia="zh-CN"/>
              </w:rPr>
              <w:t>数据中心。据彭博社报道，</w:t>
            </w:r>
            <w:r w:rsidRPr="003B4DF9">
              <w:rPr>
                <w:rFonts w:eastAsia="宋体" w:hint="eastAsia"/>
                <w:lang w:eastAsia="zh-CN"/>
              </w:rPr>
              <w:t>2025</w:t>
            </w:r>
            <w:r w:rsidRPr="003B4DF9">
              <w:rPr>
                <w:rFonts w:eastAsia="宋体" w:hint="eastAsia"/>
                <w:lang w:eastAsia="zh-CN"/>
              </w:rPr>
              <w:t>年，包括微软、亚马逊和</w:t>
            </w:r>
            <w:r w:rsidRPr="003B4DF9">
              <w:rPr>
                <w:rFonts w:eastAsia="宋体" w:hint="eastAsia"/>
                <w:lang w:eastAsia="zh-CN"/>
              </w:rPr>
              <w:t>Meta</w:t>
            </w:r>
            <w:r w:rsidRPr="003B4DF9">
              <w:rPr>
                <w:rFonts w:eastAsia="宋体" w:hint="eastAsia"/>
                <w:lang w:eastAsia="zh-CN"/>
              </w:rPr>
              <w:t>在内的超大规模科技公司预计将在</w:t>
            </w:r>
            <w:r w:rsidRPr="003B4DF9">
              <w:rPr>
                <w:rFonts w:eastAsia="宋体" w:hint="eastAsia"/>
                <w:lang w:eastAsia="zh-CN"/>
              </w:rPr>
              <w:t>AI</w:t>
            </w:r>
            <w:r w:rsidRPr="003B4DF9">
              <w:rPr>
                <w:rFonts w:eastAsia="宋体" w:hint="eastAsia"/>
                <w:lang w:eastAsia="zh-CN"/>
              </w:rPr>
              <w:t>数据中心和计算资源上投入</w:t>
            </w:r>
            <w:r w:rsidRPr="003B4DF9">
              <w:rPr>
                <w:rFonts w:eastAsia="宋体" w:hint="eastAsia"/>
                <w:lang w:eastAsia="zh-CN"/>
              </w:rPr>
              <w:t>3710</w:t>
            </w:r>
            <w:r w:rsidRPr="003B4DF9">
              <w:rPr>
                <w:rFonts w:eastAsia="宋体" w:hint="eastAsia"/>
                <w:lang w:eastAsia="zh-CN"/>
              </w:rPr>
              <w:t>亿美元，较前一年增长</w:t>
            </w:r>
            <w:r w:rsidRPr="003B4DF9">
              <w:rPr>
                <w:rFonts w:eastAsia="宋体" w:hint="eastAsia"/>
                <w:lang w:eastAsia="zh-CN"/>
              </w:rPr>
              <w:t>44%</w:t>
            </w:r>
            <w:r w:rsidRPr="003B4DF9">
              <w:rPr>
                <w:rFonts w:eastAsia="宋体" w:hint="eastAsia"/>
                <w:lang w:eastAsia="zh-CN"/>
              </w:rPr>
              <w:t>。国内移动</w:t>
            </w:r>
            <w:r w:rsidRPr="003B4DF9">
              <w:rPr>
                <w:rFonts w:eastAsia="宋体" w:hint="eastAsia"/>
                <w:lang w:eastAsia="zh-CN"/>
              </w:rPr>
              <w:t>+</w:t>
            </w:r>
            <w:r w:rsidRPr="003B4DF9">
              <w:rPr>
                <w:rFonts w:eastAsia="宋体" w:hint="eastAsia"/>
                <w:lang w:eastAsia="zh-CN"/>
              </w:rPr>
              <w:t>阿里、联通</w:t>
            </w:r>
            <w:r w:rsidRPr="003B4DF9">
              <w:rPr>
                <w:rFonts w:eastAsia="宋体" w:hint="eastAsia"/>
                <w:lang w:eastAsia="zh-CN"/>
              </w:rPr>
              <w:t>+</w:t>
            </w:r>
            <w:r w:rsidRPr="003B4DF9">
              <w:rPr>
                <w:rFonts w:eastAsia="宋体" w:hint="eastAsia"/>
                <w:lang w:eastAsia="zh-CN"/>
              </w:rPr>
              <w:t>腾讯也达成战略合作，将共同建设运营</w:t>
            </w:r>
            <w:r w:rsidRPr="003B4DF9">
              <w:rPr>
                <w:rFonts w:eastAsia="宋体" w:hint="eastAsia"/>
                <w:lang w:eastAsia="zh-CN"/>
              </w:rPr>
              <w:t>AI</w:t>
            </w:r>
            <w:r w:rsidRPr="003B4DF9">
              <w:rPr>
                <w:rFonts w:eastAsia="宋体" w:hint="eastAsia"/>
                <w:lang w:eastAsia="zh-CN"/>
              </w:rPr>
              <w:t>数据中心。海上风电项目增长。海上风电用铜强度较陆上项目高出</w:t>
            </w:r>
            <w:r w:rsidRPr="003B4DF9">
              <w:rPr>
                <w:rFonts w:eastAsia="宋体" w:hint="eastAsia"/>
                <w:lang w:eastAsia="zh-CN"/>
              </w:rPr>
              <w:t>45%</w:t>
            </w:r>
            <w:r w:rsidRPr="003B4DF9">
              <w:rPr>
                <w:rFonts w:eastAsia="宋体" w:hint="eastAsia"/>
                <w:lang w:eastAsia="zh-CN"/>
              </w:rPr>
              <w:t>，过去两年，国内海上风电装机容量在以</w:t>
            </w:r>
            <w:r w:rsidRPr="003B4DF9">
              <w:rPr>
                <w:rFonts w:eastAsia="宋体" w:hint="eastAsia"/>
                <w:lang w:eastAsia="zh-CN"/>
              </w:rPr>
              <w:t>20%</w:t>
            </w:r>
            <w:r w:rsidRPr="003B4DF9">
              <w:rPr>
                <w:rFonts w:eastAsia="宋体" w:hint="eastAsia"/>
                <w:lang w:eastAsia="zh-CN"/>
              </w:rPr>
              <w:t>的增速增长，</w:t>
            </w:r>
            <w:r w:rsidRPr="003B4DF9">
              <w:rPr>
                <w:rFonts w:eastAsia="宋体" w:hint="eastAsia"/>
                <w:lang w:eastAsia="zh-CN"/>
              </w:rPr>
              <w:t>2025</w:t>
            </w:r>
            <w:r w:rsidRPr="003B4DF9">
              <w:rPr>
                <w:rFonts w:eastAsia="宋体" w:hint="eastAsia"/>
                <w:lang w:eastAsia="zh-CN"/>
              </w:rPr>
              <w:t>年国内风电新增装机有望达到</w:t>
            </w:r>
            <w:r w:rsidRPr="003B4DF9">
              <w:rPr>
                <w:rFonts w:eastAsia="宋体" w:hint="eastAsia"/>
                <w:lang w:eastAsia="zh-CN"/>
              </w:rPr>
              <w:t>110-120GW</w:t>
            </w:r>
            <w:r w:rsidRPr="003B4DF9">
              <w:rPr>
                <w:rFonts w:eastAsia="宋体" w:hint="eastAsia"/>
                <w:lang w:eastAsia="zh-CN"/>
              </w:rPr>
              <w:t>，海上风电兑现高增长确定性强，海外市场也呈现上行趋势，对铜形成</w:t>
            </w:r>
            <w:r w:rsidRPr="003B4DF9">
              <w:rPr>
                <w:rFonts w:eastAsia="宋体" w:hint="eastAsia"/>
                <w:lang w:eastAsia="zh-CN"/>
              </w:rPr>
              <w:lastRenderedPageBreak/>
              <w:t>需求支撑。</w:t>
            </w:r>
          </w:p>
          <w:p w14:paraId="193B6CF5" w14:textId="77777777" w:rsidR="003B4DF9" w:rsidRPr="003B4DF9" w:rsidRDefault="003B4DF9" w:rsidP="003B4DF9">
            <w:pPr>
              <w:ind w:firstLine="480"/>
              <w:rPr>
                <w:rFonts w:eastAsia="宋体"/>
                <w:lang w:eastAsia="zh-CN"/>
              </w:rPr>
            </w:pPr>
            <w:r w:rsidRPr="003B4DF9">
              <w:rPr>
                <w:rFonts w:eastAsia="宋体" w:hint="eastAsia"/>
                <w:lang w:eastAsia="zh-CN"/>
              </w:rPr>
              <w:t>新产业基建对铜消费的显著高于传统基建。</w:t>
            </w:r>
            <w:r w:rsidRPr="003B4DF9">
              <w:rPr>
                <w:rFonts w:eastAsia="宋体" w:hint="eastAsia"/>
                <w:lang w:eastAsia="zh-CN"/>
              </w:rPr>
              <w:t>AI</w:t>
            </w:r>
            <w:r w:rsidRPr="003B4DF9">
              <w:rPr>
                <w:rFonts w:eastAsia="宋体" w:hint="eastAsia"/>
                <w:lang w:eastAsia="zh-CN"/>
              </w:rPr>
              <w:t>数据中心单机柜用铜量达</w:t>
            </w:r>
            <w:r w:rsidRPr="003B4DF9">
              <w:rPr>
                <w:rFonts w:eastAsia="宋体" w:hint="eastAsia"/>
                <w:lang w:eastAsia="zh-CN"/>
              </w:rPr>
              <w:t>12kg</w:t>
            </w:r>
            <w:r w:rsidRPr="003B4DF9">
              <w:rPr>
                <w:rFonts w:eastAsia="宋体" w:hint="eastAsia"/>
                <w:lang w:eastAsia="zh-CN"/>
              </w:rPr>
              <w:t>，是传统互联网数据中心（</w:t>
            </w:r>
            <w:r w:rsidRPr="003B4DF9">
              <w:rPr>
                <w:rFonts w:eastAsia="宋体" w:hint="eastAsia"/>
                <w:lang w:eastAsia="zh-CN"/>
              </w:rPr>
              <w:t>IDC</w:t>
            </w:r>
            <w:r w:rsidRPr="003B4DF9">
              <w:rPr>
                <w:rFonts w:eastAsia="宋体" w:hint="eastAsia"/>
                <w:lang w:eastAsia="zh-CN"/>
              </w:rPr>
              <w:t>）的</w:t>
            </w:r>
            <w:r w:rsidRPr="003B4DF9">
              <w:rPr>
                <w:rFonts w:eastAsia="宋体" w:hint="eastAsia"/>
                <w:lang w:eastAsia="zh-CN"/>
              </w:rPr>
              <w:t>2.3</w:t>
            </w:r>
            <w:r w:rsidRPr="003B4DF9">
              <w:rPr>
                <w:rFonts w:eastAsia="宋体" w:hint="eastAsia"/>
                <w:lang w:eastAsia="zh-CN"/>
              </w:rPr>
              <w:t>倍。双路供电</w:t>
            </w:r>
            <w:r w:rsidRPr="003B4DF9">
              <w:rPr>
                <w:rFonts w:eastAsia="宋体" w:hint="eastAsia"/>
                <w:lang w:eastAsia="zh-CN"/>
              </w:rPr>
              <w:t>+</w:t>
            </w:r>
            <w:r w:rsidRPr="003B4DF9">
              <w:rPr>
                <w:rFonts w:eastAsia="宋体" w:hint="eastAsia"/>
                <w:lang w:eastAsia="zh-CN"/>
              </w:rPr>
              <w:t>储能配置成为行业标准，单数据中心</w:t>
            </w:r>
            <w:r w:rsidRPr="003B4DF9">
              <w:rPr>
                <w:rFonts w:eastAsia="宋体" w:hint="eastAsia"/>
                <w:lang w:eastAsia="zh-CN"/>
              </w:rPr>
              <w:t>UPS</w:t>
            </w:r>
            <w:r w:rsidRPr="003B4DF9">
              <w:rPr>
                <w:rFonts w:eastAsia="宋体" w:hint="eastAsia"/>
                <w:lang w:eastAsia="zh-CN"/>
              </w:rPr>
              <w:t>系统用铜量较传统机房增加</w:t>
            </w:r>
            <w:r w:rsidRPr="003B4DF9">
              <w:rPr>
                <w:rFonts w:eastAsia="宋体" w:hint="eastAsia"/>
                <w:lang w:eastAsia="zh-CN"/>
              </w:rPr>
              <w:t>3-4</w:t>
            </w:r>
            <w:r w:rsidRPr="003B4DF9">
              <w:rPr>
                <w:rFonts w:eastAsia="宋体" w:hint="eastAsia"/>
                <w:lang w:eastAsia="zh-CN"/>
              </w:rPr>
              <w:t>倍。配电网改造领域，分布式光伏新增装机中，跟踪支架渗透率提升至</w:t>
            </w:r>
            <w:r w:rsidRPr="003B4DF9">
              <w:rPr>
                <w:rFonts w:eastAsia="宋体" w:hint="eastAsia"/>
                <w:lang w:eastAsia="zh-CN"/>
              </w:rPr>
              <w:t>32%</w:t>
            </w:r>
            <w:r w:rsidRPr="003B4DF9">
              <w:rPr>
                <w:rFonts w:eastAsia="宋体" w:hint="eastAsia"/>
                <w:lang w:eastAsia="zh-CN"/>
              </w:rPr>
              <w:t>，单轴系统较固定支架用铜量增加</w:t>
            </w:r>
            <w:r w:rsidRPr="003B4DF9">
              <w:rPr>
                <w:rFonts w:eastAsia="宋体" w:hint="eastAsia"/>
                <w:lang w:eastAsia="zh-CN"/>
              </w:rPr>
              <w:t>40kg/MW</w:t>
            </w:r>
            <w:r w:rsidRPr="003B4DF9">
              <w:rPr>
                <w:rFonts w:eastAsia="宋体" w:hint="eastAsia"/>
                <w:lang w:eastAsia="zh-CN"/>
              </w:rPr>
              <w:t>，</w:t>
            </w:r>
            <w:r w:rsidRPr="003B4DF9">
              <w:rPr>
                <w:rFonts w:eastAsia="宋体" w:hint="eastAsia"/>
                <w:lang w:eastAsia="zh-CN"/>
              </w:rPr>
              <w:t>10kV</w:t>
            </w:r>
            <w:r w:rsidRPr="003B4DF9">
              <w:rPr>
                <w:rFonts w:eastAsia="宋体" w:hint="eastAsia"/>
                <w:lang w:eastAsia="zh-CN"/>
              </w:rPr>
              <w:t>及以下线路用铜量同比增长</w:t>
            </w:r>
            <w:r w:rsidRPr="003B4DF9">
              <w:rPr>
                <w:rFonts w:eastAsia="宋体" w:hint="eastAsia"/>
                <w:lang w:eastAsia="zh-CN"/>
              </w:rPr>
              <w:t>19%</w:t>
            </w:r>
            <w:r w:rsidRPr="003B4DF9">
              <w:rPr>
                <w:rFonts w:eastAsia="宋体" w:hint="eastAsia"/>
                <w:lang w:eastAsia="zh-CN"/>
              </w:rPr>
              <w:t>。新能源技术迭代也带来用铜消费增长。光伏的铜电镀工艺产业化，试验线数据显示铜用量增加</w:t>
            </w:r>
            <w:r w:rsidRPr="003B4DF9">
              <w:rPr>
                <w:rFonts w:eastAsia="宋体" w:hint="eastAsia"/>
                <w:lang w:eastAsia="zh-CN"/>
              </w:rPr>
              <w:t>12%</w:t>
            </w:r>
            <w:r w:rsidRPr="003B4DF9">
              <w:rPr>
                <w:rFonts w:eastAsia="宋体" w:hint="eastAsia"/>
                <w:lang w:eastAsia="zh-CN"/>
              </w:rPr>
              <w:t>但综合成本下降</w:t>
            </w:r>
            <w:r w:rsidRPr="003B4DF9">
              <w:rPr>
                <w:rFonts w:eastAsia="宋体" w:hint="eastAsia"/>
                <w:lang w:eastAsia="zh-CN"/>
              </w:rPr>
              <w:t>18%</w:t>
            </w:r>
            <w:r w:rsidRPr="003B4DF9">
              <w:rPr>
                <w:rFonts w:eastAsia="宋体" w:hint="eastAsia"/>
                <w:lang w:eastAsia="zh-CN"/>
              </w:rPr>
              <w:t>。纯电动车单车用铜量突破</w:t>
            </w:r>
            <w:r w:rsidRPr="003B4DF9">
              <w:rPr>
                <w:rFonts w:eastAsia="宋体" w:hint="eastAsia"/>
                <w:lang w:eastAsia="zh-CN"/>
              </w:rPr>
              <w:t>83kg</w:t>
            </w:r>
            <w:r w:rsidRPr="003B4DF9">
              <w:rPr>
                <w:rFonts w:eastAsia="宋体" w:hint="eastAsia"/>
                <w:lang w:eastAsia="zh-CN"/>
              </w:rPr>
              <w:t>，电池底盘结构件和热管理系统用铜提升。换电模式推广带来额外需求，单个换电站配电系统用铜量达</w:t>
            </w:r>
            <w:r w:rsidRPr="003B4DF9">
              <w:rPr>
                <w:rFonts w:eastAsia="宋体" w:hint="eastAsia"/>
                <w:lang w:eastAsia="zh-CN"/>
              </w:rPr>
              <w:t>2.3</w:t>
            </w:r>
            <w:r w:rsidRPr="003B4DF9">
              <w:rPr>
                <w:rFonts w:eastAsia="宋体" w:hint="eastAsia"/>
                <w:lang w:eastAsia="zh-CN"/>
              </w:rPr>
              <w:t>吨，是超充站的</w:t>
            </w:r>
            <w:r w:rsidRPr="003B4DF9">
              <w:rPr>
                <w:rFonts w:eastAsia="宋体" w:hint="eastAsia"/>
                <w:lang w:eastAsia="zh-CN"/>
              </w:rPr>
              <w:t>1.8</w:t>
            </w:r>
            <w:r w:rsidRPr="003B4DF9">
              <w:rPr>
                <w:rFonts w:eastAsia="宋体" w:hint="eastAsia"/>
                <w:lang w:eastAsia="zh-CN"/>
              </w:rPr>
              <w:t>倍。</w:t>
            </w:r>
          </w:p>
          <w:p w14:paraId="17CFAC54" w14:textId="77777777" w:rsidR="003B4DF9" w:rsidRPr="003B4DF9" w:rsidRDefault="003B4DF9" w:rsidP="003B4DF9">
            <w:pPr>
              <w:ind w:firstLine="482"/>
              <w:outlineLvl w:val="2"/>
              <w:rPr>
                <w:rFonts w:ascii="宋体" w:eastAsia="宋体" w:hAnsi="宋体"/>
                <w:bCs/>
                <w:lang w:eastAsia="zh-CN" w:bidi="ar-SA"/>
              </w:rPr>
            </w:pPr>
            <w:bookmarkStart w:id="117" w:name="_Toc196364981"/>
            <w:r w:rsidRPr="003B4DF9">
              <w:rPr>
                <w:rFonts w:ascii="宋体" w:eastAsia="宋体" w:hAnsi="宋体" w:hint="eastAsia"/>
                <w:b/>
                <w:bCs/>
                <w:lang w:eastAsia="zh-CN" w:bidi="ar-SA"/>
              </w:rPr>
              <w:t>铝方面，</w:t>
            </w:r>
            <w:r w:rsidRPr="003B4DF9">
              <w:rPr>
                <w:rFonts w:ascii="宋体" w:eastAsia="宋体" w:hAnsi="宋体"/>
                <w:b/>
                <w:bCs/>
                <w:lang w:eastAsia="zh-CN" w:bidi="ar-SA"/>
              </w:rPr>
              <w:t>新产业基建</w:t>
            </w:r>
            <w:r w:rsidRPr="003B4DF9">
              <w:rPr>
                <w:rFonts w:ascii="宋体" w:eastAsia="宋体" w:hAnsi="宋体" w:hint="eastAsia"/>
                <w:b/>
                <w:bCs/>
                <w:lang w:eastAsia="zh-CN" w:bidi="ar-SA"/>
              </w:rPr>
              <w:t>（</w:t>
            </w:r>
            <w:r w:rsidRPr="003B4DF9">
              <w:rPr>
                <w:rFonts w:ascii="宋体" w:eastAsia="宋体" w:hAnsi="宋体"/>
                <w:b/>
                <w:bCs/>
                <w:lang w:eastAsia="zh-CN" w:bidi="ar-SA"/>
              </w:rPr>
              <w:t>特高压</w:t>
            </w:r>
            <w:r w:rsidRPr="003B4DF9">
              <w:rPr>
                <w:rFonts w:ascii="宋体" w:eastAsia="宋体" w:hAnsi="宋体" w:hint="eastAsia"/>
                <w:b/>
                <w:bCs/>
                <w:lang w:eastAsia="zh-CN" w:bidi="ar-SA"/>
              </w:rPr>
              <w:t>电网）和交通工具制造需求增长。</w:t>
            </w:r>
            <w:r w:rsidRPr="003B4DF9">
              <w:rPr>
                <w:rFonts w:ascii="宋体" w:eastAsia="宋体" w:hAnsi="宋体" w:hint="eastAsia"/>
                <w:bCs/>
                <w:lang w:eastAsia="zh-CN" w:bidi="ar-SA"/>
              </w:rPr>
              <w:t>中国基建刺激政策推动高强度铝合金需求显著增长，2025年Q1新开工项目铝型材采购量同比提升18%，主要应用于特高压电网与轨道交通领域。尽管国内新能源汽车2月产量环比下滑12.54%，但铝材渗透率提升带来结构性机遇。新能源汽车轻量化进程加速成为核心增长点。数据显示，2025年Q1全球新能源汽车交付量同比增长21.2%，中国市场占比达63.1%。铝合金在新能源车身的渗透率已突破72%。汽车轻量化领域呈现非线性增长态势，2025年单车用铝量预计达250kg，较2020年提升67%。工信部《节能与新能源技术路线图》明确，我国2025和2030年单车用铝量目标分别为250kg/辆和350kg/辆。除新能源汽车外，美国航空航天产业在国防预算增长驱动下保持扩张态势 ，对航空级铝合金需求维持高位。</w:t>
            </w:r>
            <w:bookmarkEnd w:id="117"/>
          </w:p>
          <w:p w14:paraId="1512C445" w14:textId="16D0B1AF" w:rsidR="003B4DF9" w:rsidRPr="003B4DF9" w:rsidRDefault="003B4DF9" w:rsidP="003B4DF9">
            <w:pPr>
              <w:ind w:firstLine="480"/>
              <w:outlineLvl w:val="2"/>
              <w:rPr>
                <w:rFonts w:ascii="楷体" w:eastAsia="楷体" w:hAnsi="楷体"/>
                <w:b/>
                <w:bCs/>
                <w:lang w:eastAsia="zh-CN" w:bidi="ar-SA"/>
              </w:rPr>
            </w:pPr>
            <w:bookmarkStart w:id="118" w:name="_Toc196364982"/>
            <w:r w:rsidRPr="003B4DF9">
              <w:rPr>
                <w:rFonts w:ascii="宋体" w:eastAsia="宋体" w:hAnsi="宋体" w:hint="eastAsia"/>
                <w:bCs/>
                <w:lang w:eastAsia="zh-CN" w:bidi="ar-SA"/>
              </w:rPr>
              <w:t>铁矿石消费增长来自基建。作为全球最大钢材消费国，我国地产与基建领域需求呈现显著分化：房地产用钢需求持续疲弱，基建用钢需求提升。1.8万亿特别国债重点投向民生领域，铁路、水利等用钢密集型项目投资占比提升至45%。2024年产量数据显示，地产钢材螺纹钢、线材分别下降18%、21%，基建钢材中厚板、热轧、冷轧分别同比增长4%、3%、5%。预计2025年基建用钢需求同比增长1%，占总</w:t>
            </w:r>
            <w:r w:rsidRPr="003B4DF9">
              <w:rPr>
                <w:rFonts w:ascii="宋体" w:eastAsia="宋体" w:hAnsi="宋体" w:hint="eastAsia"/>
                <w:bCs/>
                <w:lang w:eastAsia="zh-CN" w:bidi="ar-SA"/>
              </w:rPr>
              <w:lastRenderedPageBreak/>
              <w:t>需求18%。</w:t>
            </w:r>
            <w:bookmarkEnd w:id="118"/>
          </w:p>
        </w:tc>
      </w:tr>
    </w:tbl>
    <w:p w14:paraId="03ED03D2" w14:textId="60B615BB" w:rsidR="003B4DF9" w:rsidRPr="003B4DF9" w:rsidRDefault="003B4DF9" w:rsidP="00D37774">
      <w:pPr>
        <w:ind w:firstLineChars="0" w:firstLine="0"/>
        <w:rPr>
          <w:rFonts w:eastAsia="宋体"/>
          <w:lang w:eastAsia="zh-CN"/>
        </w:rPr>
      </w:pPr>
      <w:bookmarkStart w:id="119" w:name="_Toc148372471"/>
    </w:p>
    <w:bookmarkEnd w:id="119"/>
    <w:tbl>
      <w:tblPr>
        <w:tblW w:w="10065" w:type="dxa"/>
        <w:tblInd w:w="-714" w:type="dxa"/>
        <w:tblLayout w:type="fixed"/>
        <w:tblLook w:val="04A0" w:firstRow="1" w:lastRow="0" w:firstColumn="1" w:lastColumn="0" w:noHBand="0" w:noVBand="1"/>
      </w:tblPr>
      <w:tblGrid>
        <w:gridCol w:w="2273"/>
        <w:gridCol w:w="340"/>
        <w:gridCol w:w="7452"/>
      </w:tblGrid>
      <w:tr w:rsidR="003B4DF9" w:rsidRPr="003B4DF9" w14:paraId="4A3A3CB6" w14:textId="77777777" w:rsidTr="00D72849">
        <w:trPr>
          <w:trHeight w:val="2288"/>
        </w:trPr>
        <w:tc>
          <w:tcPr>
            <w:tcW w:w="2273" w:type="dxa"/>
          </w:tcPr>
          <w:p w14:paraId="36B854E6" w14:textId="77777777" w:rsidR="003B4DF9" w:rsidRPr="003B4DF9" w:rsidRDefault="003B4DF9" w:rsidP="003B4DF9">
            <w:pPr>
              <w:spacing w:line="312" w:lineRule="auto"/>
              <w:ind w:firstLineChars="0" w:firstLine="0"/>
              <w:rPr>
                <w:rFonts w:eastAsia="楷体"/>
                <w:b/>
                <w:bCs/>
                <w:color w:val="DEEAF6"/>
                <w:lang w:eastAsia="zh-CN"/>
              </w:rPr>
            </w:pPr>
          </w:p>
          <w:p w14:paraId="589DCB94" w14:textId="77777777" w:rsidR="003B4DF9" w:rsidRPr="003B4DF9" w:rsidRDefault="003B4DF9" w:rsidP="003B4DF9">
            <w:pPr>
              <w:spacing w:line="312" w:lineRule="auto"/>
              <w:ind w:firstLineChars="0" w:firstLine="0"/>
              <w:rPr>
                <w:rFonts w:eastAsia="楷体"/>
                <w:b/>
                <w:bCs/>
                <w:lang w:eastAsia="zh-CN"/>
              </w:rPr>
            </w:pPr>
            <w:r w:rsidRPr="003B4DF9">
              <w:rPr>
                <w:rFonts w:eastAsia="楷体" w:hint="eastAsia"/>
                <w:b/>
                <w:bCs/>
                <w:lang w:eastAsia="zh-CN"/>
              </w:rPr>
              <w:t>原油波动性预计将随着关税谈判加大。</w:t>
            </w:r>
            <w:r w:rsidRPr="003B4DF9">
              <w:rPr>
                <w:rFonts w:eastAsia="楷体" w:hint="eastAsia"/>
                <w:b/>
                <w:bCs/>
                <w:lang w:eastAsia="zh-CN"/>
              </w:rPr>
              <w:t>60</w:t>
            </w:r>
            <w:r w:rsidRPr="003B4DF9">
              <w:rPr>
                <w:rFonts w:eastAsia="楷体" w:hint="eastAsia"/>
                <w:b/>
                <w:bCs/>
                <w:lang w:eastAsia="zh-CN"/>
              </w:rPr>
              <w:t>美元的价格已计入相对悲观的预期，如美国不进入衰退，预计有反弹空间。极端情况下，如谈判迟迟未见结果且美国进入衰退，油价可能跌破</w:t>
            </w:r>
            <w:r w:rsidRPr="003B4DF9">
              <w:rPr>
                <w:rFonts w:eastAsia="楷体" w:hint="eastAsia"/>
                <w:b/>
                <w:bCs/>
                <w:lang w:eastAsia="zh-CN"/>
              </w:rPr>
              <w:t>60</w:t>
            </w:r>
            <w:r w:rsidRPr="003B4DF9">
              <w:rPr>
                <w:rFonts w:eastAsia="楷体" w:hint="eastAsia"/>
                <w:b/>
                <w:bCs/>
                <w:lang w:eastAsia="zh-CN"/>
              </w:rPr>
              <w:t>美元。</w:t>
            </w:r>
          </w:p>
          <w:p w14:paraId="3897C64E" w14:textId="77777777" w:rsidR="003B4DF9" w:rsidRPr="003B4DF9" w:rsidRDefault="003B4DF9" w:rsidP="003B4DF9">
            <w:pPr>
              <w:spacing w:line="312" w:lineRule="auto"/>
              <w:ind w:firstLineChars="0" w:firstLine="0"/>
              <w:rPr>
                <w:rFonts w:eastAsia="楷体"/>
                <w:b/>
                <w:bCs/>
                <w:lang w:eastAsia="zh-CN"/>
              </w:rPr>
            </w:pPr>
          </w:p>
          <w:p w14:paraId="319F7A80" w14:textId="77777777" w:rsidR="003B4DF9" w:rsidRPr="003B4DF9" w:rsidRDefault="003B4DF9" w:rsidP="003B4DF9">
            <w:pPr>
              <w:spacing w:line="312" w:lineRule="auto"/>
              <w:ind w:firstLineChars="0" w:firstLine="0"/>
              <w:rPr>
                <w:rFonts w:eastAsia="楷体"/>
                <w:b/>
                <w:bCs/>
                <w:lang w:eastAsia="zh-CN"/>
              </w:rPr>
            </w:pPr>
            <w:r w:rsidRPr="003B4DF9">
              <w:rPr>
                <w:rFonts w:eastAsia="楷体" w:hint="eastAsia"/>
                <w:b/>
                <w:bCs/>
                <w:lang w:eastAsia="zh-CN"/>
              </w:rPr>
              <w:t>关税不确定性下，金属市场面临波动，铜需求关注新基建和全球制造业前景，铝主要需求承压，铁矿石供应增长预期进一步压抑价格。</w:t>
            </w:r>
          </w:p>
        </w:tc>
        <w:tc>
          <w:tcPr>
            <w:tcW w:w="340" w:type="dxa"/>
          </w:tcPr>
          <w:p w14:paraId="4E2B4403" w14:textId="77777777" w:rsidR="003B4DF9" w:rsidRPr="003B4DF9" w:rsidRDefault="003B4DF9" w:rsidP="003B4DF9">
            <w:pPr>
              <w:keepNext/>
              <w:keepLines/>
              <w:spacing w:before="260" w:after="260"/>
              <w:ind w:firstLine="480"/>
              <w:rPr>
                <w:rFonts w:eastAsia="楷体_GB2312"/>
                <w:lang w:eastAsia="zh-CN"/>
              </w:rPr>
            </w:pPr>
          </w:p>
        </w:tc>
        <w:tc>
          <w:tcPr>
            <w:tcW w:w="7452" w:type="dxa"/>
          </w:tcPr>
          <w:p w14:paraId="6CDCF3D0" w14:textId="77777777" w:rsidR="003B4DF9" w:rsidRPr="003B4DF9" w:rsidRDefault="003B4DF9" w:rsidP="003B4DF9">
            <w:pPr>
              <w:numPr>
                <w:ilvl w:val="0"/>
                <w:numId w:val="5"/>
              </w:numPr>
              <w:spacing w:beforeLines="100" w:before="326"/>
              <w:ind w:firstLineChars="0" w:firstLine="0"/>
              <w:rPr>
                <w:rFonts w:eastAsia="宋体"/>
                <w:b/>
                <w:sz w:val="28"/>
                <w:szCs w:val="28"/>
                <w:lang w:eastAsia="zh-CN"/>
              </w:rPr>
            </w:pPr>
            <w:r w:rsidRPr="003B4DF9">
              <w:rPr>
                <w:rFonts w:eastAsia="宋体"/>
                <w:b/>
                <w:sz w:val="28"/>
                <w:szCs w:val="28"/>
                <w:lang w:eastAsia="zh-CN"/>
              </w:rPr>
              <w:t>未来价格走势与风险</w:t>
            </w:r>
          </w:p>
          <w:p w14:paraId="738272C3" w14:textId="70A753B2" w:rsidR="003B4DF9" w:rsidRPr="003B4DF9" w:rsidRDefault="003B4DF9" w:rsidP="003B4DF9">
            <w:pPr>
              <w:ind w:firstLine="480"/>
              <w:rPr>
                <w:rFonts w:eastAsia="宋体"/>
                <w:bCs/>
                <w:lang w:eastAsia="zh-CN"/>
              </w:rPr>
            </w:pPr>
            <w:r w:rsidRPr="003B4DF9">
              <w:rPr>
                <w:rFonts w:eastAsia="宋体" w:hint="eastAsia"/>
                <w:bCs/>
                <w:lang w:eastAsia="zh-CN"/>
              </w:rPr>
              <w:t>鉴于关税战和美国衰退风险加大等因素，我们将上半年价格中枢从</w:t>
            </w:r>
            <w:r w:rsidRPr="003B4DF9">
              <w:rPr>
                <w:rFonts w:eastAsia="宋体" w:hint="eastAsia"/>
                <w:bCs/>
                <w:lang w:eastAsia="zh-CN"/>
              </w:rPr>
              <w:t>80</w:t>
            </w:r>
            <w:r w:rsidRPr="003B4DF9">
              <w:rPr>
                <w:rFonts w:eastAsia="宋体" w:hint="eastAsia"/>
                <w:bCs/>
                <w:lang w:eastAsia="zh-CN"/>
              </w:rPr>
              <w:t>美元下调至</w:t>
            </w:r>
            <w:r w:rsidRPr="003B4DF9">
              <w:rPr>
                <w:rFonts w:eastAsia="宋体" w:hint="eastAsia"/>
                <w:bCs/>
                <w:lang w:eastAsia="zh-CN"/>
              </w:rPr>
              <w:t>70</w:t>
            </w:r>
            <w:r w:rsidRPr="003B4DF9">
              <w:rPr>
                <w:rFonts w:eastAsia="宋体" w:hint="eastAsia"/>
                <w:bCs/>
                <w:lang w:eastAsia="zh-CN"/>
              </w:rPr>
              <w:t>美元。尽管需求侧偏弱且存在各类风险，也要考虑到当下关税的悲观预期已经打</w:t>
            </w:r>
            <w:r w:rsidR="004551C6">
              <w:rPr>
                <w:rFonts w:eastAsia="宋体" w:hint="eastAsia"/>
                <w:bCs/>
                <w:lang w:eastAsia="zh-CN"/>
              </w:rPr>
              <w:t>得</w:t>
            </w:r>
            <w:r w:rsidRPr="003B4DF9">
              <w:rPr>
                <w:rFonts w:eastAsia="宋体" w:hint="eastAsia"/>
                <w:bCs/>
                <w:lang w:eastAsia="zh-CN"/>
              </w:rPr>
              <w:t>较满，后续存在拉锯和谈判空间，会给油价反弹动力。在美国不进入衰退、中国出台政策支持内需的基准情况下，当前油价反弹</w:t>
            </w:r>
            <w:r w:rsidR="00495E0C" w:rsidRPr="00495E0C">
              <w:rPr>
                <w:rFonts w:eastAsia="宋体" w:hint="eastAsia"/>
                <w:bCs/>
                <w:lang w:eastAsia="zh-CN"/>
              </w:rPr>
              <w:t>概率</w:t>
            </w:r>
            <w:r w:rsidRPr="003B4DF9">
              <w:rPr>
                <w:rFonts w:eastAsia="宋体" w:hint="eastAsia"/>
                <w:bCs/>
                <w:lang w:eastAsia="zh-CN"/>
              </w:rPr>
              <w:t>更大。如美国进入衰退、关税战持续的情况下，油价或跌破</w:t>
            </w:r>
            <w:r w:rsidRPr="003B4DF9">
              <w:rPr>
                <w:rFonts w:eastAsia="宋体" w:hint="eastAsia"/>
                <w:bCs/>
                <w:lang w:eastAsia="zh-CN"/>
              </w:rPr>
              <w:t>60</w:t>
            </w:r>
            <w:r w:rsidRPr="003B4DF9">
              <w:rPr>
                <w:rFonts w:eastAsia="宋体" w:hint="eastAsia"/>
                <w:bCs/>
                <w:lang w:eastAsia="zh-CN"/>
              </w:rPr>
              <w:t>美元。</w:t>
            </w:r>
          </w:p>
          <w:p w14:paraId="6E799AF3" w14:textId="77777777" w:rsidR="003B4DF9" w:rsidRPr="003B4DF9" w:rsidRDefault="003B4DF9" w:rsidP="003B4DF9">
            <w:pPr>
              <w:ind w:firstLine="480"/>
              <w:rPr>
                <w:rFonts w:eastAsia="宋体"/>
                <w:b/>
                <w:sz w:val="28"/>
                <w:szCs w:val="28"/>
                <w:lang w:eastAsia="zh-CN"/>
              </w:rPr>
            </w:pPr>
            <w:r w:rsidRPr="003B4DF9">
              <w:rPr>
                <w:rFonts w:eastAsia="宋体"/>
                <w:lang w:eastAsia="zh-CN"/>
              </w:rPr>
              <w:t>金属方面</w:t>
            </w:r>
            <w:r w:rsidRPr="003B4DF9">
              <w:rPr>
                <w:rFonts w:eastAsia="宋体" w:hint="eastAsia"/>
                <w:lang w:eastAsia="zh-CN"/>
              </w:rPr>
              <w:t>，关税不确定性的影响下市场波动将加剧。铜需求将受到电网建设和</w:t>
            </w:r>
            <w:r w:rsidRPr="003B4DF9">
              <w:rPr>
                <w:rFonts w:eastAsia="宋体" w:hint="eastAsia"/>
                <w:lang w:eastAsia="zh-CN"/>
              </w:rPr>
              <w:t>AI</w:t>
            </w:r>
            <w:r w:rsidRPr="003B4DF9">
              <w:rPr>
                <w:rFonts w:eastAsia="宋体" w:hint="eastAsia"/>
                <w:lang w:eastAsia="zh-CN"/>
              </w:rPr>
              <w:t>大数据中心建设的支持，但还需关注全球制造业前景以及关税对相关制造业的冲击。建筑用铝面临压力，而工业铝型材则受到国内电动车消费和出口的影响。在铁矿石市场方面，西芒杜铁矿预计在</w:t>
            </w:r>
            <w:r w:rsidRPr="003B4DF9">
              <w:rPr>
                <w:rFonts w:eastAsia="宋体" w:hint="eastAsia"/>
                <w:lang w:eastAsia="zh-CN"/>
              </w:rPr>
              <w:t>2025</w:t>
            </w:r>
            <w:r w:rsidRPr="003B4DF9">
              <w:rPr>
                <w:rFonts w:eastAsia="宋体" w:hint="eastAsia"/>
                <w:lang w:eastAsia="zh-CN"/>
              </w:rPr>
              <w:t>年底投产，并计划在</w:t>
            </w:r>
            <w:r w:rsidRPr="003B4DF9">
              <w:rPr>
                <w:rFonts w:eastAsia="宋体" w:hint="eastAsia"/>
                <w:lang w:eastAsia="zh-CN"/>
              </w:rPr>
              <w:t>2026</w:t>
            </w:r>
            <w:r w:rsidRPr="003B4DF9">
              <w:rPr>
                <w:rFonts w:eastAsia="宋体" w:hint="eastAsia"/>
                <w:lang w:eastAsia="zh-CN"/>
              </w:rPr>
              <w:t>年实现亿吨的产量目标。供应增长的预期进一步压抑铁矿石价格。</w:t>
            </w:r>
          </w:p>
        </w:tc>
      </w:tr>
    </w:tbl>
    <w:p w14:paraId="48C803DD" w14:textId="77777777" w:rsidR="003B4DF9" w:rsidRPr="003B4DF9" w:rsidRDefault="003B4DF9" w:rsidP="003B4DF9">
      <w:pPr>
        <w:ind w:firstLineChars="0" w:firstLine="0"/>
        <w:rPr>
          <w:rFonts w:eastAsia="宋体"/>
          <w:sz w:val="21"/>
          <w:szCs w:val="22"/>
          <w:lang w:eastAsia="zh-CN" w:bidi="ar-SA"/>
        </w:rPr>
      </w:pPr>
    </w:p>
    <w:p w14:paraId="73C57CE5" w14:textId="5BF27A3A" w:rsidR="00CD310D" w:rsidRPr="009F0C37" w:rsidRDefault="003B4DF9" w:rsidP="003B4DF9">
      <w:pPr>
        <w:spacing w:line="240" w:lineRule="auto"/>
        <w:ind w:firstLineChars="0" w:firstLine="0"/>
        <w:jc w:val="left"/>
        <w:rPr>
          <w:lang w:eastAsia="zh-CN"/>
        </w:rPr>
        <w:sectPr w:rsidR="00CD310D" w:rsidRPr="009F0C37" w:rsidSect="00894D49">
          <w:headerReference w:type="default" r:id="rId78"/>
          <w:pgSz w:w="11906" w:h="16838"/>
          <w:pgMar w:top="1440" w:right="1800" w:bottom="1440" w:left="1800" w:header="851" w:footer="992" w:gutter="0"/>
          <w:cols w:space="425"/>
          <w:docGrid w:type="lines" w:linePitch="326"/>
        </w:sectPr>
      </w:pPr>
      <w:r>
        <w:rPr>
          <w:lang w:eastAsia="zh-CN"/>
        </w:rPr>
        <w:br w:type="page"/>
      </w:r>
    </w:p>
    <w:tbl>
      <w:tblPr>
        <w:tblW w:w="9639" w:type="dxa"/>
        <w:jc w:val="center"/>
        <w:tblLayout w:type="fixed"/>
        <w:tblLook w:val="04A0" w:firstRow="1" w:lastRow="0" w:firstColumn="1" w:lastColumn="0" w:noHBand="0" w:noVBand="1"/>
      </w:tblPr>
      <w:tblGrid>
        <w:gridCol w:w="2154"/>
        <w:gridCol w:w="300"/>
        <w:gridCol w:w="2365"/>
        <w:gridCol w:w="4820"/>
      </w:tblGrid>
      <w:tr w:rsidR="009F0C37" w:rsidRPr="009F0C37" w14:paraId="027B8344" w14:textId="77777777" w:rsidTr="00FE4928">
        <w:trPr>
          <w:trHeight w:val="150"/>
          <w:jc w:val="center"/>
        </w:trPr>
        <w:tc>
          <w:tcPr>
            <w:tcW w:w="9639" w:type="dxa"/>
            <w:gridSpan w:val="4"/>
          </w:tcPr>
          <w:p w14:paraId="74BFF088" w14:textId="7A8CFC49" w:rsidR="009F0C37" w:rsidRPr="009F0C37" w:rsidRDefault="00BC57E7" w:rsidP="0097404B">
            <w:pPr>
              <w:pStyle w:val="1"/>
              <w:rPr>
                <w:rFonts w:eastAsia="宋体"/>
                <w:color w:val="000000"/>
              </w:rPr>
            </w:pPr>
            <w:bookmarkStart w:id="120" w:name="_Toc520305584"/>
            <w:bookmarkStart w:id="121" w:name="_Toc196364983"/>
            <w:r w:rsidRPr="00BC57E7">
              <w:rPr>
                <w:rFonts w:hint="eastAsia"/>
              </w:rPr>
              <w:lastRenderedPageBreak/>
              <w:t>外贸专题：美国关税政策冲击全球贸易，我国出口面临较大下行风险</w:t>
            </w:r>
            <w:r w:rsidR="009F0C37" w:rsidRPr="009F0C37">
              <w:rPr>
                <w:vertAlign w:val="superscript"/>
              </w:rPr>
              <w:footnoteReference w:id="2"/>
            </w:r>
            <w:bookmarkEnd w:id="120"/>
            <w:bookmarkEnd w:id="121"/>
          </w:p>
        </w:tc>
      </w:tr>
      <w:tr w:rsidR="009F0C37" w:rsidRPr="009F0C37" w14:paraId="3513463C" w14:textId="77777777" w:rsidTr="00FE4928">
        <w:trPr>
          <w:trHeight w:val="150"/>
          <w:jc w:val="center"/>
        </w:trPr>
        <w:tc>
          <w:tcPr>
            <w:tcW w:w="9639" w:type="dxa"/>
            <w:gridSpan w:val="4"/>
          </w:tcPr>
          <w:p w14:paraId="57676825" w14:textId="5FCD6439" w:rsidR="009F0C37" w:rsidRPr="009F0C37" w:rsidRDefault="009F0C37" w:rsidP="001D737A">
            <w:pPr>
              <w:ind w:firstLine="480"/>
              <w:rPr>
                <w:lang w:eastAsia="zh-CN" w:bidi="ar-SA"/>
              </w:rPr>
            </w:pPr>
            <w:r w:rsidRPr="009F0C37">
              <w:rPr>
                <w:lang w:eastAsia="zh-CN" w:bidi="ar-SA"/>
              </w:rPr>
              <w:t>2</w:t>
            </w:r>
            <w:r w:rsidR="00BC57E7" w:rsidRPr="00BC57E7">
              <w:rPr>
                <w:rFonts w:hint="eastAsia"/>
                <w:lang w:eastAsia="zh-CN" w:bidi="ar-SA"/>
              </w:rPr>
              <w:t>025</w:t>
            </w:r>
            <w:r w:rsidR="00BC57E7" w:rsidRPr="00BC57E7">
              <w:rPr>
                <w:rFonts w:hint="eastAsia"/>
                <w:lang w:eastAsia="zh-CN" w:bidi="ar-SA"/>
              </w:rPr>
              <w:t>年</w:t>
            </w:r>
            <w:r w:rsidR="00BC57E7" w:rsidRPr="00BC57E7">
              <w:rPr>
                <w:rFonts w:hint="eastAsia"/>
                <w:lang w:eastAsia="zh-CN" w:bidi="ar-SA"/>
              </w:rPr>
              <w:t>1</w:t>
            </w:r>
            <w:r w:rsidR="00BC57E7" w:rsidRPr="00BC57E7">
              <w:rPr>
                <w:rFonts w:hint="eastAsia"/>
                <w:lang w:eastAsia="zh-CN" w:bidi="ar-SA"/>
              </w:rPr>
              <w:t>季度，中国出口（美元）同比增长</w:t>
            </w:r>
            <w:r w:rsidR="00BC57E7" w:rsidRPr="00BC57E7">
              <w:rPr>
                <w:rFonts w:hint="eastAsia"/>
                <w:lang w:eastAsia="zh-CN" w:bidi="ar-SA"/>
              </w:rPr>
              <w:t>5.7%</w:t>
            </w:r>
            <w:r w:rsidR="00BC57E7" w:rsidRPr="00BC57E7">
              <w:rPr>
                <w:rFonts w:hint="eastAsia"/>
                <w:lang w:eastAsia="zh-CN" w:bidi="ar-SA"/>
              </w:rPr>
              <w:t>，较上季度下降</w:t>
            </w:r>
            <w:r w:rsidR="00BC57E7" w:rsidRPr="00BC57E7">
              <w:rPr>
                <w:rFonts w:hint="eastAsia"/>
                <w:lang w:eastAsia="zh-CN" w:bidi="ar-SA"/>
              </w:rPr>
              <w:t>4.2</w:t>
            </w:r>
            <w:r w:rsidR="00BC57E7" w:rsidRPr="00BC57E7">
              <w:rPr>
                <w:rFonts w:hint="eastAsia"/>
                <w:lang w:eastAsia="zh-CN" w:bidi="ar-SA"/>
              </w:rPr>
              <w:t>个百分点；进口同比下降</w:t>
            </w:r>
            <w:r w:rsidR="00BC57E7" w:rsidRPr="00BC57E7">
              <w:rPr>
                <w:rFonts w:hint="eastAsia"/>
                <w:lang w:eastAsia="zh-CN" w:bidi="ar-SA"/>
              </w:rPr>
              <w:t>7.0%</w:t>
            </w:r>
            <w:r w:rsidR="00BC57E7" w:rsidRPr="00BC57E7">
              <w:rPr>
                <w:rFonts w:hint="eastAsia"/>
                <w:lang w:eastAsia="zh-CN" w:bidi="ar-SA"/>
              </w:rPr>
              <w:t>，降幅较上季度扩大</w:t>
            </w:r>
            <w:r w:rsidR="00BC57E7" w:rsidRPr="00BC57E7">
              <w:rPr>
                <w:rFonts w:hint="eastAsia"/>
                <w:lang w:eastAsia="zh-CN" w:bidi="ar-SA"/>
              </w:rPr>
              <w:t>5.3</w:t>
            </w:r>
            <w:r w:rsidR="00BC57E7" w:rsidRPr="00BC57E7">
              <w:rPr>
                <w:rFonts w:hint="eastAsia"/>
                <w:lang w:eastAsia="zh-CN" w:bidi="ar-SA"/>
              </w:rPr>
              <w:t>个百分点；货物贸易顺差总额为</w:t>
            </w:r>
            <w:r w:rsidR="00BC57E7" w:rsidRPr="00BC57E7">
              <w:rPr>
                <w:rFonts w:hint="eastAsia"/>
                <w:lang w:eastAsia="zh-CN" w:bidi="ar-SA"/>
              </w:rPr>
              <w:t>2730</w:t>
            </w:r>
            <w:r w:rsidR="00BC57E7" w:rsidRPr="00BC57E7">
              <w:rPr>
                <w:rFonts w:hint="eastAsia"/>
                <w:lang w:eastAsia="zh-CN" w:bidi="ar-SA"/>
              </w:rPr>
              <w:t>亿美元，同比提高</w:t>
            </w:r>
            <w:r w:rsidR="00BC57E7" w:rsidRPr="00BC57E7">
              <w:rPr>
                <w:rFonts w:hint="eastAsia"/>
                <w:lang w:eastAsia="zh-CN" w:bidi="ar-SA"/>
              </w:rPr>
              <w:t>898</w:t>
            </w:r>
            <w:r w:rsidR="00BC57E7" w:rsidRPr="00BC57E7">
              <w:rPr>
                <w:rFonts w:hint="eastAsia"/>
                <w:lang w:eastAsia="zh-CN" w:bidi="ar-SA"/>
              </w:rPr>
              <w:t>亿美元。</w:t>
            </w:r>
            <w:r w:rsidR="00BC57E7" w:rsidRPr="00BC57E7">
              <w:rPr>
                <w:rFonts w:hint="eastAsia"/>
                <w:lang w:eastAsia="zh-CN" w:bidi="ar-SA"/>
              </w:rPr>
              <w:t>1-2</w:t>
            </w:r>
            <w:r w:rsidR="00BC57E7" w:rsidRPr="00BC57E7">
              <w:rPr>
                <w:rFonts w:hint="eastAsia"/>
                <w:lang w:eastAsia="zh-CN" w:bidi="ar-SA"/>
              </w:rPr>
              <w:t>月，服务贸易逆差为</w:t>
            </w:r>
            <w:r w:rsidR="00BC57E7" w:rsidRPr="00BC57E7">
              <w:rPr>
                <w:rFonts w:hint="eastAsia"/>
                <w:lang w:eastAsia="zh-CN" w:bidi="ar-SA"/>
              </w:rPr>
              <w:t>391</w:t>
            </w:r>
            <w:r w:rsidR="00BC57E7" w:rsidRPr="00BC57E7">
              <w:rPr>
                <w:rFonts w:hint="eastAsia"/>
                <w:lang w:eastAsia="zh-CN" w:bidi="ar-SA"/>
              </w:rPr>
              <w:t>亿美元，与去年同期基本持平。</w:t>
            </w:r>
            <w:r w:rsidR="00BC57E7" w:rsidRPr="00BC57E7">
              <w:rPr>
                <w:rFonts w:hint="eastAsia"/>
                <w:lang w:eastAsia="zh-CN" w:bidi="ar-SA"/>
              </w:rPr>
              <w:t>1</w:t>
            </w:r>
            <w:r w:rsidR="00BC57E7" w:rsidRPr="00BC57E7">
              <w:rPr>
                <w:rFonts w:hint="eastAsia"/>
                <w:lang w:eastAsia="zh-CN" w:bidi="ar-SA"/>
              </w:rPr>
              <w:t>季度经常账户顺差占</w:t>
            </w:r>
            <w:r w:rsidR="00BC57E7" w:rsidRPr="00BC57E7">
              <w:rPr>
                <w:rFonts w:hint="eastAsia"/>
                <w:lang w:eastAsia="zh-CN" w:bidi="ar-SA"/>
              </w:rPr>
              <w:t>GDP</w:t>
            </w:r>
            <w:r w:rsidR="00BC57E7" w:rsidRPr="00BC57E7">
              <w:rPr>
                <w:rFonts w:hint="eastAsia"/>
                <w:lang w:eastAsia="zh-CN" w:bidi="ar-SA"/>
              </w:rPr>
              <w:t>比重预估在</w:t>
            </w:r>
            <w:r w:rsidR="00BC57E7" w:rsidRPr="00BC57E7">
              <w:rPr>
                <w:rFonts w:hint="eastAsia"/>
                <w:lang w:eastAsia="zh-CN" w:bidi="ar-SA"/>
              </w:rPr>
              <w:t>2.8%</w:t>
            </w:r>
            <w:r w:rsidR="00BC57E7" w:rsidRPr="00BC57E7">
              <w:rPr>
                <w:rFonts w:hint="eastAsia"/>
                <w:lang w:eastAsia="zh-CN" w:bidi="ar-SA"/>
              </w:rPr>
              <w:t>左右。从原因看，拖累我国出口增长的因素包括美国关税政策、全球经济前景恶化，支撑因素则包括主要经济体货币宽松效应、我国相对价格优势以及抢出口效应。当前，美国对除加拿大和墨西哥外的几乎所有国家（地区）均征收</w:t>
            </w:r>
            <w:r w:rsidR="00BC57E7" w:rsidRPr="00BC57E7">
              <w:rPr>
                <w:rFonts w:hint="eastAsia"/>
                <w:lang w:eastAsia="zh-CN" w:bidi="ar-SA"/>
              </w:rPr>
              <w:t>10%</w:t>
            </w:r>
            <w:r w:rsidR="00BC57E7" w:rsidRPr="00BC57E7">
              <w:rPr>
                <w:rFonts w:hint="eastAsia"/>
                <w:lang w:eastAsia="zh-CN" w:bidi="ar-SA"/>
              </w:rPr>
              <w:t>的基础关税，针对自我国进口商品的加征关税频次最多、幅度最大。美国激进的关税政策大幅提高全球贸易政策不确定性，显著增加全球产业链运行成本，进而拖累全球贸易和宏观经济增长。受此影响，叠加</w:t>
            </w:r>
            <w:r w:rsidR="00BC57E7" w:rsidRPr="00BC57E7">
              <w:rPr>
                <w:rFonts w:hint="eastAsia"/>
                <w:lang w:eastAsia="zh-CN" w:bidi="ar-SA"/>
              </w:rPr>
              <w:t>2024</w:t>
            </w:r>
            <w:r w:rsidR="00BC57E7" w:rsidRPr="00BC57E7">
              <w:rPr>
                <w:rFonts w:hint="eastAsia"/>
                <w:lang w:eastAsia="zh-CN" w:bidi="ar-SA"/>
              </w:rPr>
              <w:t>年基期较高的因素，预计</w:t>
            </w:r>
            <w:r w:rsidR="00BC57E7" w:rsidRPr="00BC57E7">
              <w:rPr>
                <w:rFonts w:hint="eastAsia"/>
                <w:lang w:eastAsia="zh-CN" w:bidi="ar-SA"/>
              </w:rPr>
              <w:t>2025</w:t>
            </w:r>
            <w:r w:rsidR="00BC57E7" w:rsidRPr="00BC57E7">
              <w:rPr>
                <w:rFonts w:hint="eastAsia"/>
                <w:lang w:eastAsia="zh-CN" w:bidi="ar-SA"/>
              </w:rPr>
              <w:t>年我国出口面临较大下行风险。美国对外经贸政策是影响我国出口走势的关键因素</w:t>
            </w:r>
            <w:r w:rsidRPr="009F0C37">
              <w:rPr>
                <w:lang w:eastAsia="zh-CN" w:bidi="ar-SA"/>
              </w:rPr>
              <w:t>。</w:t>
            </w:r>
          </w:p>
        </w:tc>
      </w:tr>
      <w:tr w:rsidR="009F0C37" w:rsidRPr="009F0C37" w14:paraId="44350ECA" w14:textId="77777777" w:rsidTr="00FE4928">
        <w:trPr>
          <w:trHeight w:val="150"/>
          <w:jc w:val="center"/>
        </w:trPr>
        <w:tc>
          <w:tcPr>
            <w:tcW w:w="2154" w:type="dxa"/>
            <w:vAlign w:val="center"/>
          </w:tcPr>
          <w:p w14:paraId="3F7A40C4" w14:textId="6673F356" w:rsidR="009F0C37" w:rsidRPr="009F0C37" w:rsidRDefault="00BC57E7" w:rsidP="009F0C37">
            <w:pPr>
              <w:ind w:firstLineChars="0" w:firstLine="0"/>
              <w:rPr>
                <w:rFonts w:eastAsia="楷体"/>
                <w:b/>
                <w:lang w:eastAsia="zh-CN" w:bidi="ar-SA"/>
              </w:rPr>
            </w:pPr>
            <w:r w:rsidRPr="00BC57E7">
              <w:rPr>
                <w:rFonts w:eastAsia="楷体" w:hint="eastAsia"/>
                <w:b/>
                <w:lang w:eastAsia="zh-CN"/>
              </w:rPr>
              <w:t>美国贸易政策导致全球货物贸易前景恶化</w:t>
            </w:r>
            <w:r w:rsidR="009F0C37" w:rsidRPr="009F0C37">
              <w:rPr>
                <w:rFonts w:eastAsia="楷体"/>
                <w:b/>
                <w:lang w:eastAsia="zh-CN"/>
              </w:rPr>
              <w:t>。</w:t>
            </w:r>
          </w:p>
        </w:tc>
        <w:tc>
          <w:tcPr>
            <w:tcW w:w="300" w:type="dxa"/>
          </w:tcPr>
          <w:p w14:paraId="5013784B" w14:textId="77777777" w:rsidR="009F0C37" w:rsidRPr="009F0C37" w:rsidRDefault="009F0C37" w:rsidP="009F0C37">
            <w:pPr>
              <w:keepNext/>
              <w:keepLines/>
              <w:ind w:firstLine="480"/>
              <w:rPr>
                <w:rFonts w:eastAsia="楷体_GB2312"/>
                <w:lang w:eastAsia="zh-CN"/>
              </w:rPr>
            </w:pPr>
          </w:p>
        </w:tc>
        <w:tc>
          <w:tcPr>
            <w:tcW w:w="7185" w:type="dxa"/>
            <w:gridSpan w:val="2"/>
          </w:tcPr>
          <w:p w14:paraId="15FAADF7" w14:textId="77777777" w:rsidR="009F0C37" w:rsidRPr="00DB72A0" w:rsidRDefault="009F0C37" w:rsidP="009F0C37">
            <w:pPr>
              <w:ind w:firstLineChars="0" w:firstLine="0"/>
              <w:rPr>
                <w:rFonts w:eastAsia="宋体"/>
                <w:b/>
                <w:sz w:val="28"/>
                <w:szCs w:val="28"/>
                <w:lang w:eastAsia="zh-CN" w:bidi="ar-SA"/>
              </w:rPr>
            </w:pPr>
            <w:r w:rsidRPr="00DB72A0">
              <w:rPr>
                <w:rFonts w:eastAsia="宋体" w:hint="eastAsia"/>
                <w:b/>
                <w:sz w:val="28"/>
                <w:szCs w:val="28"/>
                <w:lang w:eastAsia="zh-CN" w:bidi="ar-SA"/>
              </w:rPr>
              <w:t>一、全球货物贸易</w:t>
            </w:r>
          </w:p>
          <w:p w14:paraId="4CF0929A" w14:textId="384AC7F5" w:rsidR="009F0C37" w:rsidRPr="009F0C37" w:rsidRDefault="00BC57E7" w:rsidP="009F0C37">
            <w:pPr>
              <w:ind w:firstLine="482"/>
              <w:rPr>
                <w:rFonts w:eastAsia="宋体"/>
                <w:bCs/>
                <w:lang w:eastAsia="zh-CN"/>
              </w:rPr>
            </w:pPr>
            <w:r w:rsidRPr="00BC57E7">
              <w:rPr>
                <w:rFonts w:eastAsia="楷体" w:hint="eastAsia"/>
                <w:b/>
                <w:color w:val="000000"/>
                <w:kern w:val="0"/>
                <w:lang w:eastAsia="zh-CN"/>
              </w:rPr>
              <w:t>美国贸易政策导致全球货物贸易前景快速恶化</w:t>
            </w:r>
            <w:r w:rsidR="009F0C37" w:rsidRPr="009F0C37">
              <w:rPr>
                <w:rFonts w:eastAsia="楷体" w:hint="eastAsia"/>
                <w:b/>
                <w:color w:val="000000"/>
                <w:kern w:val="0"/>
                <w:lang w:eastAsia="zh-CN"/>
              </w:rPr>
              <w:t>。</w:t>
            </w:r>
            <w:r w:rsidR="00DA628E" w:rsidRPr="00DA628E">
              <w:rPr>
                <w:rFonts w:eastAsia="楷体" w:hint="eastAsia"/>
                <w:color w:val="000000"/>
                <w:kern w:val="0"/>
                <w:lang w:eastAsia="zh-CN"/>
              </w:rPr>
              <w:t>根据世界贸易组织（</w:t>
            </w:r>
            <w:r w:rsidR="00DA628E" w:rsidRPr="00DA628E">
              <w:rPr>
                <w:rFonts w:eastAsia="楷体" w:hint="eastAsia"/>
                <w:color w:val="000000"/>
                <w:kern w:val="0"/>
                <w:lang w:eastAsia="zh-CN"/>
              </w:rPr>
              <w:t>WTO</w:t>
            </w:r>
            <w:r w:rsidR="00DA628E" w:rsidRPr="00DA628E">
              <w:rPr>
                <w:rFonts w:eastAsia="楷体" w:hint="eastAsia"/>
                <w:color w:val="000000"/>
                <w:kern w:val="0"/>
                <w:lang w:eastAsia="zh-CN"/>
              </w:rPr>
              <w:t>）数据，</w:t>
            </w:r>
            <w:r w:rsidR="00DA628E" w:rsidRPr="00DA628E">
              <w:rPr>
                <w:rFonts w:eastAsia="楷体" w:hint="eastAsia"/>
                <w:color w:val="000000"/>
                <w:kern w:val="0"/>
                <w:lang w:eastAsia="zh-CN"/>
              </w:rPr>
              <w:t>2024</w:t>
            </w:r>
            <w:r w:rsidR="00DA628E" w:rsidRPr="00DA628E">
              <w:rPr>
                <w:rFonts w:eastAsia="楷体" w:hint="eastAsia"/>
                <w:color w:val="000000"/>
                <w:kern w:val="0"/>
                <w:lang w:eastAsia="zh-CN"/>
              </w:rPr>
              <w:t>年</w:t>
            </w:r>
            <w:r w:rsidR="00DA628E" w:rsidRPr="00DA628E">
              <w:rPr>
                <w:rFonts w:eastAsia="楷体" w:hint="eastAsia"/>
                <w:color w:val="000000"/>
                <w:kern w:val="0"/>
                <w:lang w:eastAsia="zh-CN"/>
              </w:rPr>
              <w:t>4</w:t>
            </w:r>
            <w:r w:rsidR="00DA628E" w:rsidRPr="00DA628E">
              <w:rPr>
                <w:rFonts w:eastAsia="楷体" w:hint="eastAsia"/>
                <w:color w:val="000000"/>
                <w:kern w:val="0"/>
                <w:lang w:eastAsia="zh-CN"/>
              </w:rPr>
              <w:t>季度全球出口总额</w:t>
            </w:r>
            <w:r w:rsidR="00DA628E" w:rsidRPr="00DA628E">
              <w:rPr>
                <w:rFonts w:eastAsia="楷体" w:hint="eastAsia"/>
                <w:color w:val="000000"/>
                <w:kern w:val="0"/>
                <w:lang w:eastAsia="zh-CN"/>
              </w:rPr>
              <w:t>5.71</w:t>
            </w:r>
            <w:r w:rsidR="00DA628E" w:rsidRPr="00DA628E">
              <w:rPr>
                <w:rFonts w:eastAsia="楷体" w:hint="eastAsia"/>
                <w:color w:val="000000"/>
                <w:kern w:val="0"/>
                <w:lang w:eastAsia="zh-CN"/>
              </w:rPr>
              <w:t>万亿美</w:t>
            </w:r>
            <w:r w:rsidR="009F0C37" w:rsidRPr="009F0C37">
              <w:rPr>
                <w:rFonts w:eastAsia="楷体"/>
                <w:color w:val="000000"/>
                <w:kern w:val="0"/>
                <w:lang w:eastAsia="zh-CN"/>
              </w:rPr>
              <w:t>元</w:t>
            </w:r>
            <w:r w:rsidR="009F0C37" w:rsidRPr="009F0C37">
              <w:rPr>
                <w:rFonts w:eastAsia="楷体"/>
                <w:color w:val="000000"/>
                <w:kern w:val="0"/>
                <w:vertAlign w:val="superscript"/>
                <w:lang w:eastAsia="zh-CN"/>
              </w:rPr>
              <w:footnoteReference w:id="3"/>
            </w:r>
            <w:r w:rsidR="009F0C37" w:rsidRPr="009F0C37">
              <w:rPr>
                <w:rFonts w:eastAsia="楷体"/>
                <w:color w:val="000000"/>
                <w:kern w:val="0"/>
                <w:lang w:eastAsia="zh-CN"/>
              </w:rPr>
              <w:t>，</w:t>
            </w:r>
            <w:r w:rsidR="00DA628E" w:rsidRPr="00DA628E">
              <w:rPr>
                <w:rFonts w:eastAsia="楷体" w:hint="eastAsia"/>
                <w:color w:val="000000"/>
                <w:kern w:val="0"/>
                <w:lang w:eastAsia="zh-CN"/>
              </w:rPr>
              <w:t>同比增速为</w:t>
            </w:r>
            <w:r w:rsidR="00DA628E" w:rsidRPr="00DA628E">
              <w:rPr>
                <w:rFonts w:eastAsia="楷体" w:hint="eastAsia"/>
                <w:color w:val="000000"/>
                <w:kern w:val="0"/>
                <w:lang w:eastAsia="zh-CN"/>
              </w:rPr>
              <w:t>3.8%</w:t>
            </w:r>
            <w:r w:rsidR="00DA628E" w:rsidRPr="00DA628E">
              <w:rPr>
                <w:rFonts w:eastAsia="楷体" w:hint="eastAsia"/>
                <w:color w:val="000000"/>
                <w:kern w:val="0"/>
                <w:lang w:eastAsia="zh-CN"/>
              </w:rPr>
              <w:t>，维持</w:t>
            </w:r>
            <w:r w:rsidR="00DA628E" w:rsidRPr="00DA628E">
              <w:rPr>
                <w:rFonts w:eastAsia="楷体" w:hint="eastAsia"/>
                <w:color w:val="000000"/>
                <w:kern w:val="0"/>
                <w:lang w:eastAsia="zh-CN"/>
              </w:rPr>
              <w:t>2023</w:t>
            </w:r>
            <w:r w:rsidR="00DA628E" w:rsidRPr="00DA628E">
              <w:rPr>
                <w:rFonts w:eastAsia="楷体" w:hint="eastAsia"/>
                <w:color w:val="000000"/>
                <w:kern w:val="0"/>
                <w:lang w:eastAsia="zh-CN"/>
              </w:rPr>
              <w:t>年以来的高位。过去五年</w:t>
            </w:r>
            <w:r w:rsidR="00DA628E" w:rsidRPr="00DA628E">
              <w:rPr>
                <w:rFonts w:eastAsia="楷体" w:hint="eastAsia"/>
                <w:color w:val="000000"/>
                <w:kern w:val="0"/>
                <w:lang w:eastAsia="zh-CN"/>
              </w:rPr>
              <w:t>CEEM</w:t>
            </w:r>
            <w:r w:rsidR="00DA628E" w:rsidRPr="00DA628E">
              <w:rPr>
                <w:rFonts w:eastAsia="楷体" w:hint="eastAsia"/>
                <w:color w:val="000000"/>
                <w:kern w:val="0"/>
                <w:lang w:eastAsia="zh-CN"/>
              </w:rPr>
              <w:t>中国外部需求指数（简称</w:t>
            </w:r>
            <w:r w:rsidR="00DA628E" w:rsidRPr="00DA628E">
              <w:rPr>
                <w:rFonts w:eastAsia="楷体" w:hint="eastAsia"/>
                <w:color w:val="000000"/>
                <w:kern w:val="0"/>
                <w:lang w:eastAsia="zh-CN"/>
              </w:rPr>
              <w:t>CEEM-PM</w:t>
            </w:r>
            <w:r w:rsidR="009F0C37" w:rsidRPr="009F0C37">
              <w:rPr>
                <w:rFonts w:eastAsia="楷体" w:hint="eastAsia"/>
                <w:color w:val="000000"/>
                <w:kern w:val="0"/>
                <w:lang w:eastAsia="zh-CN"/>
              </w:rPr>
              <w:t>I</w:t>
            </w:r>
            <w:r w:rsidR="009F0C37" w:rsidRPr="009F0C37">
              <w:rPr>
                <w:rFonts w:eastAsia="楷体"/>
                <w:color w:val="000000"/>
                <w:kern w:val="0"/>
                <w:vertAlign w:val="superscript"/>
                <w:lang w:eastAsia="zh-CN"/>
              </w:rPr>
              <w:footnoteReference w:id="4"/>
            </w:r>
            <w:r w:rsidR="009F0C37" w:rsidRPr="009F0C37">
              <w:rPr>
                <w:rFonts w:eastAsia="楷体" w:hint="eastAsia"/>
                <w:color w:val="000000"/>
                <w:kern w:val="0"/>
                <w:lang w:eastAsia="zh-CN"/>
              </w:rPr>
              <w:t>）</w:t>
            </w:r>
            <w:r w:rsidR="00DA628E" w:rsidRPr="00DA628E">
              <w:rPr>
                <w:rFonts w:eastAsia="楷体" w:hint="eastAsia"/>
                <w:color w:val="000000"/>
                <w:kern w:val="0"/>
                <w:lang w:eastAsia="zh-CN"/>
              </w:rPr>
              <w:t>与</w:t>
            </w:r>
            <w:r w:rsidR="00DA628E" w:rsidRPr="00DA628E">
              <w:rPr>
                <w:rFonts w:eastAsia="楷体" w:hint="eastAsia"/>
                <w:color w:val="000000"/>
                <w:kern w:val="0"/>
                <w:lang w:eastAsia="zh-CN"/>
              </w:rPr>
              <w:t>3</w:t>
            </w:r>
            <w:r w:rsidR="00DA628E" w:rsidRPr="00DA628E">
              <w:rPr>
                <w:rFonts w:eastAsia="楷体" w:hint="eastAsia"/>
                <w:color w:val="000000"/>
                <w:kern w:val="0"/>
                <w:lang w:eastAsia="zh-CN"/>
              </w:rPr>
              <w:t>个月移动平均的全球出口增速走势高度一致。</w:t>
            </w:r>
            <w:r w:rsidR="00DA628E" w:rsidRPr="00DA628E">
              <w:rPr>
                <w:rFonts w:eastAsia="楷体" w:hint="eastAsia"/>
                <w:color w:val="000000"/>
                <w:kern w:val="0"/>
                <w:lang w:eastAsia="zh-CN"/>
              </w:rPr>
              <w:t>2025</w:t>
            </w:r>
            <w:r w:rsidR="00DA628E" w:rsidRPr="00DA628E">
              <w:rPr>
                <w:rFonts w:eastAsia="楷体" w:hint="eastAsia"/>
                <w:color w:val="000000"/>
                <w:kern w:val="0"/>
                <w:lang w:eastAsia="zh-CN"/>
              </w:rPr>
              <w:t>年</w:t>
            </w:r>
            <w:r w:rsidR="00DA628E" w:rsidRPr="00DA628E">
              <w:rPr>
                <w:rFonts w:eastAsia="楷体" w:hint="eastAsia"/>
                <w:color w:val="000000"/>
                <w:kern w:val="0"/>
                <w:lang w:eastAsia="zh-CN"/>
              </w:rPr>
              <w:t>1-2</w:t>
            </w:r>
            <w:r w:rsidR="00DA628E" w:rsidRPr="00DA628E">
              <w:rPr>
                <w:rFonts w:eastAsia="楷体" w:hint="eastAsia"/>
                <w:color w:val="000000"/>
                <w:kern w:val="0"/>
                <w:lang w:eastAsia="zh-CN"/>
              </w:rPr>
              <w:t>月，随着全球货币政策进入宽松周期，</w:t>
            </w:r>
            <w:r w:rsidR="00DA628E" w:rsidRPr="00DA628E">
              <w:rPr>
                <w:rFonts w:eastAsia="楷体" w:hint="eastAsia"/>
                <w:color w:val="000000"/>
                <w:kern w:val="0"/>
                <w:lang w:eastAsia="zh-CN"/>
              </w:rPr>
              <w:t>CEEM-PMI</w:t>
            </w:r>
            <w:r w:rsidR="00DA628E" w:rsidRPr="00DA628E">
              <w:rPr>
                <w:rFonts w:eastAsia="楷体" w:hint="eastAsia"/>
                <w:color w:val="000000"/>
                <w:kern w:val="0"/>
                <w:lang w:eastAsia="zh-CN"/>
              </w:rPr>
              <w:t>回升至</w:t>
            </w:r>
            <w:r w:rsidR="00DA628E" w:rsidRPr="00DA628E">
              <w:rPr>
                <w:rFonts w:eastAsia="楷体" w:hint="eastAsia"/>
                <w:color w:val="000000"/>
                <w:kern w:val="0"/>
                <w:lang w:eastAsia="zh-CN"/>
              </w:rPr>
              <w:t>50</w:t>
            </w:r>
            <w:r w:rsidR="00DA628E" w:rsidRPr="00DA628E">
              <w:rPr>
                <w:rFonts w:eastAsia="楷体" w:hint="eastAsia"/>
                <w:color w:val="000000"/>
                <w:kern w:val="0"/>
                <w:lang w:eastAsia="zh-CN"/>
              </w:rPr>
              <w:t>左右，但</w:t>
            </w:r>
            <w:r w:rsidR="00DA628E" w:rsidRPr="00DA628E">
              <w:rPr>
                <w:rFonts w:eastAsia="楷体" w:hint="eastAsia"/>
                <w:color w:val="000000"/>
                <w:kern w:val="0"/>
                <w:lang w:eastAsia="zh-CN"/>
              </w:rPr>
              <w:t>3</w:t>
            </w:r>
            <w:r w:rsidR="00DA628E" w:rsidRPr="00DA628E">
              <w:rPr>
                <w:rFonts w:eastAsia="楷体" w:hint="eastAsia"/>
                <w:color w:val="000000"/>
                <w:kern w:val="0"/>
                <w:lang w:eastAsia="zh-CN"/>
              </w:rPr>
              <w:t>月受美国关税政策影响、再度降至</w:t>
            </w:r>
            <w:r w:rsidR="00DA628E" w:rsidRPr="00DA628E">
              <w:rPr>
                <w:rFonts w:eastAsia="楷体" w:hint="eastAsia"/>
                <w:color w:val="000000"/>
                <w:kern w:val="0"/>
                <w:lang w:eastAsia="zh-CN"/>
              </w:rPr>
              <w:t>49.6</w:t>
            </w:r>
            <w:r w:rsidR="00DA628E" w:rsidRPr="00DA628E">
              <w:rPr>
                <w:rFonts w:eastAsia="楷体" w:hint="eastAsia"/>
                <w:color w:val="000000"/>
                <w:kern w:val="0"/>
                <w:lang w:eastAsia="zh-CN"/>
              </w:rPr>
              <w:t>，显示全球经济景气程度快速恶化，全球贸易预计将随之走弱</w:t>
            </w:r>
            <w:r w:rsidR="009F0C37" w:rsidRPr="009F0C37">
              <w:rPr>
                <w:rFonts w:eastAsia="宋体" w:hint="eastAsia"/>
                <w:bCs/>
                <w:lang w:eastAsia="zh-CN" w:bidi="ar-SA"/>
              </w:rPr>
              <w:t>。</w:t>
            </w:r>
          </w:p>
        </w:tc>
      </w:tr>
      <w:tr w:rsidR="009F0C37" w:rsidRPr="009F0C37" w14:paraId="47C6BF14" w14:textId="77777777" w:rsidTr="00FE4928">
        <w:trPr>
          <w:trHeight w:val="150"/>
          <w:jc w:val="center"/>
        </w:trPr>
        <w:tc>
          <w:tcPr>
            <w:tcW w:w="9639" w:type="dxa"/>
            <w:gridSpan w:val="4"/>
            <w:vAlign w:val="center"/>
          </w:tcPr>
          <w:p w14:paraId="428523FD" w14:textId="7275AEEF" w:rsidR="009F0C37" w:rsidRPr="00DB2622" w:rsidRDefault="00D37774" w:rsidP="00D37774">
            <w:pPr>
              <w:pStyle w:val="a4"/>
            </w:pPr>
            <w:bookmarkStart w:id="122" w:name="_Toc196399460"/>
            <w:r>
              <w:rPr>
                <w:rFonts w:hint="eastAsia"/>
              </w:rPr>
              <w:lastRenderedPageBreak/>
              <w:t xml:space="preserve">图表 </w:t>
            </w:r>
            <w:r>
              <w:rPr>
                <w:rFonts w:hint="eastAsia"/>
              </w:rPr>
              <w:fldChar w:fldCharType="begin"/>
            </w:r>
            <w:r>
              <w:rPr>
                <w:rFonts w:hint="eastAsia"/>
              </w:rPr>
              <w:instrText xml:space="preserve"> SEQ 图表 \* ARABIC </w:instrText>
            </w:r>
            <w:r>
              <w:rPr>
                <w:rFonts w:hint="eastAsia"/>
              </w:rPr>
              <w:fldChar w:fldCharType="separate"/>
            </w:r>
            <w:r w:rsidR="00530ED7">
              <w:rPr>
                <w:rFonts w:hint="eastAsia"/>
                <w:noProof/>
              </w:rPr>
              <w:t>49</w:t>
            </w:r>
            <w:r>
              <w:rPr>
                <w:rFonts w:hint="eastAsia"/>
              </w:rPr>
              <w:fldChar w:fldCharType="end"/>
            </w:r>
            <w:r w:rsidRPr="00D37774">
              <w:t xml:space="preserve">  </w:t>
            </w:r>
            <w:r w:rsidR="009F0C37" w:rsidRPr="00DB2622">
              <w:t>预估4季度全球贸易表现将跟随全球经济景气程度改善</w:t>
            </w:r>
            <w:bookmarkEnd w:id="122"/>
          </w:p>
          <w:p w14:paraId="08C27B21" w14:textId="3FED3397" w:rsidR="009F0C37" w:rsidRPr="009F0C37" w:rsidRDefault="00DA628E" w:rsidP="009F0C37">
            <w:pPr>
              <w:ind w:firstLineChars="0" w:firstLine="0"/>
              <w:jc w:val="center"/>
              <w:rPr>
                <w:rFonts w:eastAsia="宋体"/>
                <w:bCs/>
                <w:lang w:eastAsia="zh-CN" w:bidi="ar-SA"/>
              </w:rPr>
            </w:pPr>
            <w:r>
              <w:rPr>
                <w:b/>
                <w:noProof/>
                <w:sz w:val="28"/>
                <w:szCs w:val="28"/>
                <w:lang w:eastAsia="zh-CN" w:bidi="ar-SA"/>
              </w:rPr>
              <w:drawing>
                <wp:inline distT="0" distB="0" distL="0" distR="0" wp14:anchorId="09E10E96" wp14:editId="19F94518">
                  <wp:extent cx="4297680" cy="2377440"/>
                  <wp:effectExtent l="0" t="0" r="7620" b="3810"/>
                  <wp:docPr id="13984834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48342" name="图片 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a:xfrm>
                            <a:off x="0" y="0"/>
                            <a:ext cx="4297680" cy="2377440"/>
                          </a:xfrm>
                          <a:prstGeom prst="rect">
                            <a:avLst/>
                          </a:prstGeom>
                          <a:noFill/>
                          <a:ln>
                            <a:noFill/>
                          </a:ln>
                        </pic:spPr>
                      </pic:pic>
                    </a:graphicData>
                  </a:graphic>
                </wp:inline>
              </w:drawing>
            </w:r>
          </w:p>
          <w:p w14:paraId="27FA48C7" w14:textId="5A019708" w:rsidR="009F0C37" w:rsidRPr="009F0C37" w:rsidRDefault="009F0C37" w:rsidP="009F0C37">
            <w:pPr>
              <w:ind w:firstLineChars="0" w:firstLine="0"/>
              <w:jc w:val="center"/>
              <w:rPr>
                <w:rFonts w:eastAsia="宋体"/>
                <w:bCs/>
                <w:lang w:eastAsia="zh-CN" w:bidi="ar-SA"/>
              </w:rPr>
            </w:pPr>
            <w:r w:rsidRPr="009F0C37">
              <w:rPr>
                <w:rFonts w:eastAsia="宋体" w:hint="eastAsia"/>
                <w:bCs/>
                <w:lang w:eastAsia="zh-CN" w:bidi="ar-SA"/>
              </w:rPr>
              <w:t>注：</w:t>
            </w:r>
            <w:r w:rsidR="00DA628E" w:rsidRPr="00DA628E">
              <w:rPr>
                <w:rFonts w:eastAsia="宋体" w:hint="eastAsia"/>
                <w:bCs/>
                <w:lang w:eastAsia="zh-CN" w:bidi="ar-SA"/>
              </w:rPr>
              <w:t>全球出口增速为</w:t>
            </w:r>
            <w:r w:rsidR="00DA628E" w:rsidRPr="00DA628E">
              <w:rPr>
                <w:rFonts w:eastAsia="宋体" w:hint="eastAsia"/>
                <w:bCs/>
                <w:lang w:eastAsia="zh-CN" w:bidi="ar-SA"/>
              </w:rPr>
              <w:t>t</w:t>
            </w:r>
            <w:r w:rsidR="00DA628E" w:rsidRPr="00DA628E">
              <w:rPr>
                <w:rFonts w:eastAsia="宋体" w:hint="eastAsia"/>
                <w:bCs/>
                <w:lang w:eastAsia="zh-CN" w:bidi="ar-SA"/>
              </w:rPr>
              <w:t>期、</w:t>
            </w:r>
            <w:r w:rsidR="00DA628E" w:rsidRPr="00DA628E">
              <w:rPr>
                <w:rFonts w:eastAsia="宋体" w:hint="eastAsia"/>
                <w:bCs/>
                <w:lang w:eastAsia="zh-CN" w:bidi="ar-SA"/>
              </w:rPr>
              <w:t>t-1</w:t>
            </w:r>
            <w:r w:rsidR="00DA628E" w:rsidRPr="00DA628E">
              <w:rPr>
                <w:rFonts w:eastAsia="宋体" w:hint="eastAsia"/>
                <w:bCs/>
                <w:lang w:eastAsia="zh-CN" w:bidi="ar-SA"/>
              </w:rPr>
              <w:t>期及</w:t>
            </w:r>
            <w:r w:rsidR="00DA628E" w:rsidRPr="00DA628E">
              <w:rPr>
                <w:rFonts w:eastAsia="宋体" w:hint="eastAsia"/>
                <w:bCs/>
                <w:lang w:eastAsia="zh-CN" w:bidi="ar-SA"/>
              </w:rPr>
              <w:t>t-2</w:t>
            </w:r>
            <w:r w:rsidR="00DA628E" w:rsidRPr="00DA628E">
              <w:rPr>
                <w:rFonts w:eastAsia="宋体" w:hint="eastAsia"/>
                <w:bCs/>
                <w:lang w:eastAsia="zh-CN" w:bidi="ar-SA"/>
              </w:rPr>
              <w:t>期的平均值，</w:t>
            </w:r>
            <w:r w:rsidR="00DA628E" w:rsidRPr="00DA628E">
              <w:rPr>
                <w:rFonts w:eastAsia="宋体" w:hint="eastAsia"/>
                <w:bCs/>
                <w:lang w:eastAsia="zh-CN" w:bidi="ar-SA"/>
              </w:rPr>
              <w:t>2025</w:t>
            </w:r>
            <w:r w:rsidR="00DA628E" w:rsidRPr="00DA628E">
              <w:rPr>
                <w:rFonts w:eastAsia="宋体" w:hint="eastAsia"/>
                <w:bCs/>
                <w:lang w:eastAsia="zh-CN" w:bidi="ar-SA"/>
              </w:rPr>
              <w:t>年</w:t>
            </w:r>
            <w:r w:rsidR="00DA628E" w:rsidRPr="00DA628E">
              <w:rPr>
                <w:rFonts w:eastAsia="宋体" w:hint="eastAsia"/>
                <w:bCs/>
                <w:lang w:eastAsia="zh-CN" w:bidi="ar-SA"/>
              </w:rPr>
              <w:t>2-3</w:t>
            </w:r>
            <w:r w:rsidR="00DA628E" w:rsidRPr="00DA628E">
              <w:rPr>
                <w:rFonts w:eastAsia="宋体" w:hint="eastAsia"/>
                <w:bCs/>
                <w:lang w:eastAsia="zh-CN" w:bidi="ar-SA"/>
              </w:rPr>
              <w:t>月为预测值</w:t>
            </w:r>
            <w:r w:rsidRPr="009F0C37">
              <w:rPr>
                <w:rFonts w:eastAsia="宋体"/>
                <w:bCs/>
                <w:lang w:eastAsia="zh-CN" w:bidi="ar-SA"/>
              </w:rPr>
              <w:t>。</w:t>
            </w:r>
          </w:p>
        </w:tc>
      </w:tr>
      <w:tr w:rsidR="009F0C37" w:rsidRPr="009F0C37" w14:paraId="41CB94CF" w14:textId="77777777" w:rsidTr="00FE4928">
        <w:trPr>
          <w:trHeight w:val="150"/>
          <w:jc w:val="center"/>
        </w:trPr>
        <w:tc>
          <w:tcPr>
            <w:tcW w:w="2154" w:type="dxa"/>
            <w:vAlign w:val="center"/>
          </w:tcPr>
          <w:p w14:paraId="2E9D325E" w14:textId="494BA086" w:rsidR="009F0C37" w:rsidRPr="009F0C37" w:rsidRDefault="006E654E" w:rsidP="009F0C37">
            <w:pPr>
              <w:spacing w:line="276" w:lineRule="auto"/>
              <w:ind w:firstLineChars="0" w:firstLine="0"/>
              <w:rPr>
                <w:rFonts w:eastAsia="楷体"/>
                <w:b/>
                <w:lang w:eastAsia="zh-CN"/>
              </w:rPr>
            </w:pPr>
            <w:r w:rsidRPr="006E654E">
              <w:rPr>
                <w:rFonts w:eastAsia="楷体" w:hint="eastAsia"/>
                <w:b/>
                <w:lang w:eastAsia="zh-CN"/>
              </w:rPr>
              <w:t>1</w:t>
            </w:r>
            <w:r w:rsidRPr="006E654E">
              <w:rPr>
                <w:rFonts w:eastAsia="楷体" w:hint="eastAsia"/>
                <w:b/>
                <w:lang w:eastAsia="zh-CN"/>
              </w:rPr>
              <w:t>季度出口增速虽有回落，但仍高于</w:t>
            </w:r>
            <w:r w:rsidRPr="006E654E">
              <w:rPr>
                <w:rFonts w:eastAsia="楷体" w:hint="eastAsia"/>
                <w:b/>
                <w:lang w:eastAsia="zh-CN"/>
              </w:rPr>
              <w:t>2015</w:t>
            </w:r>
            <w:r w:rsidRPr="006E654E">
              <w:rPr>
                <w:rFonts w:eastAsia="楷体" w:hint="eastAsia"/>
                <w:b/>
                <w:lang w:eastAsia="zh-CN"/>
              </w:rPr>
              <w:t>年以来的历史同期中位数</w:t>
            </w:r>
            <w:r w:rsidR="009F0C37" w:rsidRPr="009F0C37">
              <w:rPr>
                <w:rFonts w:eastAsia="楷体" w:hint="eastAsia"/>
                <w:b/>
                <w:lang w:eastAsia="zh-CN"/>
              </w:rPr>
              <w:t>。</w:t>
            </w:r>
          </w:p>
          <w:p w14:paraId="5FA1FA4B" w14:textId="77777777" w:rsidR="009F0C37" w:rsidRPr="009F0C37" w:rsidRDefault="009F0C37" w:rsidP="009F0C37">
            <w:pPr>
              <w:spacing w:line="276" w:lineRule="auto"/>
              <w:ind w:firstLineChars="0" w:firstLine="0"/>
              <w:rPr>
                <w:rFonts w:eastAsia="楷体"/>
                <w:b/>
                <w:lang w:eastAsia="zh-CN"/>
              </w:rPr>
            </w:pPr>
          </w:p>
          <w:p w14:paraId="640BE749" w14:textId="77777777" w:rsidR="009F0C37" w:rsidRPr="009F0C37" w:rsidRDefault="009F0C37" w:rsidP="009F0C37">
            <w:pPr>
              <w:spacing w:line="276" w:lineRule="auto"/>
              <w:ind w:firstLineChars="0" w:firstLine="0"/>
              <w:rPr>
                <w:rFonts w:eastAsia="楷体"/>
                <w:b/>
                <w:lang w:eastAsia="zh-CN"/>
              </w:rPr>
            </w:pPr>
          </w:p>
          <w:p w14:paraId="37B4C5C5" w14:textId="0A54B6D1" w:rsidR="009F0C37" w:rsidRPr="009F0C37" w:rsidRDefault="006E654E" w:rsidP="009F0C37">
            <w:pPr>
              <w:spacing w:line="276" w:lineRule="auto"/>
              <w:ind w:firstLineChars="0" w:firstLine="0"/>
              <w:rPr>
                <w:rFonts w:eastAsia="楷体"/>
                <w:b/>
                <w:lang w:eastAsia="zh-CN"/>
              </w:rPr>
            </w:pPr>
            <w:r w:rsidRPr="006E654E">
              <w:rPr>
                <w:rFonts w:eastAsia="楷体" w:hint="eastAsia"/>
                <w:b/>
                <w:lang w:eastAsia="zh-CN"/>
              </w:rPr>
              <w:t>1</w:t>
            </w:r>
            <w:r w:rsidRPr="006E654E">
              <w:rPr>
                <w:rFonts w:eastAsia="楷体" w:hint="eastAsia"/>
                <w:b/>
                <w:lang w:eastAsia="zh-CN"/>
              </w:rPr>
              <w:t>季度，中国对多数贸易伙伴出口增速回落</w:t>
            </w:r>
            <w:r w:rsidR="009F0C37" w:rsidRPr="009F0C37">
              <w:rPr>
                <w:rFonts w:eastAsia="楷体"/>
                <w:b/>
                <w:lang w:eastAsia="zh-CN"/>
              </w:rPr>
              <w:t>。</w:t>
            </w:r>
          </w:p>
          <w:p w14:paraId="2D13DFC6" w14:textId="77777777" w:rsidR="009F0C37" w:rsidRPr="009F0C37" w:rsidRDefault="009F0C37" w:rsidP="009F0C37">
            <w:pPr>
              <w:ind w:firstLineChars="0" w:firstLine="0"/>
              <w:rPr>
                <w:rFonts w:eastAsia="楷体"/>
                <w:b/>
                <w:lang w:eastAsia="zh-CN"/>
              </w:rPr>
            </w:pPr>
          </w:p>
          <w:p w14:paraId="6E7C7429" w14:textId="77777777" w:rsidR="009F0C37" w:rsidRPr="009F0C37" w:rsidRDefault="009F0C37" w:rsidP="009F0C37">
            <w:pPr>
              <w:ind w:firstLineChars="0" w:firstLine="0"/>
              <w:rPr>
                <w:rFonts w:eastAsia="楷体"/>
                <w:b/>
                <w:lang w:eastAsia="zh-CN"/>
              </w:rPr>
            </w:pPr>
          </w:p>
          <w:p w14:paraId="378142CE" w14:textId="77777777" w:rsidR="009F0C37" w:rsidRPr="009F0C37" w:rsidRDefault="009F0C37" w:rsidP="009F0C37">
            <w:pPr>
              <w:ind w:firstLineChars="0" w:firstLine="0"/>
              <w:rPr>
                <w:rFonts w:eastAsia="楷体"/>
                <w:b/>
                <w:lang w:eastAsia="zh-CN"/>
              </w:rPr>
            </w:pPr>
          </w:p>
          <w:p w14:paraId="74ECA0B0" w14:textId="0198611A" w:rsidR="009F0C37" w:rsidRPr="00D708A7" w:rsidRDefault="006E654E" w:rsidP="009F0C37">
            <w:pPr>
              <w:spacing w:line="276" w:lineRule="auto"/>
              <w:ind w:firstLineChars="0" w:firstLine="0"/>
              <w:rPr>
                <w:rFonts w:eastAsia="楷体"/>
                <w:b/>
                <w:lang w:eastAsia="zh-CN"/>
              </w:rPr>
            </w:pPr>
            <w:r w:rsidRPr="006E654E">
              <w:rPr>
                <w:rFonts w:eastAsia="楷体" w:hint="eastAsia"/>
                <w:b/>
                <w:lang w:eastAsia="zh-CN"/>
              </w:rPr>
              <w:t>一般贸易和加工贸易出口增速不同程度回落，其他贸易方式出口增速逆势回升</w:t>
            </w:r>
            <w:r w:rsidR="009F0C37" w:rsidRPr="009F0C37">
              <w:rPr>
                <w:rFonts w:eastAsia="楷体" w:hint="eastAsia"/>
                <w:b/>
                <w:lang w:eastAsia="zh-CN"/>
              </w:rPr>
              <w:t>。</w:t>
            </w:r>
          </w:p>
        </w:tc>
        <w:tc>
          <w:tcPr>
            <w:tcW w:w="300" w:type="dxa"/>
          </w:tcPr>
          <w:p w14:paraId="34DD878F" w14:textId="77777777" w:rsidR="009F0C37" w:rsidRPr="009F0C37" w:rsidRDefault="009F0C37" w:rsidP="009F0C37">
            <w:pPr>
              <w:keepNext/>
              <w:keepLines/>
              <w:ind w:firstLine="480"/>
              <w:rPr>
                <w:rFonts w:eastAsia="楷体_GB2312"/>
                <w:lang w:eastAsia="zh-CN"/>
              </w:rPr>
            </w:pPr>
          </w:p>
        </w:tc>
        <w:tc>
          <w:tcPr>
            <w:tcW w:w="7185" w:type="dxa"/>
            <w:gridSpan w:val="2"/>
          </w:tcPr>
          <w:p w14:paraId="31A64A19" w14:textId="2AF08E2A" w:rsidR="009F0C37" w:rsidRPr="009F0C37" w:rsidRDefault="009F0C37" w:rsidP="009F0C37">
            <w:pPr>
              <w:ind w:firstLine="562"/>
              <w:rPr>
                <w:rFonts w:eastAsia="楷体"/>
                <w:b/>
                <w:sz w:val="28"/>
                <w:szCs w:val="28"/>
                <w:lang w:eastAsia="zh-CN"/>
              </w:rPr>
            </w:pPr>
            <w:r w:rsidRPr="009F0C37">
              <w:rPr>
                <w:rFonts w:eastAsia="楷体"/>
                <w:b/>
                <w:sz w:val="28"/>
                <w:szCs w:val="28"/>
                <w:lang w:eastAsia="zh-CN"/>
              </w:rPr>
              <w:t>二、</w:t>
            </w:r>
            <w:r w:rsidR="006E654E" w:rsidRPr="006E654E">
              <w:rPr>
                <w:rFonts w:eastAsia="楷体" w:hint="eastAsia"/>
                <w:b/>
                <w:sz w:val="28"/>
                <w:szCs w:val="28"/>
                <w:lang w:eastAsia="zh-CN"/>
              </w:rPr>
              <w:t>中国出口增速回落</w:t>
            </w:r>
          </w:p>
          <w:p w14:paraId="5B58B428" w14:textId="7C3B8C3B" w:rsidR="009F0C37" w:rsidRPr="0057127D" w:rsidRDefault="00934F90" w:rsidP="009F0C37">
            <w:pPr>
              <w:ind w:firstLine="480"/>
              <w:rPr>
                <w:rFonts w:asciiTheme="minorEastAsia" w:hAnsiTheme="minorEastAsia"/>
                <w:lang w:eastAsia="zh-CN" w:bidi="ar-SA"/>
              </w:rPr>
            </w:pPr>
            <w:r w:rsidRPr="0057127D">
              <w:rPr>
                <w:rFonts w:asciiTheme="minorEastAsia" w:hAnsiTheme="minorEastAsia" w:hint="eastAsia"/>
                <w:lang w:eastAsia="zh-CN" w:bidi="ar-SA"/>
              </w:rPr>
              <w:t>中国海关数据显示，2025年1季度，以人民币计，中国出口总额6.1万亿元，同比增长6.9%；以美元计，出口总额8537亿美元，同比增长5.7%，较上季度下降4.2个百分点。2015年至今，约有一半时间当年1季度同比增速低于上一年4季度，</w:t>
            </w:r>
            <w:r w:rsidRPr="0057127D">
              <w:rPr>
                <w:rFonts w:asciiTheme="minorEastAsia" w:hAnsiTheme="minorEastAsia" w:hint="eastAsia"/>
                <w:b/>
                <w:bCs/>
                <w:lang w:eastAsia="zh-CN" w:bidi="ar-SA"/>
              </w:rPr>
              <w:t>主要反映贸易增速呈现周期下行趋势</w:t>
            </w:r>
            <w:r w:rsidRPr="0057127D">
              <w:rPr>
                <w:rFonts w:asciiTheme="minorEastAsia" w:hAnsiTheme="minorEastAsia" w:hint="eastAsia"/>
                <w:lang w:eastAsia="zh-CN" w:bidi="ar-SA"/>
              </w:rPr>
              <w:t>。不过，</w:t>
            </w:r>
            <w:r w:rsidRPr="0057127D">
              <w:rPr>
                <w:rFonts w:asciiTheme="minorEastAsia" w:hAnsiTheme="minorEastAsia"/>
                <w:b/>
                <w:bCs/>
                <w:lang w:eastAsia="zh-CN" w:bidi="ar-SA"/>
              </w:rPr>
              <w:t>2025</w:t>
            </w:r>
            <w:r w:rsidRPr="0057127D">
              <w:rPr>
                <w:rFonts w:asciiTheme="minorEastAsia" w:hAnsiTheme="minorEastAsia" w:hint="eastAsia"/>
                <w:b/>
                <w:bCs/>
                <w:lang w:eastAsia="zh-CN" w:bidi="ar-SA"/>
              </w:rPr>
              <w:t>年</w:t>
            </w:r>
            <w:r w:rsidRPr="0057127D">
              <w:rPr>
                <w:rFonts w:asciiTheme="minorEastAsia" w:hAnsiTheme="minorEastAsia"/>
                <w:b/>
                <w:bCs/>
                <w:lang w:eastAsia="zh-CN" w:bidi="ar-SA"/>
              </w:rPr>
              <w:t>1</w:t>
            </w:r>
            <w:r w:rsidRPr="0057127D">
              <w:rPr>
                <w:rFonts w:asciiTheme="minorEastAsia" w:hAnsiTheme="minorEastAsia" w:hint="eastAsia"/>
                <w:b/>
                <w:bCs/>
                <w:lang w:eastAsia="zh-CN" w:bidi="ar-SA"/>
              </w:rPr>
              <w:t>季度增速仍高于</w:t>
            </w:r>
            <w:r w:rsidRPr="0057127D">
              <w:rPr>
                <w:rFonts w:asciiTheme="minorEastAsia" w:hAnsiTheme="minorEastAsia"/>
                <w:b/>
                <w:bCs/>
                <w:lang w:eastAsia="zh-CN" w:bidi="ar-SA"/>
              </w:rPr>
              <w:t>2015</w:t>
            </w:r>
            <w:r w:rsidRPr="0057127D">
              <w:rPr>
                <w:rFonts w:asciiTheme="minorEastAsia" w:hAnsiTheme="minorEastAsia" w:hint="eastAsia"/>
                <w:b/>
                <w:bCs/>
                <w:lang w:eastAsia="zh-CN" w:bidi="ar-SA"/>
              </w:rPr>
              <w:t>年以来的历史同期中位数（</w:t>
            </w:r>
            <w:r w:rsidRPr="0057127D">
              <w:rPr>
                <w:rFonts w:asciiTheme="minorEastAsia" w:hAnsiTheme="minorEastAsia"/>
                <w:b/>
                <w:bCs/>
                <w:lang w:eastAsia="zh-CN" w:bidi="ar-SA"/>
              </w:rPr>
              <w:t>1.99%</w:t>
            </w:r>
            <w:r w:rsidRPr="0057127D">
              <w:rPr>
                <w:rFonts w:asciiTheme="minorEastAsia" w:hAnsiTheme="minorEastAsia" w:hint="eastAsia"/>
                <w:b/>
                <w:bCs/>
                <w:lang w:eastAsia="zh-CN" w:bidi="ar-SA"/>
              </w:rPr>
              <w:t>）</w:t>
            </w:r>
            <w:r w:rsidRPr="0057127D">
              <w:rPr>
                <w:rFonts w:asciiTheme="minorEastAsia" w:hAnsiTheme="minorEastAsia" w:hint="eastAsia"/>
                <w:lang w:eastAsia="zh-CN" w:bidi="ar-SA"/>
              </w:rPr>
              <w:t>。逐月看，2月受春节效应影响出口同比负增，但1月和3月出口增速均高于2015-2024年同期均值，且3月出口增速高达12.4%。从量价分解看，1-2月，出口价格同比继续负增，出口数量仍然较为强劲。从原因看，拖累我国出口增长的因素包括美国关税政策、全球经济前景恶化，支撑因素则包括主要经济体货币宽松效应、我国相对价格优势以及抢出口效应</w:t>
            </w:r>
            <w:r w:rsidR="009F0C37" w:rsidRPr="0057127D">
              <w:rPr>
                <w:rFonts w:asciiTheme="minorEastAsia" w:hAnsiTheme="minorEastAsia" w:hint="eastAsia"/>
                <w:lang w:eastAsia="zh-CN" w:bidi="ar-SA"/>
              </w:rPr>
              <w:t>。</w:t>
            </w:r>
          </w:p>
          <w:p w14:paraId="326B5471" w14:textId="6774889F" w:rsidR="00F90FB0" w:rsidRPr="0057127D" w:rsidRDefault="00F90FB0" w:rsidP="009F0C37">
            <w:pPr>
              <w:ind w:firstLine="482"/>
              <w:rPr>
                <w:rFonts w:asciiTheme="minorEastAsia" w:hAnsiTheme="minorEastAsia"/>
                <w:lang w:eastAsia="zh-CN" w:bidi="ar-SA"/>
              </w:rPr>
            </w:pPr>
            <w:r w:rsidRPr="0057127D">
              <w:rPr>
                <w:rFonts w:asciiTheme="minorEastAsia" w:hAnsiTheme="minorEastAsia" w:hint="eastAsia"/>
                <w:b/>
                <w:bCs/>
                <w:lang w:eastAsia="zh-CN" w:bidi="ar-SA"/>
              </w:rPr>
              <w:t>分地区看，1季度，中国对多数贸易伙伴出口增速回落。</w:t>
            </w:r>
            <w:r w:rsidRPr="0057127D">
              <w:rPr>
                <w:rFonts w:asciiTheme="minorEastAsia" w:hAnsiTheme="minorEastAsia" w:hint="eastAsia"/>
                <w:lang w:eastAsia="zh-CN" w:bidi="ar-SA"/>
              </w:rPr>
              <w:t>其中，对美国、欧盟、东盟、日本、韩国、巴西、俄罗斯出口增速较上季度下降0.2-15.9个百分点，但对中国香港、中国台湾以及印度出口增速较上季度不同程度提高，仍保持7.3%-13.6%的中高速增长。对不同经济体出口表现差异主要与目的地市场经济景气程度以及美国关税政策等相关</w:t>
            </w:r>
            <w:r w:rsidR="0057127D">
              <w:rPr>
                <w:rFonts w:asciiTheme="minorEastAsia" w:hAnsiTheme="minorEastAsia" w:hint="eastAsia"/>
                <w:lang w:eastAsia="zh-CN" w:bidi="ar-SA"/>
              </w:rPr>
              <w:t>。</w:t>
            </w:r>
          </w:p>
          <w:p w14:paraId="75045206" w14:textId="06E51052" w:rsidR="009F0C37" w:rsidRPr="009F0C37" w:rsidRDefault="00F90FB0" w:rsidP="009F0C37">
            <w:pPr>
              <w:ind w:firstLine="480"/>
              <w:rPr>
                <w:rFonts w:eastAsia="宋体"/>
                <w:lang w:eastAsia="zh-CN"/>
              </w:rPr>
            </w:pPr>
            <w:r w:rsidRPr="0057127D">
              <w:rPr>
                <w:rFonts w:asciiTheme="minorEastAsia" w:hAnsiTheme="minorEastAsia" w:hint="eastAsia"/>
                <w:lang w:eastAsia="zh-CN" w:bidi="ar-SA"/>
              </w:rPr>
              <w:lastRenderedPageBreak/>
              <w:t>从贸易方式看，一般贸易和加工贸易出口增速不同程度回落，其他贸易方式出口增速逆势回升</w:t>
            </w:r>
            <w:r w:rsidR="009F0C37" w:rsidRPr="0057127D">
              <w:rPr>
                <w:rFonts w:asciiTheme="minorEastAsia" w:hAnsiTheme="minorEastAsia" w:hint="eastAsia"/>
                <w:lang w:eastAsia="zh-CN" w:bidi="ar-SA"/>
              </w:rPr>
              <w:t>。</w:t>
            </w:r>
            <w:r w:rsidR="009F0C37" w:rsidRPr="0057127D">
              <w:rPr>
                <w:rFonts w:asciiTheme="minorEastAsia" w:hAnsiTheme="minorEastAsia"/>
                <w:vertAlign w:val="superscript"/>
                <w:lang w:eastAsia="zh-CN" w:bidi="ar-SA"/>
              </w:rPr>
              <w:footnoteReference w:id="5"/>
            </w:r>
            <w:r w:rsidRPr="0057127D">
              <w:rPr>
                <w:rFonts w:asciiTheme="minorEastAsia" w:hAnsiTheme="minorEastAsia" w:hint="eastAsia"/>
                <w:lang w:eastAsia="zh-CN" w:bidi="ar-SA"/>
              </w:rPr>
              <w:t>1</w:t>
            </w:r>
            <w:r w:rsidR="009F0C37" w:rsidRPr="0057127D">
              <w:rPr>
                <w:rFonts w:asciiTheme="minorEastAsia" w:hAnsiTheme="minorEastAsia" w:hint="eastAsia"/>
                <w:lang w:eastAsia="zh-CN" w:bidi="ar-SA"/>
              </w:rPr>
              <w:t>季度，</w:t>
            </w:r>
            <w:r w:rsidRPr="0057127D">
              <w:rPr>
                <w:rFonts w:asciiTheme="minorEastAsia" w:hAnsiTheme="minorEastAsia" w:hint="eastAsia"/>
                <w:lang w:eastAsia="zh-CN" w:bidi="ar-SA"/>
              </w:rPr>
              <w:t>一般贸易和加工贸易出口同比分别增长5.6%和5.1%，较上季度分别减少7.0和1.8个百分点。而其他贸易方式出口同比增长7.1%，较上季度提高3.7个百分点。这可能是因为其他贸易方式政策优惠通常较大，也是一些地区刺激外贸的重要手段</w:t>
            </w:r>
            <w:r w:rsidR="009F0C37" w:rsidRPr="009F0C37">
              <w:rPr>
                <w:rFonts w:eastAsia="楷体" w:hint="eastAsia"/>
                <w:lang w:eastAsia="zh-CN" w:bidi="ar-SA"/>
              </w:rPr>
              <w:t>。</w:t>
            </w:r>
          </w:p>
        </w:tc>
      </w:tr>
      <w:tr w:rsidR="009F0C37" w:rsidRPr="009F0C37" w14:paraId="5DE30BED" w14:textId="77777777" w:rsidTr="00FE4928">
        <w:trPr>
          <w:trHeight w:val="150"/>
          <w:jc w:val="center"/>
        </w:trPr>
        <w:tc>
          <w:tcPr>
            <w:tcW w:w="9639" w:type="dxa"/>
            <w:gridSpan w:val="4"/>
            <w:vAlign w:val="center"/>
          </w:tcPr>
          <w:p w14:paraId="3A18A0F1" w14:textId="331DA514" w:rsidR="009F0C37" w:rsidRPr="009F0C37" w:rsidRDefault="00D37774" w:rsidP="00D37774">
            <w:pPr>
              <w:pStyle w:val="a4"/>
              <w:rPr>
                <w:rFonts w:eastAsia="楷体"/>
                <w:sz w:val="28"/>
                <w:szCs w:val="28"/>
              </w:rPr>
            </w:pPr>
            <w:bookmarkStart w:id="123" w:name="_Toc520407672"/>
            <w:bookmarkStart w:id="124" w:name="_Toc196399461"/>
            <w:r>
              <w:rPr>
                <w:rFonts w:hint="eastAsia"/>
              </w:rPr>
              <w:lastRenderedPageBreak/>
              <w:t xml:space="preserve">图表 </w:t>
            </w:r>
            <w:r>
              <w:rPr>
                <w:rFonts w:hint="eastAsia"/>
              </w:rPr>
              <w:fldChar w:fldCharType="begin"/>
            </w:r>
            <w:r>
              <w:rPr>
                <w:rFonts w:hint="eastAsia"/>
              </w:rPr>
              <w:instrText xml:space="preserve"> SEQ 图表 \* ARABIC </w:instrText>
            </w:r>
            <w:r>
              <w:rPr>
                <w:rFonts w:hint="eastAsia"/>
              </w:rPr>
              <w:fldChar w:fldCharType="separate"/>
            </w:r>
            <w:r w:rsidR="00530ED7">
              <w:rPr>
                <w:rFonts w:hint="eastAsia"/>
                <w:noProof/>
              </w:rPr>
              <w:t>50</w:t>
            </w:r>
            <w:r>
              <w:rPr>
                <w:rFonts w:hint="eastAsia"/>
              </w:rPr>
              <w:fldChar w:fldCharType="end"/>
            </w:r>
            <w:r w:rsidRPr="00D37774">
              <w:t xml:space="preserve">  </w:t>
            </w:r>
            <w:r w:rsidR="00F90FB0" w:rsidRPr="00F90FB0">
              <w:rPr>
                <w:rFonts w:hint="eastAsia"/>
              </w:rPr>
              <w:t>中国出口增速的地区和产品分布</w:t>
            </w:r>
            <w:bookmarkEnd w:id="123"/>
            <w:bookmarkEnd w:id="124"/>
          </w:p>
        </w:tc>
      </w:tr>
      <w:tr w:rsidR="009F0C37" w:rsidRPr="009F0C37" w14:paraId="14B2E188" w14:textId="77777777" w:rsidTr="00FE4928">
        <w:trPr>
          <w:trHeight w:val="150"/>
          <w:jc w:val="center"/>
        </w:trPr>
        <w:tc>
          <w:tcPr>
            <w:tcW w:w="4819" w:type="dxa"/>
            <w:gridSpan w:val="3"/>
            <w:vAlign w:val="center"/>
          </w:tcPr>
          <w:p w14:paraId="6A4D5CC9" w14:textId="39E70914" w:rsidR="009F0C37" w:rsidRPr="009F0C37" w:rsidRDefault="009F4F13" w:rsidP="009F0C37">
            <w:pPr>
              <w:ind w:firstLineChars="0" w:firstLine="0"/>
              <w:rPr>
                <w:rFonts w:eastAsia="楷体"/>
                <w:b/>
                <w:sz w:val="28"/>
                <w:szCs w:val="28"/>
                <w:lang w:eastAsia="zh-CN"/>
              </w:rPr>
            </w:pPr>
            <w:r>
              <w:rPr>
                <w:noProof/>
                <w:lang w:eastAsia="zh-CN" w:bidi="ar-SA"/>
              </w:rPr>
              <w:drawing>
                <wp:inline distT="0" distB="0" distL="0" distR="0" wp14:anchorId="6F541782" wp14:editId="0816CEDD">
                  <wp:extent cx="2876550" cy="2343150"/>
                  <wp:effectExtent l="0" t="0" r="0" b="0"/>
                  <wp:docPr id="85899833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998339" name="图片 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2876550" cy="2343150"/>
                          </a:xfrm>
                          <a:prstGeom prst="rect">
                            <a:avLst/>
                          </a:prstGeom>
                          <a:noFill/>
                          <a:ln>
                            <a:noFill/>
                          </a:ln>
                        </pic:spPr>
                      </pic:pic>
                    </a:graphicData>
                  </a:graphic>
                </wp:inline>
              </w:drawing>
            </w:r>
          </w:p>
        </w:tc>
        <w:tc>
          <w:tcPr>
            <w:tcW w:w="4820" w:type="dxa"/>
            <w:vAlign w:val="center"/>
          </w:tcPr>
          <w:p w14:paraId="34ED751E" w14:textId="7B4FF0D7" w:rsidR="009F0C37" w:rsidRPr="009F0C37" w:rsidRDefault="009F4F13" w:rsidP="009F0C37">
            <w:pPr>
              <w:ind w:firstLineChars="0" w:firstLine="0"/>
              <w:rPr>
                <w:rFonts w:eastAsia="楷体"/>
                <w:b/>
                <w:sz w:val="28"/>
                <w:szCs w:val="28"/>
                <w:lang w:eastAsia="zh-CN"/>
              </w:rPr>
            </w:pPr>
            <w:r>
              <w:rPr>
                <w:noProof/>
                <w:lang w:eastAsia="zh-CN" w:bidi="ar-SA"/>
              </w:rPr>
              <w:drawing>
                <wp:inline distT="0" distB="0" distL="0" distR="0" wp14:anchorId="44D75533" wp14:editId="13EC715A">
                  <wp:extent cx="2876550" cy="2343150"/>
                  <wp:effectExtent l="0" t="0" r="0" b="0"/>
                  <wp:docPr id="4819591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95912" name="图片 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a:xfrm>
                            <a:off x="0" y="0"/>
                            <a:ext cx="2876550" cy="2343150"/>
                          </a:xfrm>
                          <a:prstGeom prst="rect">
                            <a:avLst/>
                          </a:prstGeom>
                          <a:noFill/>
                          <a:ln>
                            <a:noFill/>
                          </a:ln>
                        </pic:spPr>
                      </pic:pic>
                    </a:graphicData>
                  </a:graphic>
                </wp:inline>
              </w:drawing>
            </w:r>
          </w:p>
        </w:tc>
      </w:tr>
      <w:tr w:rsidR="009F0C37" w:rsidRPr="009F0C37" w14:paraId="43D7833F" w14:textId="77777777" w:rsidTr="00FE4928">
        <w:trPr>
          <w:trHeight w:val="150"/>
          <w:jc w:val="center"/>
        </w:trPr>
        <w:tc>
          <w:tcPr>
            <w:tcW w:w="2154" w:type="dxa"/>
            <w:vAlign w:val="center"/>
          </w:tcPr>
          <w:p w14:paraId="2D82EBE2" w14:textId="78FA3C64" w:rsidR="009F0C37" w:rsidRPr="009F0C37" w:rsidRDefault="00F90FB0" w:rsidP="009F0C37">
            <w:pPr>
              <w:spacing w:line="312" w:lineRule="auto"/>
              <w:ind w:firstLineChars="0" w:firstLine="0"/>
              <w:rPr>
                <w:rFonts w:eastAsia="楷体"/>
                <w:b/>
                <w:lang w:eastAsia="zh-CN"/>
              </w:rPr>
            </w:pPr>
            <w:r w:rsidRPr="00F90FB0">
              <w:rPr>
                <w:rFonts w:eastAsia="楷体" w:hint="eastAsia"/>
                <w:b/>
                <w:lang w:eastAsia="zh-CN"/>
              </w:rPr>
              <w:t>1</w:t>
            </w:r>
            <w:r w:rsidRPr="00F90FB0">
              <w:rPr>
                <w:rFonts w:eastAsia="楷体" w:hint="eastAsia"/>
                <w:b/>
                <w:lang w:eastAsia="zh-CN"/>
              </w:rPr>
              <w:t>季度，各类产品出口增速普遍回落，七大类传统劳动密集型产品出口增速降幅最大</w:t>
            </w:r>
            <w:r w:rsidR="009F0C37" w:rsidRPr="009F0C37">
              <w:rPr>
                <w:rFonts w:eastAsia="楷体" w:hint="eastAsia"/>
                <w:b/>
                <w:lang w:eastAsia="zh-CN"/>
              </w:rPr>
              <w:t>。</w:t>
            </w:r>
          </w:p>
        </w:tc>
        <w:tc>
          <w:tcPr>
            <w:tcW w:w="300" w:type="dxa"/>
          </w:tcPr>
          <w:p w14:paraId="12A00FE7" w14:textId="77777777" w:rsidR="009F0C37" w:rsidRPr="009F0C37" w:rsidRDefault="009F0C37" w:rsidP="009F0C37">
            <w:pPr>
              <w:keepNext/>
              <w:keepLines/>
              <w:ind w:firstLine="480"/>
              <w:rPr>
                <w:rFonts w:eastAsia="楷体_GB2312"/>
                <w:lang w:eastAsia="zh-CN"/>
              </w:rPr>
            </w:pPr>
          </w:p>
        </w:tc>
        <w:tc>
          <w:tcPr>
            <w:tcW w:w="7185" w:type="dxa"/>
            <w:gridSpan w:val="2"/>
          </w:tcPr>
          <w:p w14:paraId="39DDEF3F" w14:textId="685C2A2F" w:rsidR="009F4F13" w:rsidRPr="009F4F13" w:rsidRDefault="009F4F13" w:rsidP="009F4F13">
            <w:pPr>
              <w:ind w:firstLine="480"/>
              <w:rPr>
                <w:rFonts w:eastAsia="楷体"/>
                <w:lang w:eastAsia="zh-CN" w:bidi="ar-SA"/>
              </w:rPr>
            </w:pPr>
            <w:r w:rsidRPr="0057127D">
              <w:rPr>
                <w:rFonts w:asciiTheme="minorEastAsia" w:hAnsiTheme="minorEastAsia" w:hint="eastAsia"/>
                <w:lang w:eastAsia="zh-CN" w:bidi="ar-SA"/>
              </w:rPr>
              <w:t>分产品看，1季度，各类产品出口增速普遍回落，七大类传统劳动密集型产品出口增速降幅最大。具体而言，1季度，机电产品、七大类传统劳动密集型产品、其他产品（主要为农产品、矿产品、化学品及金属制品等）出口增速分别较上季度回落4.1、9.2、1.0个百分点</w:t>
            </w:r>
            <w:r w:rsidR="009F0C37" w:rsidRPr="0057127D">
              <w:rPr>
                <w:rFonts w:asciiTheme="minorEastAsia" w:hAnsiTheme="minorEastAsia" w:hint="eastAsia"/>
                <w:lang w:eastAsia="zh-CN" w:bidi="ar-SA"/>
              </w:rPr>
              <w:t>。</w:t>
            </w:r>
            <w:r w:rsidR="009F0C37" w:rsidRPr="0057127D">
              <w:rPr>
                <w:rFonts w:asciiTheme="minorEastAsia" w:hAnsiTheme="minorEastAsia"/>
                <w:vertAlign w:val="superscript"/>
              </w:rPr>
              <w:footnoteReference w:id="6"/>
            </w:r>
            <w:r w:rsidRPr="0057127D">
              <w:rPr>
                <w:rFonts w:asciiTheme="minorEastAsia" w:hAnsiTheme="minorEastAsia" w:hint="eastAsia"/>
                <w:lang w:eastAsia="zh-CN" w:bidi="ar-SA"/>
              </w:rPr>
              <w:t>其中，七大类传统劳动密集型产品出口增速已降至-3.8%，而机电产品和其他产品出口仍保持7.1%和9.0%的中高增速。此外，高科技产品出口增速也仅较上季度小幅回落0.8个百分点，同比增长5.8%。这可能与特朗普入主美国白宫前既宣称对中国产品加征高额关税，导致抢出口与提前备货行为。而劳动密集型产品利润较薄且多为最终消费品，抢出口带来的透支可能更为突出</w:t>
            </w:r>
            <w:r w:rsidR="009F0C37" w:rsidRPr="009F0C37">
              <w:rPr>
                <w:rFonts w:eastAsia="楷体" w:hint="eastAsia"/>
                <w:lang w:eastAsia="zh-CN" w:bidi="ar-SA"/>
              </w:rPr>
              <w:t>。</w:t>
            </w:r>
          </w:p>
          <w:p w14:paraId="7B6A9B5F" w14:textId="2D6BE21C" w:rsidR="009F0C37" w:rsidRPr="009F0C37" w:rsidRDefault="004C79AF" w:rsidP="009F0C37">
            <w:pPr>
              <w:ind w:firstLine="482"/>
              <w:rPr>
                <w:rFonts w:eastAsia="宋体"/>
                <w:bCs/>
                <w:lang w:eastAsia="zh-CN"/>
              </w:rPr>
            </w:pPr>
            <w:r w:rsidRPr="0057127D">
              <w:rPr>
                <w:rFonts w:asciiTheme="minorEastAsia" w:hAnsiTheme="minorEastAsia" w:hint="eastAsia"/>
                <w:b/>
                <w:bCs/>
                <w:lang w:eastAsia="zh-CN"/>
              </w:rPr>
              <w:t>预估1季度全球外贸需求总体改善、但3月快速恶化。</w:t>
            </w:r>
            <w:r w:rsidRPr="0057127D">
              <w:rPr>
                <w:rFonts w:asciiTheme="minorEastAsia" w:hAnsiTheme="minorEastAsia" w:hint="eastAsia"/>
                <w:lang w:eastAsia="zh-CN"/>
              </w:rPr>
              <w:t>一方</w:t>
            </w:r>
            <w:r w:rsidRPr="0057127D">
              <w:rPr>
                <w:rFonts w:asciiTheme="minorEastAsia" w:hAnsiTheme="minorEastAsia" w:hint="eastAsia"/>
                <w:lang w:eastAsia="zh-CN"/>
              </w:rPr>
              <w:lastRenderedPageBreak/>
              <w:t>面，无论是摩根大通全球制造业PMI指数还是基于我国主要贸易伙伴PMI构建的</w:t>
            </w:r>
            <w:r w:rsidRPr="0057127D">
              <w:rPr>
                <w:rFonts w:asciiTheme="minorEastAsia" w:hAnsiTheme="minorEastAsia"/>
                <w:lang w:eastAsia="zh-CN"/>
              </w:rPr>
              <w:t>CEEM-PMI</w:t>
            </w:r>
            <w:r w:rsidRPr="0057127D">
              <w:rPr>
                <w:rFonts w:asciiTheme="minorEastAsia" w:hAnsiTheme="minorEastAsia" w:hint="eastAsia"/>
                <w:lang w:eastAsia="zh-CN"/>
              </w:rPr>
              <w:t>指数，2025年1月至3月平均值均较前</w:t>
            </w:r>
            <w:r w:rsidRPr="0057127D">
              <w:rPr>
                <w:rFonts w:asciiTheme="minorEastAsia" w:hAnsiTheme="minorEastAsia"/>
                <w:lang w:eastAsia="zh-CN"/>
              </w:rPr>
              <w:t>3</w:t>
            </w:r>
            <w:r w:rsidRPr="0057127D">
              <w:rPr>
                <w:rFonts w:asciiTheme="minorEastAsia" w:hAnsiTheme="minorEastAsia" w:hint="eastAsia"/>
                <w:lang w:eastAsia="zh-CN"/>
              </w:rPr>
              <w:t>个月均值提高（0.7和0.8个百分点），反映全球外贸需求较上季度有所改善。但逐月看，上述两个</w:t>
            </w:r>
            <w:r w:rsidRPr="0057127D">
              <w:rPr>
                <w:rFonts w:asciiTheme="minorEastAsia" w:hAnsiTheme="minorEastAsia"/>
                <w:lang w:eastAsia="zh-CN"/>
              </w:rPr>
              <w:t>PMI</w:t>
            </w:r>
            <w:r w:rsidRPr="0057127D">
              <w:rPr>
                <w:rFonts w:asciiTheme="minorEastAsia" w:hAnsiTheme="minorEastAsia" w:hint="eastAsia"/>
                <w:lang w:eastAsia="zh-CN"/>
              </w:rPr>
              <w:t>指数在3月快速下调，显示受美国关税政策冲击全球外贸需求明显恶化</w:t>
            </w:r>
            <w:r w:rsidR="009F0C37" w:rsidRPr="0057127D">
              <w:rPr>
                <w:rFonts w:asciiTheme="minorEastAsia" w:hAnsiTheme="minorEastAsia" w:hint="eastAsia"/>
                <w:lang w:eastAsia="zh-CN"/>
              </w:rPr>
              <w:t>。</w:t>
            </w:r>
            <w:r w:rsidR="009F0C37" w:rsidRPr="0057127D">
              <w:rPr>
                <w:rFonts w:asciiTheme="minorEastAsia" w:hAnsiTheme="minorEastAsia"/>
                <w:vertAlign w:val="superscript"/>
                <w:lang w:eastAsia="zh-CN"/>
              </w:rPr>
              <w:footnoteReference w:id="7"/>
            </w:r>
            <w:r w:rsidR="009F0C37" w:rsidRPr="0057127D">
              <w:rPr>
                <w:rFonts w:asciiTheme="minorEastAsia" w:hAnsiTheme="minorEastAsia" w:hint="eastAsia"/>
                <w:lang w:eastAsia="zh-CN"/>
              </w:rPr>
              <w:t>另一方面，</w:t>
            </w:r>
            <w:r w:rsidR="0057127D" w:rsidRPr="0057127D">
              <w:rPr>
                <w:rFonts w:asciiTheme="minorEastAsia" w:hAnsiTheme="minorEastAsia" w:hint="eastAsia"/>
                <w:lang w:eastAsia="zh-CN"/>
              </w:rPr>
              <w:t>1-3月我国新出口订单PMI指数平均值为48.0</w:t>
            </w:r>
            <w:r w:rsidR="0057127D" w:rsidRPr="0057127D">
              <w:rPr>
                <w:rFonts w:asciiTheme="minorEastAsia" w:hAnsiTheme="minorEastAsia"/>
                <w:vertAlign w:val="superscript"/>
                <w:lang w:eastAsia="zh-CN"/>
              </w:rPr>
              <w:footnoteReference w:id="8"/>
            </w:r>
            <w:r w:rsidR="009F0C37" w:rsidRPr="0057127D">
              <w:rPr>
                <w:rFonts w:asciiTheme="minorEastAsia" w:hAnsiTheme="minorEastAsia" w:hint="eastAsia"/>
                <w:lang w:eastAsia="zh-CN"/>
              </w:rPr>
              <w:t>，</w:t>
            </w:r>
            <w:r w:rsidR="0057127D" w:rsidRPr="0057127D">
              <w:rPr>
                <w:rFonts w:asciiTheme="minorEastAsia" w:hAnsiTheme="minorEastAsia" w:hint="eastAsia"/>
                <w:lang w:eastAsia="zh-CN"/>
              </w:rPr>
              <w:t>较前3个月小幅提高0.1个单位，显示外部对我国出口需求并没有显著恶化</w:t>
            </w:r>
            <w:r w:rsidR="009F0C37" w:rsidRPr="009F0C37">
              <w:rPr>
                <w:rFonts w:eastAsia="楷体" w:hint="eastAsia"/>
                <w:b/>
                <w:bCs/>
                <w:lang w:eastAsia="zh-CN"/>
              </w:rPr>
              <w:t>。</w:t>
            </w:r>
          </w:p>
        </w:tc>
      </w:tr>
      <w:tr w:rsidR="009F0C37" w:rsidRPr="009F0C37" w14:paraId="5FB15CA7" w14:textId="77777777" w:rsidTr="00FE4928">
        <w:trPr>
          <w:trHeight w:val="150"/>
          <w:jc w:val="center"/>
        </w:trPr>
        <w:tc>
          <w:tcPr>
            <w:tcW w:w="9639" w:type="dxa"/>
            <w:gridSpan w:val="4"/>
            <w:vAlign w:val="center"/>
          </w:tcPr>
          <w:p w14:paraId="3DD2EBEB" w14:textId="10EB10A6" w:rsidR="009F0C37" w:rsidRPr="001D737A" w:rsidRDefault="00D37774" w:rsidP="00D37774">
            <w:pPr>
              <w:pStyle w:val="a4"/>
            </w:pPr>
            <w:bookmarkStart w:id="125" w:name="_Toc520407673"/>
            <w:bookmarkStart w:id="126" w:name="_Toc196399462"/>
            <w:r>
              <w:rPr>
                <w:rFonts w:hint="eastAsia"/>
              </w:rPr>
              <w:lastRenderedPageBreak/>
              <w:t xml:space="preserve">图表 </w:t>
            </w:r>
            <w:r>
              <w:rPr>
                <w:rFonts w:hint="eastAsia"/>
              </w:rPr>
              <w:fldChar w:fldCharType="begin"/>
            </w:r>
            <w:r>
              <w:rPr>
                <w:rFonts w:hint="eastAsia"/>
              </w:rPr>
              <w:instrText xml:space="preserve"> SEQ 图表 \* ARABIC </w:instrText>
            </w:r>
            <w:r>
              <w:rPr>
                <w:rFonts w:hint="eastAsia"/>
              </w:rPr>
              <w:fldChar w:fldCharType="separate"/>
            </w:r>
            <w:r w:rsidR="00530ED7">
              <w:rPr>
                <w:rFonts w:hint="eastAsia"/>
                <w:noProof/>
              </w:rPr>
              <w:t>51</w:t>
            </w:r>
            <w:r>
              <w:rPr>
                <w:rFonts w:hint="eastAsia"/>
              </w:rPr>
              <w:fldChar w:fldCharType="end"/>
            </w:r>
            <w:r w:rsidRPr="00D37774">
              <w:t xml:space="preserve">  </w:t>
            </w:r>
            <w:r w:rsidR="0057127D" w:rsidRPr="001D737A">
              <w:rPr>
                <w:rFonts w:hint="eastAsia"/>
              </w:rPr>
              <w:t>预估1季度全球进口需求仍能维持小幅正增长</w:t>
            </w:r>
            <w:bookmarkEnd w:id="125"/>
            <w:bookmarkEnd w:id="126"/>
          </w:p>
        </w:tc>
      </w:tr>
      <w:tr w:rsidR="009F0C37" w:rsidRPr="009F0C37" w14:paraId="7C02D7BB" w14:textId="77777777" w:rsidTr="00FE4928">
        <w:trPr>
          <w:trHeight w:val="150"/>
          <w:jc w:val="center"/>
        </w:trPr>
        <w:tc>
          <w:tcPr>
            <w:tcW w:w="4819" w:type="dxa"/>
            <w:gridSpan w:val="3"/>
            <w:vAlign w:val="center"/>
          </w:tcPr>
          <w:p w14:paraId="323C5B0B" w14:textId="77B7533B" w:rsidR="009F0C37" w:rsidRPr="009F0C37" w:rsidRDefault="0057127D" w:rsidP="009F0C37">
            <w:pPr>
              <w:ind w:firstLineChars="0" w:firstLine="0"/>
              <w:rPr>
                <w:rFonts w:eastAsia="楷体"/>
                <w:lang w:eastAsia="zh-CN" w:bidi="ar-SA"/>
              </w:rPr>
            </w:pPr>
            <w:r>
              <w:rPr>
                <w:rFonts w:hint="eastAsia"/>
                <w:noProof/>
                <w:lang w:eastAsia="zh-CN" w:bidi="ar-SA"/>
              </w:rPr>
              <w:drawing>
                <wp:inline distT="0" distB="0" distL="0" distR="0" wp14:anchorId="4F00F040" wp14:editId="720D9DCA">
                  <wp:extent cx="2877820" cy="2339340"/>
                  <wp:effectExtent l="0" t="0" r="0" b="3810"/>
                  <wp:docPr id="140647762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477625" name="图片 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a:xfrm>
                            <a:off x="0" y="0"/>
                            <a:ext cx="2877820" cy="2339340"/>
                          </a:xfrm>
                          <a:prstGeom prst="rect">
                            <a:avLst/>
                          </a:prstGeom>
                          <a:noFill/>
                          <a:ln>
                            <a:noFill/>
                          </a:ln>
                        </pic:spPr>
                      </pic:pic>
                    </a:graphicData>
                  </a:graphic>
                </wp:inline>
              </w:drawing>
            </w:r>
          </w:p>
        </w:tc>
        <w:tc>
          <w:tcPr>
            <w:tcW w:w="4820" w:type="dxa"/>
            <w:vAlign w:val="center"/>
          </w:tcPr>
          <w:p w14:paraId="507D8FCF" w14:textId="304EA40A" w:rsidR="009F0C37" w:rsidRPr="009F0C37" w:rsidRDefault="0057127D" w:rsidP="009F0C37">
            <w:pPr>
              <w:ind w:firstLineChars="0" w:firstLine="0"/>
              <w:rPr>
                <w:rFonts w:eastAsia="楷体"/>
                <w:lang w:eastAsia="zh-CN" w:bidi="ar-SA"/>
              </w:rPr>
            </w:pPr>
            <w:r>
              <w:rPr>
                <w:rFonts w:hint="eastAsia"/>
                <w:noProof/>
                <w:lang w:eastAsia="zh-CN" w:bidi="ar-SA"/>
              </w:rPr>
              <w:drawing>
                <wp:inline distT="0" distB="0" distL="0" distR="0" wp14:anchorId="53F7F3C4" wp14:editId="6A4F81C3">
                  <wp:extent cx="2882265" cy="2339975"/>
                  <wp:effectExtent l="0" t="0" r="0" b="3175"/>
                  <wp:docPr id="4980580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058012" name="图片 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a:xfrm>
                            <a:off x="0" y="0"/>
                            <a:ext cx="2882265" cy="2339975"/>
                          </a:xfrm>
                          <a:prstGeom prst="rect">
                            <a:avLst/>
                          </a:prstGeom>
                          <a:noFill/>
                          <a:ln>
                            <a:noFill/>
                          </a:ln>
                        </pic:spPr>
                      </pic:pic>
                    </a:graphicData>
                  </a:graphic>
                </wp:inline>
              </w:drawing>
            </w:r>
          </w:p>
        </w:tc>
      </w:tr>
      <w:tr w:rsidR="009F0C37" w:rsidRPr="009F0C37" w14:paraId="6D7A4890" w14:textId="77777777" w:rsidTr="00FE4928">
        <w:trPr>
          <w:trHeight w:val="150"/>
          <w:jc w:val="center"/>
        </w:trPr>
        <w:tc>
          <w:tcPr>
            <w:tcW w:w="9639" w:type="dxa"/>
            <w:gridSpan w:val="4"/>
            <w:vAlign w:val="center"/>
          </w:tcPr>
          <w:p w14:paraId="141B117B" w14:textId="420150E3" w:rsidR="009F0C37" w:rsidRPr="009F0C37" w:rsidRDefault="009F0C37" w:rsidP="009F0C37">
            <w:pPr>
              <w:ind w:firstLine="360"/>
              <w:rPr>
                <w:rFonts w:ascii="等线" w:eastAsia="等线" w:hAnsi="等线"/>
                <w:noProof/>
                <w:sz w:val="21"/>
                <w:szCs w:val="22"/>
                <w:lang w:eastAsia="zh-CN" w:bidi="ar-SA"/>
              </w:rPr>
            </w:pPr>
            <w:r w:rsidRPr="009F0C37">
              <w:rPr>
                <w:rFonts w:eastAsia="楷体" w:hint="eastAsia"/>
                <w:color w:val="000000"/>
                <w:sz w:val="18"/>
                <w:szCs w:val="18"/>
                <w:lang w:eastAsia="zh-CN"/>
              </w:rPr>
              <w:t>注：</w:t>
            </w:r>
            <w:r w:rsidR="0057127D" w:rsidRPr="0057127D">
              <w:rPr>
                <w:rFonts w:eastAsia="楷体" w:hint="eastAsia"/>
                <w:color w:val="000000"/>
                <w:sz w:val="18"/>
                <w:szCs w:val="18"/>
                <w:lang w:eastAsia="zh-CN"/>
              </w:rPr>
              <w:t>全球进口名义增速（不含中国）根据</w:t>
            </w:r>
            <w:r w:rsidR="0057127D" w:rsidRPr="0057127D">
              <w:rPr>
                <w:rFonts w:eastAsia="楷体" w:hint="eastAsia"/>
                <w:color w:val="000000"/>
                <w:sz w:val="18"/>
                <w:szCs w:val="18"/>
                <w:lang w:eastAsia="zh-CN"/>
              </w:rPr>
              <w:t>WTO</w:t>
            </w:r>
            <w:r w:rsidR="0057127D" w:rsidRPr="0057127D">
              <w:rPr>
                <w:rFonts w:eastAsia="楷体" w:hint="eastAsia"/>
                <w:color w:val="000000"/>
                <w:sz w:val="18"/>
                <w:szCs w:val="18"/>
                <w:lang w:eastAsia="zh-CN"/>
              </w:rPr>
              <w:t>数据计算，其中</w:t>
            </w:r>
            <w:r w:rsidR="0057127D" w:rsidRPr="0057127D">
              <w:rPr>
                <w:rFonts w:eastAsia="楷体" w:hint="eastAsia"/>
                <w:color w:val="000000"/>
                <w:sz w:val="18"/>
                <w:szCs w:val="18"/>
                <w:lang w:eastAsia="zh-CN"/>
              </w:rPr>
              <w:t>2025</w:t>
            </w:r>
            <w:r w:rsidR="0057127D" w:rsidRPr="0057127D">
              <w:rPr>
                <w:rFonts w:eastAsia="楷体" w:hint="eastAsia"/>
                <w:color w:val="000000"/>
                <w:sz w:val="18"/>
                <w:szCs w:val="18"/>
                <w:lang w:eastAsia="zh-CN"/>
              </w:rPr>
              <w:t>年</w:t>
            </w:r>
            <w:r w:rsidR="0057127D" w:rsidRPr="0057127D">
              <w:rPr>
                <w:rFonts w:eastAsia="楷体" w:hint="eastAsia"/>
                <w:color w:val="000000"/>
                <w:sz w:val="18"/>
                <w:szCs w:val="18"/>
                <w:lang w:eastAsia="zh-CN"/>
              </w:rPr>
              <w:t>2-3</w:t>
            </w:r>
            <w:r w:rsidR="0057127D" w:rsidRPr="0057127D">
              <w:rPr>
                <w:rFonts w:eastAsia="楷体" w:hint="eastAsia"/>
                <w:color w:val="000000"/>
                <w:sz w:val="18"/>
                <w:szCs w:val="18"/>
                <w:lang w:eastAsia="zh-CN"/>
              </w:rPr>
              <w:t>月为根据全球摩根大通</w:t>
            </w:r>
            <w:r w:rsidR="0057127D" w:rsidRPr="0057127D">
              <w:rPr>
                <w:rFonts w:eastAsia="楷体" w:hint="eastAsia"/>
                <w:color w:val="000000"/>
                <w:sz w:val="18"/>
                <w:szCs w:val="18"/>
                <w:lang w:eastAsia="zh-CN"/>
              </w:rPr>
              <w:t>PMI</w:t>
            </w:r>
            <w:r w:rsidR="0057127D" w:rsidRPr="0057127D">
              <w:rPr>
                <w:rFonts w:eastAsia="楷体" w:hint="eastAsia"/>
                <w:color w:val="000000"/>
                <w:sz w:val="18"/>
                <w:szCs w:val="18"/>
                <w:lang w:eastAsia="zh-CN"/>
              </w:rPr>
              <w:t>指数、新出口订单</w:t>
            </w:r>
            <w:r w:rsidR="0057127D" w:rsidRPr="0057127D">
              <w:rPr>
                <w:rFonts w:eastAsia="楷体" w:hint="eastAsia"/>
                <w:color w:val="000000"/>
                <w:sz w:val="18"/>
                <w:szCs w:val="18"/>
                <w:lang w:eastAsia="zh-CN"/>
              </w:rPr>
              <w:t>PMI</w:t>
            </w:r>
            <w:r w:rsidR="0057127D" w:rsidRPr="0057127D">
              <w:rPr>
                <w:rFonts w:eastAsia="楷体" w:hint="eastAsia"/>
                <w:color w:val="000000"/>
                <w:sz w:val="18"/>
                <w:szCs w:val="18"/>
                <w:lang w:eastAsia="zh-CN"/>
              </w:rPr>
              <w:t>指数、</w:t>
            </w:r>
            <w:r w:rsidR="0057127D" w:rsidRPr="0057127D">
              <w:rPr>
                <w:rFonts w:eastAsia="楷体" w:hint="eastAsia"/>
                <w:color w:val="000000"/>
                <w:sz w:val="18"/>
                <w:szCs w:val="18"/>
                <w:lang w:eastAsia="zh-CN"/>
              </w:rPr>
              <w:t>CEEM-PMI</w:t>
            </w:r>
            <w:r w:rsidR="0057127D" w:rsidRPr="0057127D">
              <w:rPr>
                <w:rFonts w:eastAsia="楷体" w:hint="eastAsia"/>
                <w:color w:val="000000"/>
                <w:sz w:val="18"/>
                <w:szCs w:val="18"/>
                <w:lang w:eastAsia="zh-CN"/>
              </w:rPr>
              <w:t>指数得到的估计值</w:t>
            </w:r>
            <w:r w:rsidRPr="009F0C37">
              <w:rPr>
                <w:rFonts w:eastAsia="楷体" w:hint="eastAsia"/>
                <w:color w:val="000000"/>
                <w:sz w:val="18"/>
                <w:szCs w:val="18"/>
                <w:lang w:eastAsia="zh-CN"/>
              </w:rPr>
              <w:t>。</w:t>
            </w:r>
          </w:p>
        </w:tc>
      </w:tr>
      <w:tr w:rsidR="00DB72A0" w:rsidRPr="009F0C37" w14:paraId="68B28052" w14:textId="77777777" w:rsidTr="00DB72A0">
        <w:trPr>
          <w:trHeight w:val="931"/>
          <w:jc w:val="center"/>
        </w:trPr>
        <w:tc>
          <w:tcPr>
            <w:tcW w:w="2154" w:type="dxa"/>
            <w:vAlign w:val="center"/>
          </w:tcPr>
          <w:p w14:paraId="3A8D8494" w14:textId="1FCF47E9" w:rsidR="00DB72A0" w:rsidRPr="00DB72A0" w:rsidRDefault="0057127D" w:rsidP="00DB72A0">
            <w:pPr>
              <w:ind w:firstLineChars="0" w:firstLine="0"/>
              <w:rPr>
                <w:rFonts w:eastAsia="楷体"/>
                <w:b/>
                <w:bCs/>
                <w:color w:val="000000"/>
                <w:sz w:val="18"/>
                <w:szCs w:val="18"/>
                <w:lang w:eastAsia="zh-CN"/>
              </w:rPr>
            </w:pPr>
            <w:r w:rsidRPr="0057127D">
              <w:rPr>
                <w:rFonts w:eastAsia="楷体" w:hint="eastAsia"/>
                <w:b/>
                <w:bCs/>
                <w:color w:val="000000"/>
                <w:lang w:eastAsia="zh-CN"/>
              </w:rPr>
              <w:t>预估</w:t>
            </w:r>
            <w:r w:rsidRPr="0057127D">
              <w:rPr>
                <w:rFonts w:eastAsia="楷体" w:hint="eastAsia"/>
                <w:b/>
                <w:bCs/>
                <w:color w:val="000000"/>
                <w:lang w:eastAsia="zh-CN"/>
              </w:rPr>
              <w:t>1</w:t>
            </w:r>
            <w:r w:rsidRPr="0057127D">
              <w:rPr>
                <w:rFonts w:eastAsia="楷体" w:hint="eastAsia"/>
                <w:b/>
                <w:bCs/>
                <w:color w:val="000000"/>
                <w:lang w:eastAsia="zh-CN"/>
              </w:rPr>
              <w:t>季度中国出口产品市场份额在低基数效应和抢出口效应的共同作用下同比继续回升</w:t>
            </w:r>
            <w:r w:rsidR="00DB72A0" w:rsidRPr="00DB72A0">
              <w:rPr>
                <w:rFonts w:eastAsia="楷体" w:hint="eastAsia"/>
                <w:b/>
                <w:bCs/>
                <w:color w:val="000000"/>
                <w:lang w:eastAsia="zh-CN"/>
              </w:rPr>
              <w:t>。</w:t>
            </w:r>
          </w:p>
        </w:tc>
        <w:tc>
          <w:tcPr>
            <w:tcW w:w="300" w:type="dxa"/>
            <w:vAlign w:val="center"/>
          </w:tcPr>
          <w:p w14:paraId="622401F9" w14:textId="77777777" w:rsidR="00DB72A0" w:rsidRPr="009F0C37" w:rsidRDefault="00DB72A0" w:rsidP="009F0C37">
            <w:pPr>
              <w:ind w:firstLine="360"/>
              <w:rPr>
                <w:rFonts w:eastAsia="楷体"/>
                <w:color w:val="000000"/>
                <w:sz w:val="18"/>
                <w:szCs w:val="18"/>
                <w:lang w:eastAsia="zh-CN"/>
              </w:rPr>
            </w:pPr>
          </w:p>
        </w:tc>
        <w:tc>
          <w:tcPr>
            <w:tcW w:w="7183" w:type="dxa"/>
            <w:gridSpan w:val="2"/>
            <w:vAlign w:val="center"/>
          </w:tcPr>
          <w:p w14:paraId="748A66C9" w14:textId="60E844A3" w:rsidR="00DB72A0" w:rsidRDefault="0057127D" w:rsidP="00DB72A0">
            <w:pPr>
              <w:spacing w:beforeLines="50" w:before="163"/>
              <w:ind w:firstLine="482"/>
              <w:rPr>
                <w:rFonts w:eastAsia="楷体"/>
                <w:b/>
                <w:sz w:val="28"/>
                <w:szCs w:val="28"/>
                <w:lang w:eastAsia="zh-CN"/>
              </w:rPr>
            </w:pPr>
            <w:r w:rsidRPr="0057127D">
              <w:rPr>
                <w:rFonts w:asciiTheme="minorEastAsia" w:hAnsiTheme="minorEastAsia" w:hint="eastAsia"/>
                <w:b/>
                <w:lang w:eastAsia="zh-CN"/>
              </w:rPr>
              <w:t>预估1季度中国出口产品市场份额在低基数效应和抢出口效应的共同作用下同比继续回升</w:t>
            </w:r>
            <w:r w:rsidRPr="0057127D">
              <w:rPr>
                <w:rFonts w:eastAsia="楷体" w:hint="eastAsia"/>
                <w:b/>
                <w:lang w:eastAsia="zh-CN"/>
              </w:rPr>
              <w:t>。</w:t>
            </w:r>
            <w:r w:rsidRPr="0057127D">
              <w:rPr>
                <w:rFonts w:ascii="Times" w:eastAsia="宋体" w:hAnsi="Times"/>
                <w:lang w:eastAsia="zh-CN"/>
              </w:rPr>
              <w:t>202</w:t>
            </w:r>
            <w:r w:rsidRPr="0057127D">
              <w:rPr>
                <w:rFonts w:ascii="Times" w:eastAsia="宋体" w:hAnsi="Times" w:hint="eastAsia"/>
                <w:lang w:eastAsia="zh-CN"/>
              </w:rPr>
              <w:t>5</w:t>
            </w:r>
            <w:r w:rsidRPr="0057127D">
              <w:rPr>
                <w:rFonts w:ascii="Times" w:eastAsia="宋体" w:hAnsi="Times" w:hint="eastAsia"/>
                <w:lang w:eastAsia="zh-CN"/>
              </w:rPr>
              <w:t>年</w:t>
            </w:r>
            <w:r w:rsidRPr="0057127D">
              <w:rPr>
                <w:rFonts w:ascii="Times" w:eastAsia="宋体" w:hAnsi="Times" w:hint="eastAsia"/>
                <w:lang w:eastAsia="zh-CN"/>
              </w:rPr>
              <w:t>1</w:t>
            </w:r>
            <w:r w:rsidRPr="0057127D">
              <w:rPr>
                <w:rFonts w:ascii="Times" w:eastAsia="宋体" w:hAnsi="Times" w:hint="eastAsia"/>
                <w:lang w:eastAsia="zh-CN"/>
              </w:rPr>
              <w:t>月，我国在美国、欧盟、东盟等</w:t>
            </w:r>
            <w:r w:rsidRPr="0057127D">
              <w:rPr>
                <w:rFonts w:ascii="Times" w:eastAsia="宋体" w:hAnsi="Times"/>
                <w:lang w:eastAsia="zh-CN"/>
              </w:rPr>
              <w:t>11</w:t>
            </w:r>
            <w:r w:rsidRPr="0057127D">
              <w:rPr>
                <w:rFonts w:ascii="Times" w:eastAsia="宋体" w:hAnsi="Times" w:hint="eastAsia"/>
                <w:lang w:eastAsia="zh-CN"/>
              </w:rPr>
              <w:t>个主要贸易伙伴进口中占比为</w:t>
            </w:r>
            <w:r w:rsidRPr="0057127D">
              <w:rPr>
                <w:rFonts w:ascii="Times" w:eastAsia="宋体" w:hAnsi="Times"/>
                <w:lang w:eastAsia="zh-CN"/>
              </w:rPr>
              <w:t>14.</w:t>
            </w:r>
            <w:r w:rsidRPr="0057127D">
              <w:rPr>
                <w:rFonts w:ascii="Times" w:eastAsia="宋体" w:hAnsi="Times" w:hint="eastAsia"/>
                <w:lang w:eastAsia="zh-CN"/>
              </w:rPr>
              <w:t>1</w:t>
            </w:r>
            <w:r w:rsidRPr="0057127D">
              <w:rPr>
                <w:rFonts w:ascii="Times" w:eastAsia="宋体" w:hAnsi="Times"/>
                <w:lang w:eastAsia="zh-CN"/>
              </w:rPr>
              <w:t>%</w:t>
            </w:r>
            <w:r w:rsidRPr="0057127D">
              <w:rPr>
                <w:rFonts w:ascii="Times" w:eastAsia="宋体" w:hAnsi="Times" w:hint="eastAsia"/>
                <w:lang w:eastAsia="zh-CN"/>
              </w:rPr>
              <w:t>，同比提高</w:t>
            </w:r>
            <w:r w:rsidRPr="0057127D">
              <w:rPr>
                <w:rFonts w:ascii="Times" w:eastAsia="宋体" w:hAnsi="Times" w:hint="eastAsia"/>
                <w:lang w:eastAsia="zh-CN"/>
              </w:rPr>
              <w:t>9.9</w:t>
            </w:r>
            <w:r w:rsidRPr="0057127D">
              <w:rPr>
                <w:rFonts w:ascii="Times" w:eastAsia="宋体" w:hAnsi="Times"/>
                <w:lang w:eastAsia="zh-CN"/>
              </w:rPr>
              <w:t>%</w:t>
            </w:r>
            <w:r w:rsidRPr="0057127D">
              <w:rPr>
                <w:rFonts w:ascii="Times" w:eastAsia="宋体" w:hAnsi="Times" w:hint="eastAsia"/>
                <w:lang w:eastAsia="zh-CN"/>
              </w:rPr>
              <w:t>、环比下降</w:t>
            </w:r>
            <w:r w:rsidRPr="0057127D">
              <w:rPr>
                <w:rFonts w:ascii="Times" w:eastAsia="宋体" w:hAnsi="Times" w:hint="eastAsia"/>
                <w:lang w:eastAsia="zh-CN"/>
              </w:rPr>
              <w:t>0.1</w:t>
            </w:r>
            <w:r w:rsidRPr="0057127D">
              <w:rPr>
                <w:rFonts w:ascii="Times" w:eastAsia="宋体" w:hAnsi="Times"/>
                <w:lang w:eastAsia="zh-CN"/>
              </w:rPr>
              <w:t>%</w:t>
            </w:r>
            <w:r w:rsidRPr="0057127D">
              <w:rPr>
                <w:rFonts w:ascii="Times" w:eastAsia="宋体" w:hAnsi="Times" w:hint="eastAsia"/>
                <w:lang w:eastAsia="zh-CN"/>
              </w:rPr>
              <w:t>。其中，在美国、欧盟、东盟、日本、韩国、印度、澳大利亚、巴西进口中占比同比均有提升，在东盟、日本、印度、澳大利亚、巴西进口中占比环比亦有提升。低基期效应、美欧政策落地前的抢出口行为、中国企业海外建厂对国内中间</w:t>
            </w:r>
            <w:r w:rsidRPr="0057127D">
              <w:rPr>
                <w:rFonts w:ascii="Times" w:eastAsia="宋体" w:hAnsi="Times" w:hint="eastAsia"/>
                <w:lang w:eastAsia="zh-CN"/>
              </w:rPr>
              <w:lastRenderedPageBreak/>
              <w:t>产品需求增加等原因导致我国出口份额同比持续回升。但考虑到</w:t>
            </w:r>
            <w:r w:rsidRPr="0057127D">
              <w:rPr>
                <w:rFonts w:ascii="Times" w:eastAsia="宋体" w:hAnsi="Times" w:hint="eastAsia"/>
                <w:lang w:eastAsia="zh-CN"/>
              </w:rPr>
              <w:t>4</w:t>
            </w:r>
            <w:r w:rsidRPr="0057127D">
              <w:rPr>
                <w:rFonts w:ascii="Times" w:eastAsia="宋体" w:hAnsi="Times" w:hint="eastAsia"/>
                <w:lang w:eastAsia="zh-CN"/>
              </w:rPr>
              <w:t>月后美国对等关税影响，预计我国对美国出口份额将出现大幅下滑，在其他市场份额受抢出口和转出口效应影响短期或仍将表现强劲，但</w:t>
            </w:r>
            <w:r w:rsidRPr="0057127D">
              <w:rPr>
                <w:rFonts w:ascii="Times" w:eastAsia="宋体" w:hAnsi="Times" w:hint="eastAsia"/>
                <w:lang w:eastAsia="zh-CN"/>
              </w:rPr>
              <w:t>3</w:t>
            </w:r>
            <w:r w:rsidRPr="0057127D">
              <w:rPr>
                <w:rFonts w:ascii="Times" w:eastAsia="宋体" w:hAnsi="Times" w:hint="eastAsia"/>
                <w:lang w:eastAsia="zh-CN"/>
              </w:rPr>
              <w:t>季度随着基期抬升以及美国</w:t>
            </w:r>
            <w:r w:rsidRPr="0057127D">
              <w:rPr>
                <w:rFonts w:ascii="Times" w:eastAsia="宋体" w:hAnsi="Times" w:hint="eastAsia"/>
                <w:lang w:eastAsia="zh-CN"/>
              </w:rPr>
              <w:t>90</w:t>
            </w:r>
            <w:r w:rsidRPr="0057127D">
              <w:rPr>
                <w:rFonts w:ascii="Times" w:eastAsia="宋体" w:hAnsi="Times" w:hint="eastAsia"/>
                <w:lang w:eastAsia="zh-CN"/>
              </w:rPr>
              <w:t>天豁免到期后面临较大下行风险</w:t>
            </w:r>
            <w:r w:rsidR="00DB72A0" w:rsidRPr="00384C36">
              <w:rPr>
                <w:rFonts w:ascii="Times" w:eastAsia="宋体" w:hAnsi="Times" w:hint="eastAsia"/>
                <w:lang w:eastAsia="zh-CN"/>
              </w:rPr>
              <w:t>。</w:t>
            </w:r>
          </w:p>
          <w:p w14:paraId="2FD3BAD0" w14:textId="366E24FB" w:rsidR="00DB72A0" w:rsidRPr="00DB72A0" w:rsidRDefault="00DB72A0" w:rsidP="009F0C37">
            <w:pPr>
              <w:ind w:firstLine="360"/>
              <w:rPr>
                <w:rFonts w:eastAsia="楷体"/>
                <w:color w:val="000000"/>
                <w:sz w:val="18"/>
                <w:szCs w:val="18"/>
                <w:lang w:eastAsia="zh-CN"/>
              </w:rPr>
            </w:pPr>
          </w:p>
        </w:tc>
      </w:tr>
      <w:tr w:rsidR="00DB72A0" w:rsidRPr="009F0C37" w14:paraId="42256A78" w14:textId="77777777" w:rsidTr="00FE4928">
        <w:trPr>
          <w:trHeight w:val="150"/>
          <w:jc w:val="center"/>
        </w:trPr>
        <w:tc>
          <w:tcPr>
            <w:tcW w:w="9639" w:type="dxa"/>
            <w:gridSpan w:val="4"/>
            <w:vAlign w:val="center"/>
          </w:tcPr>
          <w:p w14:paraId="70F35589" w14:textId="0D71BB64" w:rsidR="00DB72A0" w:rsidRPr="00DB72A0" w:rsidRDefault="00D37774" w:rsidP="00D37774">
            <w:pPr>
              <w:pStyle w:val="a4"/>
            </w:pPr>
            <w:bookmarkStart w:id="127" w:name="_Toc196399463"/>
            <w:r>
              <w:rPr>
                <w:rFonts w:hint="eastAsia"/>
              </w:rPr>
              <w:lastRenderedPageBreak/>
              <w:t xml:space="preserve">图表 </w:t>
            </w:r>
            <w:r>
              <w:rPr>
                <w:rFonts w:hint="eastAsia"/>
              </w:rPr>
              <w:fldChar w:fldCharType="begin"/>
            </w:r>
            <w:r>
              <w:rPr>
                <w:rFonts w:hint="eastAsia"/>
              </w:rPr>
              <w:instrText xml:space="preserve"> SEQ 图表 \* ARABIC </w:instrText>
            </w:r>
            <w:r>
              <w:rPr>
                <w:rFonts w:hint="eastAsia"/>
              </w:rPr>
              <w:fldChar w:fldCharType="separate"/>
            </w:r>
            <w:r w:rsidR="00530ED7">
              <w:rPr>
                <w:rFonts w:hint="eastAsia"/>
                <w:noProof/>
              </w:rPr>
              <w:t>52</w:t>
            </w:r>
            <w:r>
              <w:rPr>
                <w:rFonts w:hint="eastAsia"/>
              </w:rPr>
              <w:fldChar w:fldCharType="end"/>
            </w:r>
            <w:r w:rsidRPr="00D37774">
              <w:t xml:space="preserve">  </w:t>
            </w:r>
            <w:r w:rsidR="0057127D" w:rsidRPr="0057127D">
              <w:rPr>
                <w:rFonts w:hint="eastAsia"/>
              </w:rPr>
              <w:t>预估1季度中国出口产品市场份额同比回升</w:t>
            </w:r>
            <w:bookmarkEnd w:id="127"/>
          </w:p>
        </w:tc>
      </w:tr>
      <w:tr w:rsidR="00DB72A0" w:rsidRPr="009F0C37" w14:paraId="3C627E69" w14:textId="77777777" w:rsidTr="004A4206">
        <w:trPr>
          <w:trHeight w:val="150"/>
          <w:jc w:val="center"/>
        </w:trPr>
        <w:tc>
          <w:tcPr>
            <w:tcW w:w="4819" w:type="dxa"/>
            <w:gridSpan w:val="3"/>
            <w:vAlign w:val="center"/>
          </w:tcPr>
          <w:p w14:paraId="21155E19" w14:textId="4B883DE0" w:rsidR="00DB72A0" w:rsidRPr="009F0C37" w:rsidRDefault="0057127D" w:rsidP="00606EF5">
            <w:pPr>
              <w:ind w:firstLineChars="0" w:firstLine="0"/>
              <w:rPr>
                <w:rFonts w:eastAsia="楷体"/>
                <w:color w:val="000000"/>
                <w:sz w:val="18"/>
                <w:szCs w:val="18"/>
                <w:lang w:eastAsia="zh-CN"/>
              </w:rPr>
            </w:pPr>
            <w:r>
              <w:rPr>
                <w:b/>
                <w:noProof/>
                <w:lang w:eastAsia="zh-CN" w:bidi="ar-SA"/>
              </w:rPr>
              <w:drawing>
                <wp:inline distT="0" distB="0" distL="0" distR="0" wp14:anchorId="44BA9E8E" wp14:editId="466181CE">
                  <wp:extent cx="2873375" cy="2344420"/>
                  <wp:effectExtent l="0" t="0" r="3175" b="0"/>
                  <wp:docPr id="29529964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299641" name="图片 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a:xfrm>
                            <a:off x="0" y="0"/>
                            <a:ext cx="2873375" cy="2344420"/>
                          </a:xfrm>
                          <a:prstGeom prst="rect">
                            <a:avLst/>
                          </a:prstGeom>
                          <a:noFill/>
                          <a:ln>
                            <a:noFill/>
                          </a:ln>
                        </pic:spPr>
                      </pic:pic>
                    </a:graphicData>
                  </a:graphic>
                </wp:inline>
              </w:drawing>
            </w:r>
          </w:p>
        </w:tc>
        <w:tc>
          <w:tcPr>
            <w:tcW w:w="4820" w:type="dxa"/>
            <w:vAlign w:val="center"/>
          </w:tcPr>
          <w:p w14:paraId="2FFDF310" w14:textId="76351A32" w:rsidR="00DB72A0" w:rsidRPr="009F0C37" w:rsidRDefault="0057127D" w:rsidP="0045255E">
            <w:pPr>
              <w:ind w:firstLineChars="0" w:firstLine="0"/>
              <w:rPr>
                <w:rFonts w:eastAsia="楷体"/>
                <w:color w:val="000000"/>
                <w:sz w:val="18"/>
                <w:szCs w:val="18"/>
                <w:lang w:eastAsia="zh-CN"/>
              </w:rPr>
            </w:pPr>
            <w:r>
              <w:rPr>
                <w:b/>
                <w:noProof/>
                <w:lang w:eastAsia="zh-CN" w:bidi="ar-SA"/>
              </w:rPr>
              <w:drawing>
                <wp:inline distT="0" distB="0" distL="0" distR="0" wp14:anchorId="6E3AE619" wp14:editId="649A49B0">
                  <wp:extent cx="2886710" cy="2344420"/>
                  <wp:effectExtent l="0" t="0" r="8890" b="0"/>
                  <wp:docPr id="14237562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75625" name="图片 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a:xfrm>
                            <a:off x="0" y="0"/>
                            <a:ext cx="2886710" cy="2344420"/>
                          </a:xfrm>
                          <a:prstGeom prst="rect">
                            <a:avLst/>
                          </a:prstGeom>
                          <a:noFill/>
                          <a:ln>
                            <a:noFill/>
                          </a:ln>
                        </pic:spPr>
                      </pic:pic>
                    </a:graphicData>
                  </a:graphic>
                </wp:inline>
              </w:drawing>
            </w:r>
          </w:p>
        </w:tc>
      </w:tr>
      <w:tr w:rsidR="00DB72A0" w:rsidRPr="009F0C37" w14:paraId="53F11105" w14:textId="77777777" w:rsidTr="00FE4928">
        <w:trPr>
          <w:trHeight w:val="150"/>
          <w:jc w:val="center"/>
        </w:trPr>
        <w:tc>
          <w:tcPr>
            <w:tcW w:w="9639" w:type="dxa"/>
            <w:gridSpan w:val="4"/>
            <w:vAlign w:val="center"/>
          </w:tcPr>
          <w:p w14:paraId="29985491" w14:textId="38172081" w:rsidR="00DB72A0" w:rsidRPr="009F0C37" w:rsidRDefault="00DB72A0" w:rsidP="009F0C37">
            <w:pPr>
              <w:ind w:firstLine="360"/>
              <w:rPr>
                <w:rFonts w:eastAsia="楷体"/>
                <w:color w:val="000000"/>
                <w:sz w:val="18"/>
                <w:szCs w:val="18"/>
                <w:lang w:eastAsia="zh-CN"/>
              </w:rPr>
            </w:pPr>
            <w:r>
              <w:rPr>
                <w:rFonts w:hint="eastAsia"/>
                <w:color w:val="000000"/>
                <w:sz w:val="18"/>
                <w:szCs w:val="18"/>
                <w:lang w:eastAsia="zh-CN"/>
              </w:rPr>
              <w:t>注：</w:t>
            </w:r>
            <w:r w:rsidR="0057127D" w:rsidRPr="0057127D">
              <w:rPr>
                <w:rFonts w:hint="eastAsia"/>
                <w:color w:val="000000"/>
                <w:sz w:val="18"/>
                <w:szCs w:val="18"/>
                <w:lang w:eastAsia="zh-CN"/>
              </w:rPr>
              <w:t>外需和出口份额均基于主要出口伙伴数据计算。主要出口伙伴包括美国、欧盟、东盟、日本、韩国、印度、俄罗斯、澳大利亚、中国台湾、巴西、加拿大、沙特和南非。</w:t>
            </w:r>
            <w:r w:rsidR="0057127D" w:rsidRPr="0057127D">
              <w:rPr>
                <w:rFonts w:hint="eastAsia"/>
                <w:color w:val="000000"/>
                <w:sz w:val="18"/>
                <w:szCs w:val="18"/>
                <w:lang w:eastAsia="zh-CN"/>
              </w:rPr>
              <w:t>2024</w:t>
            </w:r>
            <w:r w:rsidR="0057127D" w:rsidRPr="0057127D">
              <w:rPr>
                <w:rFonts w:hint="eastAsia"/>
                <w:color w:val="000000"/>
                <w:sz w:val="18"/>
                <w:szCs w:val="18"/>
                <w:lang w:eastAsia="zh-CN"/>
              </w:rPr>
              <w:t>年，中国对这些地区出口占我国总出口的</w:t>
            </w:r>
            <w:r w:rsidR="0057127D" w:rsidRPr="0057127D">
              <w:rPr>
                <w:rFonts w:hint="eastAsia"/>
                <w:color w:val="000000"/>
                <w:sz w:val="18"/>
                <w:szCs w:val="18"/>
                <w:lang w:eastAsia="zh-CN"/>
              </w:rPr>
              <w:t>70%</w:t>
            </w:r>
            <w:r w:rsidR="0057127D" w:rsidRPr="0057127D">
              <w:rPr>
                <w:rFonts w:hint="eastAsia"/>
                <w:color w:val="000000"/>
                <w:sz w:val="18"/>
                <w:szCs w:val="18"/>
                <w:lang w:eastAsia="zh-CN"/>
              </w:rPr>
              <w:t>左右。</w:t>
            </w:r>
            <w:r w:rsidR="0057127D" w:rsidRPr="0057127D">
              <w:rPr>
                <w:rFonts w:hint="eastAsia"/>
                <w:color w:val="000000"/>
                <w:sz w:val="18"/>
                <w:szCs w:val="18"/>
                <w:lang w:eastAsia="zh-CN"/>
              </w:rPr>
              <w:t>2022</w:t>
            </w:r>
            <w:r w:rsidR="0057127D" w:rsidRPr="0057127D">
              <w:rPr>
                <w:rFonts w:hint="eastAsia"/>
                <w:color w:val="000000"/>
                <w:sz w:val="18"/>
                <w:szCs w:val="18"/>
                <w:lang w:eastAsia="zh-CN"/>
              </w:rPr>
              <w:t>年第</w:t>
            </w:r>
            <w:r w:rsidR="0057127D" w:rsidRPr="0057127D">
              <w:rPr>
                <w:rFonts w:hint="eastAsia"/>
                <w:color w:val="000000"/>
                <w:sz w:val="18"/>
                <w:szCs w:val="18"/>
                <w:lang w:eastAsia="zh-CN"/>
              </w:rPr>
              <w:t>2</w:t>
            </w:r>
            <w:r w:rsidR="0057127D" w:rsidRPr="0057127D">
              <w:rPr>
                <w:rFonts w:hint="eastAsia"/>
                <w:color w:val="000000"/>
                <w:sz w:val="18"/>
                <w:szCs w:val="18"/>
                <w:lang w:eastAsia="zh-CN"/>
              </w:rPr>
              <w:t>季度以来，俄罗斯和沙特数据存在缺失，</w:t>
            </w:r>
            <w:r w:rsidR="0057127D" w:rsidRPr="0057127D">
              <w:rPr>
                <w:rFonts w:hint="eastAsia"/>
                <w:color w:val="000000"/>
                <w:sz w:val="18"/>
                <w:szCs w:val="18"/>
                <w:lang w:eastAsia="zh-CN"/>
              </w:rPr>
              <w:t>2025</w:t>
            </w:r>
            <w:r w:rsidR="0057127D" w:rsidRPr="0057127D">
              <w:rPr>
                <w:rFonts w:hint="eastAsia"/>
                <w:color w:val="000000"/>
                <w:sz w:val="18"/>
                <w:szCs w:val="18"/>
                <w:lang w:eastAsia="zh-CN"/>
              </w:rPr>
              <w:t>年</w:t>
            </w:r>
            <w:r w:rsidR="0057127D" w:rsidRPr="0057127D">
              <w:rPr>
                <w:rFonts w:hint="eastAsia"/>
                <w:color w:val="000000"/>
                <w:sz w:val="18"/>
                <w:szCs w:val="18"/>
                <w:lang w:eastAsia="zh-CN"/>
              </w:rPr>
              <w:t>1</w:t>
            </w:r>
            <w:r w:rsidR="0057127D" w:rsidRPr="0057127D">
              <w:rPr>
                <w:rFonts w:hint="eastAsia"/>
                <w:color w:val="000000"/>
                <w:sz w:val="18"/>
                <w:szCs w:val="18"/>
                <w:lang w:eastAsia="zh-CN"/>
              </w:rPr>
              <w:t>季度外需和出口市场份额为估计值</w:t>
            </w:r>
            <w:r>
              <w:rPr>
                <w:rFonts w:hint="eastAsia"/>
                <w:color w:val="000000"/>
                <w:sz w:val="18"/>
                <w:szCs w:val="18"/>
                <w:lang w:eastAsia="zh-CN"/>
              </w:rPr>
              <w:t>。</w:t>
            </w:r>
          </w:p>
        </w:tc>
      </w:tr>
      <w:tr w:rsidR="009F0C37" w:rsidRPr="009F0C37" w14:paraId="4F7232B6" w14:textId="77777777" w:rsidTr="00FE4928">
        <w:trPr>
          <w:trHeight w:val="150"/>
          <w:jc w:val="center"/>
        </w:trPr>
        <w:tc>
          <w:tcPr>
            <w:tcW w:w="2154" w:type="dxa"/>
          </w:tcPr>
          <w:p w14:paraId="073EB4F3" w14:textId="61F7F8F7" w:rsidR="009F0C37" w:rsidRPr="009F0C37" w:rsidRDefault="00507888" w:rsidP="009F0C37">
            <w:pPr>
              <w:ind w:firstLineChars="0" w:firstLine="0"/>
              <w:rPr>
                <w:rFonts w:eastAsia="楷体"/>
                <w:b/>
                <w:lang w:eastAsia="zh-CN" w:bidi="ar-SA"/>
              </w:rPr>
            </w:pPr>
            <w:r>
              <w:rPr>
                <w:lang w:eastAsia="zh-CN"/>
              </w:rPr>
              <w:br w:type="page"/>
            </w:r>
            <w:r w:rsidR="0057127D" w:rsidRPr="0057127D">
              <w:rPr>
                <w:rFonts w:eastAsia="楷体" w:hint="eastAsia"/>
                <w:b/>
                <w:lang w:eastAsia="zh-CN" w:bidi="ar-SA"/>
              </w:rPr>
              <w:t>1</w:t>
            </w:r>
            <w:r w:rsidR="0057127D" w:rsidRPr="0057127D">
              <w:rPr>
                <w:rFonts w:eastAsia="楷体" w:hint="eastAsia"/>
                <w:b/>
                <w:lang w:eastAsia="zh-CN" w:bidi="ar-SA"/>
              </w:rPr>
              <w:t>季度，除东盟和中国台湾外，我国自主要贸易伙伴进口普遍下降</w:t>
            </w:r>
            <w:r w:rsidR="009F0C37" w:rsidRPr="009F0C37">
              <w:rPr>
                <w:rFonts w:eastAsia="楷体" w:hint="eastAsia"/>
                <w:b/>
                <w:lang w:eastAsia="zh-CN" w:bidi="ar-SA"/>
              </w:rPr>
              <w:t>。</w:t>
            </w:r>
          </w:p>
          <w:p w14:paraId="0BB092D7" w14:textId="77777777" w:rsidR="009F0C37" w:rsidRPr="009F0C37" w:rsidRDefault="009F0C37" w:rsidP="009F0C37">
            <w:pPr>
              <w:ind w:firstLineChars="0" w:firstLine="0"/>
              <w:rPr>
                <w:rFonts w:eastAsia="宋体"/>
                <w:sz w:val="28"/>
                <w:szCs w:val="28"/>
                <w:lang w:eastAsia="zh-CN" w:bidi="ar-SA"/>
              </w:rPr>
            </w:pPr>
          </w:p>
          <w:p w14:paraId="0FFDFD4D" w14:textId="77777777" w:rsidR="009F0C37" w:rsidRPr="009F0C37" w:rsidRDefault="009F0C37" w:rsidP="009F0C37">
            <w:pPr>
              <w:ind w:firstLineChars="0" w:firstLine="0"/>
              <w:rPr>
                <w:rFonts w:eastAsia="宋体"/>
                <w:sz w:val="28"/>
                <w:szCs w:val="28"/>
                <w:lang w:eastAsia="zh-CN" w:bidi="ar-SA"/>
              </w:rPr>
            </w:pPr>
          </w:p>
          <w:p w14:paraId="1DEB397C" w14:textId="6577EE82" w:rsidR="009F0C37" w:rsidRPr="009F0C37" w:rsidRDefault="0057127D" w:rsidP="009F0C37">
            <w:pPr>
              <w:ind w:firstLineChars="0" w:firstLine="0"/>
              <w:rPr>
                <w:rFonts w:eastAsia="楷体"/>
                <w:b/>
                <w:lang w:eastAsia="zh-CN" w:bidi="ar-SA"/>
              </w:rPr>
            </w:pPr>
            <w:r w:rsidRPr="0057127D">
              <w:rPr>
                <w:rFonts w:eastAsia="楷体" w:hint="eastAsia"/>
                <w:b/>
                <w:lang w:eastAsia="zh-CN" w:bidi="ar-SA"/>
              </w:rPr>
              <w:t>一般贸易和其他贸易进口继续回落，加工贸易进口同比</w:t>
            </w:r>
            <w:r w:rsidRPr="0057127D">
              <w:rPr>
                <w:rFonts w:eastAsia="楷体" w:hint="eastAsia"/>
                <w:b/>
                <w:lang w:eastAsia="zh-CN" w:bidi="ar-SA"/>
              </w:rPr>
              <w:lastRenderedPageBreak/>
              <w:t>略有好转</w:t>
            </w:r>
            <w:r w:rsidR="009F0C37" w:rsidRPr="009F0C37">
              <w:rPr>
                <w:rFonts w:eastAsia="楷体" w:hint="eastAsia"/>
                <w:b/>
                <w:lang w:eastAsia="zh-CN" w:bidi="ar-SA"/>
              </w:rPr>
              <w:t>。</w:t>
            </w:r>
          </w:p>
          <w:p w14:paraId="6408FA99" w14:textId="77777777" w:rsidR="009F0C37" w:rsidRPr="009F0C37" w:rsidRDefault="009F0C37" w:rsidP="009F0C37">
            <w:pPr>
              <w:ind w:firstLineChars="0" w:firstLine="0"/>
              <w:rPr>
                <w:rFonts w:eastAsia="楷体"/>
                <w:b/>
                <w:lang w:eastAsia="zh-CN" w:bidi="ar-SA"/>
              </w:rPr>
            </w:pPr>
          </w:p>
          <w:p w14:paraId="4782B465" w14:textId="77777777" w:rsidR="009F0C37" w:rsidRPr="009F0C37" w:rsidRDefault="009F0C37" w:rsidP="009F0C37">
            <w:pPr>
              <w:ind w:firstLineChars="0" w:firstLine="0"/>
              <w:rPr>
                <w:rFonts w:eastAsia="楷体"/>
                <w:b/>
                <w:lang w:eastAsia="zh-CN" w:bidi="ar-SA"/>
              </w:rPr>
            </w:pPr>
          </w:p>
          <w:p w14:paraId="7C4F6758" w14:textId="77777777" w:rsidR="009F0C37" w:rsidRPr="009F0C37" w:rsidRDefault="009F0C37" w:rsidP="009F0C37">
            <w:pPr>
              <w:ind w:firstLineChars="0" w:firstLine="0"/>
              <w:rPr>
                <w:rFonts w:eastAsia="楷体"/>
                <w:b/>
                <w:lang w:eastAsia="zh-CN" w:bidi="ar-SA"/>
              </w:rPr>
            </w:pPr>
          </w:p>
          <w:p w14:paraId="0D3CA750" w14:textId="77777777" w:rsidR="009F0C37" w:rsidRPr="009F0C37" w:rsidRDefault="009F0C37" w:rsidP="009F0C37">
            <w:pPr>
              <w:ind w:firstLineChars="0" w:firstLine="0"/>
              <w:rPr>
                <w:rFonts w:eastAsia="楷体"/>
                <w:b/>
                <w:lang w:eastAsia="zh-CN" w:bidi="ar-SA"/>
              </w:rPr>
            </w:pPr>
          </w:p>
          <w:p w14:paraId="6AEB63C7" w14:textId="7EA7315D" w:rsidR="009F0C37" w:rsidRPr="009F0C37" w:rsidRDefault="0057127D" w:rsidP="009F0C37">
            <w:pPr>
              <w:ind w:firstLineChars="0" w:firstLine="0"/>
              <w:rPr>
                <w:rFonts w:eastAsia="楷体"/>
                <w:b/>
                <w:lang w:eastAsia="zh-CN" w:bidi="ar-SA"/>
              </w:rPr>
            </w:pPr>
            <w:r w:rsidRPr="0057127D">
              <w:rPr>
                <w:rFonts w:eastAsia="楷体" w:hint="eastAsia"/>
                <w:b/>
                <w:lang w:eastAsia="zh-CN" w:bidi="ar-SA"/>
              </w:rPr>
              <w:t>大宗商品拖累总体进口增长，机电产品进口逆势提升</w:t>
            </w:r>
            <w:r w:rsidR="009F0C37" w:rsidRPr="009F0C37">
              <w:rPr>
                <w:rFonts w:eastAsia="楷体" w:hint="eastAsia"/>
                <w:b/>
                <w:lang w:eastAsia="zh-CN" w:bidi="ar-SA"/>
              </w:rPr>
              <w:t>。</w:t>
            </w:r>
          </w:p>
          <w:p w14:paraId="635FC094" w14:textId="77777777" w:rsidR="009F0C37" w:rsidRPr="009F0C37" w:rsidRDefault="009F0C37" w:rsidP="009F0C37">
            <w:pPr>
              <w:ind w:firstLineChars="0" w:firstLine="0"/>
              <w:rPr>
                <w:rFonts w:eastAsia="宋体"/>
                <w:sz w:val="28"/>
                <w:szCs w:val="28"/>
                <w:lang w:eastAsia="zh-CN" w:bidi="ar-SA"/>
              </w:rPr>
            </w:pPr>
          </w:p>
        </w:tc>
        <w:tc>
          <w:tcPr>
            <w:tcW w:w="300" w:type="dxa"/>
          </w:tcPr>
          <w:p w14:paraId="6B6BCE32" w14:textId="77777777" w:rsidR="009F0C37" w:rsidRPr="009F0C37" w:rsidRDefault="009F0C37" w:rsidP="009F0C37">
            <w:pPr>
              <w:keepNext/>
              <w:keepLines/>
              <w:ind w:firstLine="480"/>
              <w:rPr>
                <w:rFonts w:eastAsia="楷体_GB2312"/>
                <w:lang w:eastAsia="zh-CN"/>
              </w:rPr>
            </w:pPr>
          </w:p>
        </w:tc>
        <w:tc>
          <w:tcPr>
            <w:tcW w:w="7185" w:type="dxa"/>
            <w:gridSpan w:val="2"/>
          </w:tcPr>
          <w:p w14:paraId="21D24B9A" w14:textId="690F333A" w:rsidR="009F0C37" w:rsidRPr="009F0C37" w:rsidRDefault="009F0C37" w:rsidP="009F0C37">
            <w:pPr>
              <w:spacing w:beforeLines="50" w:before="163"/>
              <w:ind w:firstLineChars="0" w:firstLine="0"/>
              <w:rPr>
                <w:rFonts w:eastAsia="楷体"/>
                <w:b/>
                <w:sz w:val="28"/>
                <w:szCs w:val="28"/>
                <w:lang w:eastAsia="zh-CN"/>
              </w:rPr>
            </w:pPr>
            <w:r w:rsidRPr="009F0C37">
              <w:rPr>
                <w:rFonts w:eastAsia="楷体" w:hint="eastAsia"/>
                <w:b/>
                <w:sz w:val="28"/>
                <w:szCs w:val="28"/>
                <w:lang w:eastAsia="zh-CN"/>
              </w:rPr>
              <w:t>三、</w:t>
            </w:r>
            <w:r w:rsidR="00230008" w:rsidRPr="00230008">
              <w:rPr>
                <w:rFonts w:eastAsia="楷体" w:hint="eastAsia"/>
                <w:b/>
                <w:sz w:val="28"/>
                <w:szCs w:val="28"/>
                <w:lang w:eastAsia="zh-CN"/>
              </w:rPr>
              <w:t>中国进口降幅继续扩大</w:t>
            </w:r>
          </w:p>
          <w:p w14:paraId="53FC9567" w14:textId="77777777" w:rsidR="0057127D" w:rsidRPr="0057127D" w:rsidRDefault="0057127D" w:rsidP="00D66A7B">
            <w:pPr>
              <w:ind w:firstLine="480"/>
              <w:rPr>
                <w:lang w:eastAsia="zh-CN" w:bidi="ar-SA"/>
              </w:rPr>
            </w:pPr>
            <w:r w:rsidRPr="0057127D">
              <w:rPr>
                <w:rFonts w:hint="eastAsia"/>
                <w:lang w:eastAsia="zh-CN" w:bidi="ar-SA"/>
              </w:rPr>
              <w:t>中国海关数据显示，</w:t>
            </w:r>
            <w:r w:rsidRPr="0057127D">
              <w:rPr>
                <w:rFonts w:hint="eastAsia"/>
                <w:lang w:eastAsia="zh-CN" w:bidi="ar-SA"/>
              </w:rPr>
              <w:t>1</w:t>
            </w:r>
            <w:r w:rsidRPr="0057127D">
              <w:rPr>
                <w:rFonts w:hint="eastAsia"/>
                <w:lang w:eastAsia="zh-CN" w:bidi="ar-SA"/>
              </w:rPr>
              <w:t>季度，以人民币计，中国进口总额</w:t>
            </w:r>
            <w:r w:rsidRPr="0057127D">
              <w:rPr>
                <w:rFonts w:hint="eastAsia"/>
                <w:lang w:eastAsia="zh-CN" w:bidi="ar-SA"/>
              </w:rPr>
              <w:t>4.2</w:t>
            </w:r>
            <w:r w:rsidRPr="0057127D">
              <w:rPr>
                <w:rFonts w:hint="eastAsia"/>
                <w:lang w:eastAsia="zh-CN" w:bidi="ar-SA"/>
              </w:rPr>
              <w:t>万亿元，同比下降</w:t>
            </w:r>
            <w:r w:rsidRPr="0057127D">
              <w:rPr>
                <w:rFonts w:hint="eastAsia"/>
                <w:lang w:eastAsia="zh-CN" w:bidi="ar-SA"/>
              </w:rPr>
              <w:t>6.0%</w:t>
            </w:r>
            <w:r w:rsidRPr="0057127D">
              <w:rPr>
                <w:rFonts w:hint="eastAsia"/>
                <w:lang w:eastAsia="zh-CN" w:bidi="ar-SA"/>
              </w:rPr>
              <w:t>；以美元计，进口总额</w:t>
            </w:r>
            <w:r w:rsidRPr="0057127D">
              <w:rPr>
                <w:rFonts w:hint="eastAsia"/>
                <w:lang w:eastAsia="zh-CN" w:bidi="ar-SA"/>
              </w:rPr>
              <w:t>5807</w:t>
            </w:r>
            <w:r w:rsidRPr="0057127D">
              <w:rPr>
                <w:rFonts w:hint="eastAsia"/>
                <w:lang w:eastAsia="zh-CN" w:bidi="ar-SA"/>
              </w:rPr>
              <w:t>亿美元，同比下降</w:t>
            </w:r>
            <w:r w:rsidRPr="0057127D">
              <w:rPr>
                <w:rFonts w:hint="eastAsia"/>
                <w:lang w:eastAsia="zh-CN" w:bidi="ar-SA"/>
              </w:rPr>
              <w:t>7.0%</w:t>
            </w:r>
            <w:r w:rsidRPr="0057127D">
              <w:rPr>
                <w:rFonts w:hint="eastAsia"/>
                <w:lang w:eastAsia="zh-CN" w:bidi="ar-SA"/>
              </w:rPr>
              <w:t>，降幅继续扩大</w:t>
            </w:r>
            <w:r w:rsidRPr="0057127D">
              <w:rPr>
                <w:rFonts w:hint="eastAsia"/>
                <w:lang w:eastAsia="zh-CN" w:bidi="ar-SA"/>
              </w:rPr>
              <w:t>5.3</w:t>
            </w:r>
            <w:r w:rsidRPr="0057127D">
              <w:rPr>
                <w:rFonts w:hint="eastAsia"/>
                <w:lang w:eastAsia="zh-CN" w:bidi="ar-SA"/>
              </w:rPr>
              <w:t>个百分点。从量价分解看，</w:t>
            </w:r>
            <w:r w:rsidRPr="0057127D">
              <w:rPr>
                <w:rFonts w:hint="eastAsia"/>
                <w:lang w:eastAsia="zh-CN" w:bidi="ar-SA"/>
              </w:rPr>
              <w:t>1-2</w:t>
            </w:r>
            <w:r w:rsidRPr="0057127D">
              <w:rPr>
                <w:rFonts w:hint="eastAsia"/>
                <w:lang w:eastAsia="zh-CN" w:bidi="ar-SA"/>
              </w:rPr>
              <w:t>月，进口价格小幅负增长，进口数量收缩较多。</w:t>
            </w:r>
          </w:p>
          <w:p w14:paraId="1BFC6829" w14:textId="77777777" w:rsidR="0057127D" w:rsidRPr="0057127D" w:rsidRDefault="0057127D" w:rsidP="00D66A7B">
            <w:pPr>
              <w:ind w:firstLine="480"/>
              <w:rPr>
                <w:lang w:eastAsia="zh-CN" w:bidi="ar-SA"/>
              </w:rPr>
            </w:pPr>
            <w:r w:rsidRPr="0057127D">
              <w:rPr>
                <w:rFonts w:hint="eastAsia"/>
                <w:lang w:eastAsia="zh-CN" w:bidi="ar-SA"/>
              </w:rPr>
              <w:t>分地区看，</w:t>
            </w:r>
            <w:r w:rsidRPr="0057127D">
              <w:rPr>
                <w:rFonts w:hint="eastAsia"/>
                <w:lang w:eastAsia="zh-CN" w:bidi="ar-SA"/>
              </w:rPr>
              <w:t>1</w:t>
            </w:r>
            <w:r w:rsidRPr="0057127D">
              <w:rPr>
                <w:rFonts w:hint="eastAsia"/>
                <w:lang w:eastAsia="zh-CN" w:bidi="ar-SA"/>
              </w:rPr>
              <w:t>季度，除东盟和中国台湾外，我国自主要贸易伙伴进口普遍下降。其中，自美国、欧盟、日本、韩国、巴西、印度、俄罗斯进口增速下降</w:t>
            </w:r>
            <w:r w:rsidRPr="0057127D">
              <w:rPr>
                <w:rFonts w:hint="eastAsia"/>
                <w:lang w:eastAsia="zh-CN" w:bidi="ar-SA"/>
              </w:rPr>
              <w:t>0.4-14.7</w:t>
            </w:r>
            <w:r w:rsidRPr="0057127D">
              <w:rPr>
                <w:rFonts w:hint="eastAsia"/>
                <w:lang w:eastAsia="zh-CN" w:bidi="ar-SA"/>
              </w:rPr>
              <w:t>个百分点，且均为负增长。但自东盟、中国台湾进口仍维持正增长且增速较上季度提高。</w:t>
            </w:r>
          </w:p>
          <w:p w14:paraId="7A59B039" w14:textId="77777777" w:rsidR="0057127D" w:rsidRPr="0057127D" w:rsidRDefault="0057127D" w:rsidP="00D66A7B">
            <w:pPr>
              <w:ind w:firstLine="480"/>
              <w:rPr>
                <w:lang w:eastAsia="zh-CN"/>
              </w:rPr>
            </w:pPr>
            <w:r w:rsidRPr="0057127D">
              <w:rPr>
                <w:rFonts w:hint="eastAsia"/>
                <w:lang w:eastAsia="zh-CN" w:bidi="ar-SA"/>
              </w:rPr>
              <w:lastRenderedPageBreak/>
              <w:t>从贸易方</w:t>
            </w:r>
            <w:r w:rsidR="009F0C37" w:rsidRPr="009F0C37">
              <w:rPr>
                <w:rFonts w:hint="eastAsia"/>
                <w:lang w:eastAsia="zh-CN"/>
              </w:rPr>
              <w:t>式</w:t>
            </w:r>
            <w:r w:rsidR="009F0C37" w:rsidRPr="009F0C37">
              <w:rPr>
                <w:vertAlign w:val="superscript"/>
                <w:lang w:eastAsia="zh-CN"/>
              </w:rPr>
              <w:footnoteReference w:id="9"/>
            </w:r>
            <w:r w:rsidR="009F0C37" w:rsidRPr="009F0C37">
              <w:rPr>
                <w:rFonts w:hint="eastAsia"/>
                <w:lang w:eastAsia="zh-CN"/>
              </w:rPr>
              <w:t>看，</w:t>
            </w:r>
            <w:r w:rsidRPr="0057127D">
              <w:rPr>
                <w:rFonts w:hint="eastAsia"/>
                <w:b/>
                <w:bCs/>
                <w:lang w:eastAsia="zh-CN"/>
              </w:rPr>
              <w:t>一般贸易和其他贸易进口继续回落，加工贸易进口同比略有好转。</w:t>
            </w:r>
            <w:r w:rsidRPr="0057127D">
              <w:rPr>
                <w:rFonts w:hint="eastAsia"/>
                <w:lang w:eastAsia="zh-CN"/>
              </w:rPr>
              <w:t>其中，一般贸易和其他贸易方式进口增速分别为</w:t>
            </w:r>
            <w:r w:rsidRPr="0057127D">
              <w:rPr>
                <w:rFonts w:hint="eastAsia"/>
                <w:lang w:eastAsia="zh-CN"/>
              </w:rPr>
              <w:t>-11.3%</w:t>
            </w:r>
            <w:r w:rsidRPr="0057127D">
              <w:rPr>
                <w:rFonts w:hint="eastAsia"/>
                <w:lang w:eastAsia="zh-CN"/>
              </w:rPr>
              <w:t>和</w:t>
            </w:r>
            <w:r w:rsidRPr="0057127D">
              <w:rPr>
                <w:rFonts w:hint="eastAsia"/>
                <w:lang w:eastAsia="zh-CN"/>
              </w:rPr>
              <w:t>-2.5%</w:t>
            </w:r>
            <w:r w:rsidRPr="0057127D">
              <w:rPr>
                <w:rFonts w:hint="eastAsia"/>
                <w:lang w:eastAsia="zh-CN"/>
              </w:rPr>
              <w:t>，较上季度下降</w:t>
            </w:r>
            <w:r w:rsidRPr="0057127D">
              <w:rPr>
                <w:rFonts w:hint="eastAsia"/>
                <w:lang w:eastAsia="zh-CN"/>
              </w:rPr>
              <w:t>5.9</w:t>
            </w:r>
            <w:r w:rsidRPr="0057127D">
              <w:rPr>
                <w:rFonts w:hint="eastAsia"/>
                <w:lang w:eastAsia="zh-CN"/>
              </w:rPr>
              <w:t>和</w:t>
            </w:r>
            <w:r w:rsidRPr="0057127D">
              <w:rPr>
                <w:rFonts w:hint="eastAsia"/>
                <w:lang w:eastAsia="zh-CN"/>
              </w:rPr>
              <w:t>10.4</w:t>
            </w:r>
            <w:r w:rsidRPr="0057127D">
              <w:rPr>
                <w:rFonts w:hint="eastAsia"/>
                <w:lang w:eastAsia="zh-CN"/>
              </w:rPr>
              <w:t>个百分点。而加工贸易进口增速为</w:t>
            </w:r>
            <w:r w:rsidRPr="0057127D">
              <w:rPr>
                <w:rFonts w:hint="eastAsia"/>
                <w:lang w:eastAsia="zh-CN"/>
              </w:rPr>
              <w:t>5.6%</w:t>
            </w:r>
            <w:r w:rsidRPr="0057127D">
              <w:rPr>
                <w:rFonts w:hint="eastAsia"/>
                <w:lang w:eastAsia="zh-CN"/>
              </w:rPr>
              <w:t>，较上季度提高</w:t>
            </w:r>
            <w:r w:rsidRPr="0057127D">
              <w:rPr>
                <w:rFonts w:hint="eastAsia"/>
                <w:lang w:eastAsia="zh-CN"/>
              </w:rPr>
              <w:t>4.4</w:t>
            </w:r>
            <w:r w:rsidRPr="0057127D">
              <w:rPr>
                <w:rFonts w:hint="eastAsia"/>
                <w:lang w:eastAsia="zh-CN"/>
              </w:rPr>
              <w:t>个百分点。考虑到以加工贸易和其他贸易方式进口的政策优惠更多，这可能使得这两类贸易方式进口相对更有优势。</w:t>
            </w:r>
          </w:p>
          <w:p w14:paraId="66D333AC" w14:textId="5DCA6DB8" w:rsidR="009F0C37" w:rsidRPr="009F0C37" w:rsidRDefault="0057127D" w:rsidP="00D66A7B">
            <w:pPr>
              <w:ind w:firstLine="482"/>
              <w:rPr>
                <w:rFonts w:eastAsia="宋体"/>
                <w:lang w:eastAsia="zh-CN"/>
              </w:rPr>
            </w:pPr>
            <w:r w:rsidRPr="0057127D">
              <w:rPr>
                <w:rFonts w:hint="eastAsia"/>
                <w:b/>
                <w:bCs/>
                <w:lang w:eastAsia="zh-CN"/>
              </w:rPr>
              <w:t>分产品</w:t>
            </w:r>
            <w:r w:rsidRPr="0057127D">
              <w:rPr>
                <w:b/>
                <w:bCs/>
                <w:vertAlign w:val="superscript"/>
              </w:rPr>
              <w:footnoteReference w:id="10"/>
            </w:r>
            <w:r w:rsidRPr="0057127D">
              <w:rPr>
                <w:rFonts w:hint="eastAsia"/>
                <w:b/>
                <w:bCs/>
                <w:lang w:eastAsia="zh-CN"/>
              </w:rPr>
              <w:t>看，大宗商品拖累总体进口增长，机电产品进口逆势提升。</w:t>
            </w:r>
            <w:r w:rsidRPr="0057127D">
              <w:rPr>
                <w:rFonts w:hint="eastAsia"/>
                <w:lang w:eastAsia="zh-CN"/>
              </w:rPr>
              <w:t>其中，农产品、铁矿</w:t>
            </w:r>
            <w:r w:rsidRPr="0057127D">
              <w:rPr>
                <w:rFonts w:hint="eastAsia"/>
                <w:lang w:eastAsia="zh-CN"/>
              </w:rPr>
              <w:t>-</w:t>
            </w:r>
            <w:r w:rsidRPr="0057127D">
              <w:rPr>
                <w:rFonts w:hint="eastAsia"/>
                <w:lang w:eastAsia="zh-CN"/>
              </w:rPr>
              <w:t>铜矿</w:t>
            </w:r>
            <w:r w:rsidRPr="0057127D">
              <w:rPr>
                <w:rFonts w:hint="eastAsia"/>
                <w:lang w:eastAsia="zh-CN"/>
              </w:rPr>
              <w:t>-</w:t>
            </w:r>
            <w:r w:rsidRPr="0057127D">
              <w:rPr>
                <w:rFonts w:hint="eastAsia"/>
                <w:lang w:eastAsia="zh-CN"/>
              </w:rPr>
              <w:t>铁材</w:t>
            </w:r>
            <w:r w:rsidRPr="0057127D">
              <w:rPr>
                <w:rFonts w:hint="eastAsia"/>
                <w:lang w:eastAsia="zh-CN"/>
              </w:rPr>
              <w:t>-</w:t>
            </w:r>
            <w:r w:rsidRPr="0057127D">
              <w:rPr>
                <w:rFonts w:hint="eastAsia"/>
                <w:lang w:eastAsia="zh-CN"/>
              </w:rPr>
              <w:t>铜材、煤</w:t>
            </w:r>
            <w:r w:rsidRPr="0057127D">
              <w:rPr>
                <w:rFonts w:hint="eastAsia"/>
                <w:lang w:eastAsia="zh-CN"/>
              </w:rPr>
              <w:t>-</w:t>
            </w:r>
            <w:r w:rsidRPr="0057127D">
              <w:rPr>
                <w:rFonts w:hint="eastAsia"/>
                <w:lang w:eastAsia="zh-CN"/>
              </w:rPr>
              <w:t>油</w:t>
            </w:r>
            <w:r w:rsidRPr="0057127D">
              <w:rPr>
                <w:rFonts w:hint="eastAsia"/>
                <w:lang w:eastAsia="zh-CN"/>
              </w:rPr>
              <w:t>-</w:t>
            </w:r>
            <w:r w:rsidRPr="0057127D">
              <w:rPr>
                <w:rFonts w:hint="eastAsia"/>
                <w:lang w:eastAsia="zh-CN"/>
              </w:rPr>
              <w:t>天然气、纸浆</w:t>
            </w:r>
            <w:r w:rsidRPr="0057127D">
              <w:rPr>
                <w:rFonts w:hint="eastAsia"/>
                <w:lang w:eastAsia="zh-CN"/>
              </w:rPr>
              <w:t>-</w:t>
            </w:r>
            <w:r w:rsidRPr="0057127D">
              <w:rPr>
                <w:rFonts w:hint="eastAsia"/>
                <w:lang w:eastAsia="zh-CN"/>
              </w:rPr>
              <w:t>锯材</w:t>
            </w:r>
            <w:r w:rsidRPr="0057127D">
              <w:rPr>
                <w:rFonts w:hint="eastAsia"/>
                <w:lang w:eastAsia="zh-CN"/>
              </w:rPr>
              <w:t>-</w:t>
            </w:r>
            <w:r w:rsidRPr="0057127D">
              <w:rPr>
                <w:rFonts w:hint="eastAsia"/>
                <w:lang w:eastAsia="zh-CN"/>
              </w:rPr>
              <w:t>纺织纤维纱线及制品进口分别下降</w:t>
            </w:r>
            <w:r w:rsidRPr="0057127D">
              <w:rPr>
                <w:rFonts w:hint="eastAsia"/>
                <w:lang w:eastAsia="zh-CN"/>
              </w:rPr>
              <w:t>15.7%</w:t>
            </w:r>
            <w:r w:rsidRPr="0057127D">
              <w:rPr>
                <w:rFonts w:hint="eastAsia"/>
                <w:lang w:eastAsia="zh-CN"/>
              </w:rPr>
              <w:t>、</w:t>
            </w:r>
            <w:r w:rsidRPr="0057127D">
              <w:rPr>
                <w:rFonts w:hint="eastAsia"/>
                <w:lang w:eastAsia="zh-CN"/>
              </w:rPr>
              <w:t>13.9%</w:t>
            </w:r>
            <w:r w:rsidRPr="0057127D">
              <w:rPr>
                <w:rFonts w:hint="eastAsia"/>
                <w:lang w:eastAsia="zh-CN"/>
              </w:rPr>
              <w:t>、</w:t>
            </w:r>
            <w:r w:rsidRPr="0057127D">
              <w:rPr>
                <w:rFonts w:hint="eastAsia"/>
                <w:lang w:eastAsia="zh-CN"/>
              </w:rPr>
              <w:t>10.8%</w:t>
            </w:r>
            <w:r w:rsidRPr="0057127D">
              <w:rPr>
                <w:rFonts w:hint="eastAsia"/>
                <w:lang w:eastAsia="zh-CN"/>
              </w:rPr>
              <w:t>、</w:t>
            </w:r>
            <w:r w:rsidRPr="0057127D">
              <w:rPr>
                <w:rFonts w:hint="eastAsia"/>
                <w:lang w:eastAsia="zh-CN"/>
              </w:rPr>
              <w:t>4.1%</w:t>
            </w:r>
            <w:r w:rsidRPr="0057127D">
              <w:rPr>
                <w:rFonts w:hint="eastAsia"/>
                <w:lang w:eastAsia="zh-CN"/>
              </w:rPr>
              <w:t>，且农产品和铁矿</w:t>
            </w:r>
            <w:r w:rsidRPr="0057127D">
              <w:rPr>
                <w:rFonts w:hint="eastAsia"/>
                <w:lang w:eastAsia="zh-CN"/>
              </w:rPr>
              <w:t>-</w:t>
            </w:r>
            <w:r w:rsidRPr="0057127D">
              <w:rPr>
                <w:rFonts w:hint="eastAsia"/>
                <w:lang w:eastAsia="zh-CN"/>
              </w:rPr>
              <w:t>铜矿</w:t>
            </w:r>
            <w:r w:rsidRPr="0057127D">
              <w:rPr>
                <w:rFonts w:hint="eastAsia"/>
                <w:lang w:eastAsia="zh-CN"/>
              </w:rPr>
              <w:t>-</w:t>
            </w:r>
            <w:r w:rsidRPr="0057127D">
              <w:rPr>
                <w:rFonts w:hint="eastAsia"/>
                <w:lang w:eastAsia="zh-CN"/>
              </w:rPr>
              <w:t>铁材</w:t>
            </w:r>
            <w:r w:rsidRPr="0057127D">
              <w:rPr>
                <w:rFonts w:hint="eastAsia"/>
                <w:lang w:eastAsia="zh-CN"/>
              </w:rPr>
              <w:t>-</w:t>
            </w:r>
            <w:r w:rsidRPr="0057127D">
              <w:rPr>
                <w:rFonts w:hint="eastAsia"/>
                <w:lang w:eastAsia="zh-CN"/>
              </w:rPr>
              <w:t>铜材进口增速均较上季度继续回落。相反，机电产品和高新科技产品进口逆势提升，</w:t>
            </w:r>
            <w:r w:rsidRPr="0057127D">
              <w:rPr>
                <w:rFonts w:hint="eastAsia"/>
                <w:lang w:eastAsia="zh-CN"/>
              </w:rPr>
              <w:t>1</w:t>
            </w:r>
            <w:r w:rsidRPr="0057127D">
              <w:rPr>
                <w:rFonts w:hint="eastAsia"/>
                <w:lang w:eastAsia="zh-CN"/>
              </w:rPr>
              <w:t>季度增速分别为</w:t>
            </w:r>
            <w:r w:rsidRPr="0057127D">
              <w:rPr>
                <w:rFonts w:hint="eastAsia"/>
                <w:lang w:eastAsia="zh-CN"/>
              </w:rPr>
              <w:t>3.6%</w:t>
            </w:r>
            <w:r w:rsidRPr="0057127D">
              <w:rPr>
                <w:rFonts w:hint="eastAsia"/>
                <w:lang w:eastAsia="zh-CN"/>
              </w:rPr>
              <w:t>和</w:t>
            </w:r>
            <w:r w:rsidRPr="0057127D">
              <w:rPr>
                <w:rFonts w:hint="eastAsia"/>
                <w:lang w:eastAsia="zh-CN"/>
              </w:rPr>
              <w:t>8.5%</w:t>
            </w:r>
            <w:r w:rsidRPr="0057127D">
              <w:rPr>
                <w:rFonts w:hint="eastAsia"/>
                <w:lang w:eastAsia="zh-CN"/>
              </w:rPr>
              <w:t>。从量价分解看，铁矿石、铜及铜材、原油进口数量均不同程度回落，铁矿石和原油价格同比亦大幅回落、呈现量价齐跌，但铜及铜材价格仍在高位、</w:t>
            </w:r>
            <w:r w:rsidRPr="0057127D">
              <w:rPr>
                <w:rFonts w:hint="eastAsia"/>
                <w:lang w:eastAsia="zh-CN"/>
              </w:rPr>
              <w:t>1-3</w:t>
            </w:r>
            <w:r w:rsidRPr="0057127D">
              <w:rPr>
                <w:rFonts w:hint="eastAsia"/>
                <w:lang w:eastAsia="zh-CN"/>
              </w:rPr>
              <w:t>月均价同比增长</w:t>
            </w:r>
            <w:r w:rsidRPr="0057127D">
              <w:rPr>
                <w:rFonts w:hint="eastAsia"/>
                <w:lang w:eastAsia="zh-CN"/>
              </w:rPr>
              <w:t>10.7%</w:t>
            </w:r>
            <w:r w:rsidR="009F0C37" w:rsidRPr="009F0C37">
              <w:rPr>
                <w:rFonts w:hint="eastAsia"/>
                <w:lang w:eastAsia="zh-CN"/>
              </w:rPr>
              <w:t>。</w:t>
            </w:r>
          </w:p>
        </w:tc>
      </w:tr>
      <w:tr w:rsidR="009F0C37" w:rsidRPr="009F0C37" w14:paraId="6D39936C" w14:textId="77777777" w:rsidTr="00FE4928">
        <w:trPr>
          <w:trHeight w:val="150"/>
          <w:jc w:val="center"/>
        </w:trPr>
        <w:tc>
          <w:tcPr>
            <w:tcW w:w="9639" w:type="dxa"/>
            <w:gridSpan w:val="4"/>
          </w:tcPr>
          <w:p w14:paraId="6B10592A" w14:textId="6A5DBF1D" w:rsidR="009F0C37" w:rsidRPr="009F0C37" w:rsidRDefault="00D37774" w:rsidP="00D37774">
            <w:pPr>
              <w:pStyle w:val="a4"/>
              <w:rPr>
                <w:sz w:val="28"/>
                <w:szCs w:val="28"/>
              </w:rPr>
            </w:pPr>
            <w:bookmarkStart w:id="128" w:name="_Toc196399464"/>
            <w:r>
              <w:rPr>
                <w:rFonts w:hint="eastAsia"/>
              </w:rPr>
              <w:lastRenderedPageBreak/>
              <w:t xml:space="preserve">图表 </w:t>
            </w:r>
            <w:r>
              <w:rPr>
                <w:rFonts w:hint="eastAsia"/>
              </w:rPr>
              <w:fldChar w:fldCharType="begin"/>
            </w:r>
            <w:r>
              <w:rPr>
                <w:rFonts w:hint="eastAsia"/>
              </w:rPr>
              <w:instrText xml:space="preserve"> SEQ 图表 \* ARABIC </w:instrText>
            </w:r>
            <w:r>
              <w:rPr>
                <w:rFonts w:hint="eastAsia"/>
              </w:rPr>
              <w:fldChar w:fldCharType="separate"/>
            </w:r>
            <w:r w:rsidR="00530ED7">
              <w:rPr>
                <w:rFonts w:hint="eastAsia"/>
                <w:noProof/>
              </w:rPr>
              <w:t>53</w:t>
            </w:r>
            <w:r>
              <w:rPr>
                <w:rFonts w:hint="eastAsia"/>
              </w:rPr>
              <w:fldChar w:fldCharType="end"/>
            </w:r>
            <w:r w:rsidRPr="00D37774">
              <w:t xml:space="preserve">  </w:t>
            </w:r>
            <w:r w:rsidR="0057127D" w:rsidRPr="0057127D">
              <w:rPr>
                <w:rFonts w:hint="eastAsia"/>
              </w:rPr>
              <w:t>中国进口增速的贸易方式和产品分布</w:t>
            </w:r>
            <w:bookmarkEnd w:id="128"/>
          </w:p>
        </w:tc>
      </w:tr>
      <w:tr w:rsidR="009F0C37" w:rsidRPr="009F0C37" w14:paraId="77565462" w14:textId="77777777" w:rsidTr="00FE4928">
        <w:trPr>
          <w:trHeight w:val="150"/>
          <w:jc w:val="center"/>
        </w:trPr>
        <w:tc>
          <w:tcPr>
            <w:tcW w:w="4819" w:type="dxa"/>
            <w:gridSpan w:val="3"/>
          </w:tcPr>
          <w:p w14:paraId="54D9771E" w14:textId="02ED5FAB" w:rsidR="009F0C37" w:rsidRPr="009F0C37" w:rsidRDefault="0057127D" w:rsidP="009F0C37">
            <w:pPr>
              <w:ind w:firstLineChars="0" w:firstLine="0"/>
              <w:rPr>
                <w:rFonts w:eastAsia="宋体"/>
                <w:b/>
                <w:sz w:val="28"/>
                <w:szCs w:val="28"/>
                <w:lang w:eastAsia="zh-CN" w:bidi="ar-SA"/>
              </w:rPr>
            </w:pPr>
            <w:r>
              <w:rPr>
                <w:noProof/>
                <w:lang w:eastAsia="zh-CN" w:bidi="ar-SA"/>
              </w:rPr>
              <w:drawing>
                <wp:inline distT="0" distB="0" distL="0" distR="0" wp14:anchorId="677BD300" wp14:editId="145A8378">
                  <wp:extent cx="2882265" cy="2339975"/>
                  <wp:effectExtent l="0" t="0" r="0" b="3175"/>
                  <wp:docPr id="73960818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608182" name="图片 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a:xfrm>
                            <a:off x="0" y="0"/>
                            <a:ext cx="2882265" cy="2339975"/>
                          </a:xfrm>
                          <a:prstGeom prst="rect">
                            <a:avLst/>
                          </a:prstGeom>
                          <a:noFill/>
                          <a:ln>
                            <a:noFill/>
                          </a:ln>
                        </pic:spPr>
                      </pic:pic>
                    </a:graphicData>
                  </a:graphic>
                </wp:inline>
              </w:drawing>
            </w:r>
          </w:p>
        </w:tc>
        <w:tc>
          <w:tcPr>
            <w:tcW w:w="4820" w:type="dxa"/>
          </w:tcPr>
          <w:p w14:paraId="35BB8E7E" w14:textId="5A782EA0" w:rsidR="009F0C37" w:rsidRPr="009F0C37" w:rsidRDefault="0057127D" w:rsidP="009F0C37">
            <w:pPr>
              <w:ind w:firstLineChars="0" w:firstLine="0"/>
              <w:rPr>
                <w:rFonts w:eastAsia="宋体"/>
                <w:b/>
                <w:sz w:val="28"/>
                <w:szCs w:val="28"/>
                <w:lang w:eastAsia="zh-CN" w:bidi="ar-SA"/>
              </w:rPr>
            </w:pPr>
            <w:r>
              <w:rPr>
                <w:rFonts w:hint="eastAsia"/>
                <w:noProof/>
                <w:lang w:eastAsia="zh-CN" w:bidi="ar-SA"/>
              </w:rPr>
              <w:drawing>
                <wp:inline distT="0" distB="0" distL="0" distR="0" wp14:anchorId="4FA18A43" wp14:editId="034219E4">
                  <wp:extent cx="2877820" cy="2339340"/>
                  <wp:effectExtent l="0" t="0" r="0" b="3810"/>
                  <wp:docPr id="94184136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841364" name="图片 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a:xfrm>
                            <a:off x="0" y="0"/>
                            <a:ext cx="2877820" cy="2339340"/>
                          </a:xfrm>
                          <a:prstGeom prst="rect">
                            <a:avLst/>
                          </a:prstGeom>
                          <a:noFill/>
                          <a:ln>
                            <a:noFill/>
                          </a:ln>
                        </pic:spPr>
                      </pic:pic>
                    </a:graphicData>
                  </a:graphic>
                </wp:inline>
              </w:drawing>
            </w:r>
          </w:p>
        </w:tc>
      </w:tr>
      <w:tr w:rsidR="009F0C37" w:rsidRPr="009F0C37" w14:paraId="282BD82D" w14:textId="77777777" w:rsidTr="00FE4928">
        <w:trPr>
          <w:trHeight w:val="150"/>
          <w:jc w:val="center"/>
        </w:trPr>
        <w:tc>
          <w:tcPr>
            <w:tcW w:w="9639" w:type="dxa"/>
            <w:gridSpan w:val="4"/>
          </w:tcPr>
          <w:p w14:paraId="45F020EC" w14:textId="11A8D008" w:rsidR="009F0C37" w:rsidRPr="009F0C37" w:rsidRDefault="009F0C37" w:rsidP="009F0C37">
            <w:pPr>
              <w:tabs>
                <w:tab w:val="left" w:pos="3558"/>
              </w:tabs>
              <w:spacing w:line="240" w:lineRule="auto"/>
              <w:ind w:firstLine="420"/>
              <w:rPr>
                <w:rFonts w:eastAsia="宋体"/>
                <w:bCs/>
                <w:sz w:val="21"/>
                <w:szCs w:val="21"/>
                <w:lang w:eastAsia="zh-CN" w:bidi="ar-SA"/>
              </w:rPr>
            </w:pPr>
            <w:r w:rsidRPr="009F0C37">
              <w:rPr>
                <w:rFonts w:eastAsia="宋体" w:hint="eastAsia"/>
                <w:bCs/>
                <w:sz w:val="21"/>
                <w:szCs w:val="21"/>
                <w:lang w:eastAsia="zh-CN" w:bidi="ar-SA"/>
              </w:rPr>
              <w:t>说明：</w:t>
            </w:r>
            <w:r w:rsidR="0057127D" w:rsidRPr="0057127D">
              <w:rPr>
                <w:rFonts w:eastAsia="宋体" w:hint="eastAsia"/>
                <w:bCs/>
                <w:sz w:val="21"/>
                <w:szCs w:val="21"/>
                <w:lang w:eastAsia="zh-CN" w:bidi="ar-SA"/>
              </w:rPr>
              <w:t>2016</w:t>
            </w:r>
            <w:r w:rsidR="0057127D" w:rsidRPr="0057127D">
              <w:rPr>
                <w:rFonts w:eastAsia="宋体" w:hint="eastAsia"/>
                <w:bCs/>
                <w:sz w:val="21"/>
                <w:szCs w:val="21"/>
                <w:lang w:eastAsia="zh-CN" w:bidi="ar-SA"/>
              </w:rPr>
              <w:t>年</w:t>
            </w:r>
            <w:r w:rsidR="0057127D" w:rsidRPr="0057127D">
              <w:rPr>
                <w:rFonts w:eastAsia="宋体" w:hint="eastAsia"/>
                <w:bCs/>
                <w:sz w:val="21"/>
                <w:szCs w:val="21"/>
                <w:lang w:eastAsia="zh-CN" w:bidi="ar-SA"/>
              </w:rPr>
              <w:t>1</w:t>
            </w:r>
            <w:r w:rsidR="0057127D" w:rsidRPr="0057127D">
              <w:rPr>
                <w:rFonts w:eastAsia="宋体" w:hint="eastAsia"/>
                <w:bCs/>
                <w:sz w:val="21"/>
                <w:szCs w:val="21"/>
                <w:lang w:eastAsia="zh-CN" w:bidi="ar-SA"/>
              </w:rPr>
              <w:t>月中国海关将天然气纳入进口重点商品表中。因此，</w:t>
            </w:r>
            <w:r w:rsidR="0057127D" w:rsidRPr="0057127D">
              <w:rPr>
                <w:rFonts w:eastAsia="宋体" w:hint="eastAsia"/>
                <w:bCs/>
                <w:sz w:val="21"/>
                <w:szCs w:val="21"/>
                <w:lang w:eastAsia="zh-CN" w:bidi="ar-SA"/>
              </w:rPr>
              <w:t>2016</w:t>
            </w:r>
            <w:r w:rsidR="0057127D" w:rsidRPr="0057127D">
              <w:rPr>
                <w:rFonts w:eastAsia="宋体" w:hint="eastAsia"/>
                <w:bCs/>
                <w:sz w:val="21"/>
                <w:szCs w:val="21"/>
                <w:lang w:eastAsia="zh-CN" w:bidi="ar-SA"/>
              </w:rPr>
              <w:t>年之前，煤</w:t>
            </w:r>
            <w:r w:rsidR="0057127D" w:rsidRPr="0057127D">
              <w:rPr>
                <w:rFonts w:eastAsia="宋体" w:hint="eastAsia"/>
                <w:bCs/>
                <w:sz w:val="21"/>
                <w:szCs w:val="21"/>
                <w:lang w:eastAsia="zh-CN" w:bidi="ar-SA"/>
              </w:rPr>
              <w:t>-</w:t>
            </w:r>
            <w:r w:rsidR="0057127D" w:rsidRPr="0057127D">
              <w:rPr>
                <w:rFonts w:eastAsia="宋体" w:hint="eastAsia"/>
                <w:bCs/>
                <w:sz w:val="21"/>
                <w:szCs w:val="21"/>
                <w:lang w:eastAsia="zh-CN" w:bidi="ar-SA"/>
              </w:rPr>
              <w:t>油</w:t>
            </w:r>
            <w:r w:rsidR="0057127D" w:rsidRPr="0057127D">
              <w:rPr>
                <w:rFonts w:eastAsia="宋体" w:hint="eastAsia"/>
                <w:bCs/>
                <w:sz w:val="21"/>
                <w:szCs w:val="21"/>
                <w:lang w:eastAsia="zh-CN" w:bidi="ar-SA"/>
              </w:rPr>
              <w:t>-</w:t>
            </w:r>
            <w:r w:rsidR="0057127D" w:rsidRPr="0057127D">
              <w:rPr>
                <w:rFonts w:eastAsia="宋体" w:hint="eastAsia"/>
                <w:bCs/>
                <w:sz w:val="21"/>
                <w:szCs w:val="21"/>
                <w:lang w:eastAsia="zh-CN" w:bidi="ar-SA"/>
              </w:rPr>
              <w:t>天然气产品同比增速为不包含天然气的进口同比变化</w:t>
            </w:r>
            <w:r w:rsidRPr="009F0C37">
              <w:rPr>
                <w:rFonts w:eastAsia="宋体"/>
                <w:bCs/>
                <w:sz w:val="21"/>
                <w:szCs w:val="21"/>
                <w:lang w:eastAsia="zh-CN" w:bidi="ar-SA"/>
              </w:rPr>
              <w:t>。</w:t>
            </w:r>
          </w:p>
        </w:tc>
      </w:tr>
    </w:tbl>
    <w:p w14:paraId="72B552FB" w14:textId="77777777" w:rsidR="00507888" w:rsidRDefault="00507888">
      <w:pPr>
        <w:ind w:firstLine="480"/>
        <w:rPr>
          <w:lang w:eastAsia="zh-CN"/>
        </w:rPr>
      </w:pPr>
      <w:r>
        <w:rPr>
          <w:lang w:eastAsia="zh-CN"/>
        </w:rPr>
        <w:br w:type="page"/>
      </w:r>
    </w:p>
    <w:tbl>
      <w:tblPr>
        <w:tblW w:w="9639" w:type="dxa"/>
        <w:jc w:val="center"/>
        <w:tblLayout w:type="fixed"/>
        <w:tblLook w:val="04A0" w:firstRow="1" w:lastRow="0" w:firstColumn="1" w:lastColumn="0" w:noHBand="0" w:noVBand="1"/>
      </w:tblPr>
      <w:tblGrid>
        <w:gridCol w:w="2051"/>
        <w:gridCol w:w="297"/>
        <w:gridCol w:w="304"/>
        <w:gridCol w:w="2052"/>
        <w:gridCol w:w="4471"/>
        <w:gridCol w:w="464"/>
      </w:tblGrid>
      <w:tr w:rsidR="009F0C37" w:rsidRPr="009F0C37" w14:paraId="5C5E9358" w14:textId="77777777" w:rsidTr="00FE4928">
        <w:trPr>
          <w:gridAfter w:val="1"/>
          <w:wAfter w:w="254" w:type="dxa"/>
          <w:trHeight w:val="150"/>
          <w:jc w:val="center"/>
        </w:trPr>
        <w:tc>
          <w:tcPr>
            <w:tcW w:w="2154" w:type="dxa"/>
            <w:vAlign w:val="center"/>
          </w:tcPr>
          <w:p w14:paraId="3510F30A" w14:textId="2D94EBAA" w:rsidR="009F0C37" w:rsidRPr="009F0C37" w:rsidRDefault="00230008" w:rsidP="009F0C37">
            <w:pPr>
              <w:spacing w:beforeLines="50" w:before="163"/>
              <w:ind w:firstLineChars="0" w:firstLine="0"/>
              <w:rPr>
                <w:rFonts w:eastAsia="楷体"/>
                <w:b/>
                <w:bCs/>
                <w:color w:val="000000"/>
                <w:lang w:eastAsia="zh-CN"/>
              </w:rPr>
            </w:pPr>
            <w:r w:rsidRPr="00230008">
              <w:rPr>
                <w:rFonts w:eastAsia="楷体" w:hint="eastAsia"/>
                <w:b/>
                <w:bCs/>
                <w:color w:val="000000"/>
                <w:lang w:eastAsia="zh-CN"/>
              </w:rPr>
              <w:lastRenderedPageBreak/>
              <w:t>1</w:t>
            </w:r>
            <w:r w:rsidRPr="00230008">
              <w:rPr>
                <w:rFonts w:eastAsia="楷体" w:hint="eastAsia"/>
                <w:b/>
                <w:bCs/>
                <w:color w:val="000000"/>
                <w:lang w:eastAsia="zh-CN"/>
              </w:rPr>
              <w:t>季度经常账户顺差继续扩张</w:t>
            </w:r>
            <w:r w:rsidR="009F0C37" w:rsidRPr="009F0C37">
              <w:rPr>
                <w:rFonts w:eastAsia="楷体" w:hint="eastAsia"/>
                <w:b/>
                <w:bCs/>
                <w:color w:val="000000"/>
                <w:lang w:eastAsia="zh-CN"/>
              </w:rPr>
              <w:t>。</w:t>
            </w:r>
          </w:p>
        </w:tc>
        <w:tc>
          <w:tcPr>
            <w:tcW w:w="300" w:type="dxa"/>
          </w:tcPr>
          <w:p w14:paraId="6648A56A" w14:textId="77777777" w:rsidR="009F0C37" w:rsidRPr="009F0C37" w:rsidRDefault="009F0C37" w:rsidP="009F0C37">
            <w:pPr>
              <w:keepNext/>
              <w:keepLines/>
              <w:ind w:firstLine="480"/>
              <w:rPr>
                <w:rFonts w:eastAsia="楷体_GB2312"/>
                <w:lang w:eastAsia="zh-CN"/>
              </w:rPr>
            </w:pPr>
          </w:p>
        </w:tc>
        <w:tc>
          <w:tcPr>
            <w:tcW w:w="7185" w:type="dxa"/>
            <w:gridSpan w:val="3"/>
          </w:tcPr>
          <w:p w14:paraId="0BFECB19" w14:textId="3EB4F8A4" w:rsidR="009F0C37" w:rsidRPr="009F0C37" w:rsidRDefault="009F0C37" w:rsidP="009F0C37">
            <w:pPr>
              <w:ind w:firstLineChars="0" w:firstLine="0"/>
              <w:rPr>
                <w:rFonts w:eastAsia="楷体"/>
                <w:b/>
                <w:sz w:val="28"/>
                <w:szCs w:val="28"/>
                <w:lang w:eastAsia="zh-CN" w:bidi="ar-SA"/>
              </w:rPr>
            </w:pPr>
            <w:r w:rsidRPr="009F0C37">
              <w:rPr>
                <w:rFonts w:eastAsia="楷体" w:hint="eastAsia"/>
                <w:b/>
                <w:sz w:val="28"/>
                <w:szCs w:val="28"/>
                <w:lang w:eastAsia="zh-CN" w:bidi="ar-SA"/>
              </w:rPr>
              <w:t>四</w:t>
            </w:r>
            <w:r w:rsidRPr="009F0C37">
              <w:rPr>
                <w:rFonts w:eastAsia="楷体"/>
                <w:b/>
                <w:sz w:val="28"/>
                <w:szCs w:val="28"/>
                <w:lang w:eastAsia="zh-CN" w:bidi="ar-SA"/>
              </w:rPr>
              <w:t>、</w:t>
            </w:r>
            <w:r w:rsidR="00230008" w:rsidRPr="00230008">
              <w:rPr>
                <w:rFonts w:eastAsia="楷体" w:hint="eastAsia"/>
                <w:b/>
                <w:sz w:val="28"/>
                <w:szCs w:val="28"/>
                <w:lang w:eastAsia="zh-CN" w:bidi="ar-SA"/>
              </w:rPr>
              <w:t>经常账户顺差继续扩张</w:t>
            </w:r>
          </w:p>
          <w:p w14:paraId="48C22DA9" w14:textId="706961CF" w:rsidR="009F0C37" w:rsidRPr="00D66A7B" w:rsidRDefault="00230008" w:rsidP="00D66A7B">
            <w:pPr>
              <w:ind w:firstLine="480"/>
              <w:rPr>
                <w:rFonts w:asciiTheme="minorEastAsia" w:hAnsiTheme="minorEastAsia"/>
                <w:b/>
                <w:sz w:val="28"/>
                <w:szCs w:val="28"/>
                <w:lang w:eastAsia="zh-CN" w:bidi="ar-SA"/>
              </w:rPr>
            </w:pPr>
            <w:r w:rsidRPr="00D66A7B">
              <w:rPr>
                <w:rFonts w:asciiTheme="minorEastAsia" w:hAnsiTheme="minorEastAsia" w:hint="eastAsia"/>
                <w:color w:val="000000"/>
                <w:lang w:eastAsia="zh-CN"/>
              </w:rPr>
              <w:t>1季度，以人民币计，中国货物贸易顺差额为19614亿元，同比增速为50.5%；以美元计，顺差总额为2730亿美元，同比提高49.0%（上季度增速为49.1%）。其中，一般贸易顺差提升较为突出，其他贸易逆差大幅收缩。1-2月，中国服务贸易逆差为391亿美元，同比提高0.1%。其中，境外旅行服务逆差为432亿美元，同比提高18.5%；运输服务逆差为60亿美元，同比下降55.8%。这意味1季度经常账户顺差仍在扩张</w:t>
            </w:r>
            <w:r w:rsidR="009F0C37" w:rsidRPr="00D66A7B">
              <w:rPr>
                <w:rFonts w:asciiTheme="minorEastAsia" w:hAnsiTheme="minorEastAsia" w:hint="eastAsia"/>
                <w:color w:val="000000"/>
                <w:lang w:eastAsia="zh-CN"/>
              </w:rPr>
              <w:t>。</w:t>
            </w:r>
          </w:p>
        </w:tc>
      </w:tr>
      <w:tr w:rsidR="00230008" w:rsidRPr="00230008" w14:paraId="4959E279" w14:textId="77777777" w:rsidTr="00230008">
        <w:trPr>
          <w:trHeight w:val="150"/>
          <w:jc w:val="center"/>
        </w:trPr>
        <w:tc>
          <w:tcPr>
            <w:tcW w:w="9893" w:type="dxa"/>
            <w:gridSpan w:val="6"/>
          </w:tcPr>
          <w:p w14:paraId="6820B202" w14:textId="4E0A1BCD" w:rsidR="00230008" w:rsidRPr="00230008" w:rsidRDefault="00D37774" w:rsidP="00D37774">
            <w:pPr>
              <w:pStyle w:val="a4"/>
              <w:rPr>
                <w:sz w:val="28"/>
                <w:szCs w:val="28"/>
              </w:rPr>
            </w:pPr>
            <w:bookmarkStart w:id="129" w:name="_Toc520407677"/>
            <w:bookmarkStart w:id="130" w:name="_Toc196399465"/>
            <w:r>
              <w:rPr>
                <w:rFonts w:hint="eastAsia"/>
              </w:rPr>
              <w:t xml:space="preserve">图表 </w:t>
            </w:r>
            <w:r>
              <w:rPr>
                <w:rFonts w:hint="eastAsia"/>
              </w:rPr>
              <w:fldChar w:fldCharType="begin"/>
            </w:r>
            <w:r>
              <w:rPr>
                <w:rFonts w:hint="eastAsia"/>
              </w:rPr>
              <w:instrText xml:space="preserve"> SEQ 图表 \* ARABIC </w:instrText>
            </w:r>
            <w:r>
              <w:rPr>
                <w:rFonts w:hint="eastAsia"/>
              </w:rPr>
              <w:fldChar w:fldCharType="separate"/>
            </w:r>
            <w:r w:rsidR="00530ED7">
              <w:rPr>
                <w:rFonts w:hint="eastAsia"/>
                <w:noProof/>
              </w:rPr>
              <w:t>54</w:t>
            </w:r>
            <w:r>
              <w:rPr>
                <w:rFonts w:hint="eastAsia"/>
              </w:rPr>
              <w:fldChar w:fldCharType="end"/>
            </w:r>
            <w:r w:rsidRPr="00D37774">
              <w:t xml:space="preserve">  </w:t>
            </w:r>
            <w:r w:rsidR="00230008" w:rsidRPr="00230008">
              <w:t>中国货物贸易顺差</w:t>
            </w:r>
            <w:r w:rsidR="00230008" w:rsidRPr="00230008">
              <w:rPr>
                <w:rFonts w:hint="eastAsia"/>
              </w:rPr>
              <w:t>和</w:t>
            </w:r>
            <w:r w:rsidR="00230008" w:rsidRPr="00230008">
              <w:t>服务贸易逆差</w:t>
            </w:r>
            <w:bookmarkEnd w:id="129"/>
            <w:bookmarkEnd w:id="130"/>
          </w:p>
        </w:tc>
      </w:tr>
      <w:tr w:rsidR="00230008" w:rsidRPr="00230008" w14:paraId="37A176E5" w14:textId="77777777" w:rsidTr="00230008">
        <w:trPr>
          <w:trHeight w:val="150"/>
          <w:jc w:val="center"/>
        </w:trPr>
        <w:tc>
          <w:tcPr>
            <w:tcW w:w="4929" w:type="dxa"/>
            <w:gridSpan w:val="4"/>
          </w:tcPr>
          <w:p w14:paraId="18521D71" w14:textId="77777777" w:rsidR="00230008" w:rsidRPr="00230008" w:rsidRDefault="00230008" w:rsidP="00230008">
            <w:pPr>
              <w:ind w:firstLineChars="0" w:firstLine="0"/>
              <w:rPr>
                <w:rFonts w:eastAsia="宋体"/>
                <w:b/>
                <w:sz w:val="28"/>
                <w:szCs w:val="28"/>
                <w:lang w:eastAsia="zh-CN" w:bidi="ar-SA"/>
              </w:rPr>
            </w:pPr>
            <w:r w:rsidRPr="00230008">
              <w:rPr>
                <w:rFonts w:ascii="等线" w:eastAsia="等线" w:hAnsi="等线" w:hint="eastAsia"/>
                <w:noProof/>
                <w:sz w:val="21"/>
                <w:szCs w:val="22"/>
                <w:lang w:eastAsia="zh-CN" w:bidi="ar-SA"/>
              </w:rPr>
              <w:drawing>
                <wp:inline distT="0" distB="0" distL="0" distR="0" wp14:anchorId="66E75BA1" wp14:editId="12E7B0E3">
                  <wp:extent cx="3004185" cy="2381804"/>
                  <wp:effectExtent l="0" t="0" r="5715" b="0"/>
                  <wp:docPr id="19538324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83244" name="图片 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a:xfrm>
                            <a:off x="0" y="0"/>
                            <a:ext cx="3016093" cy="2391245"/>
                          </a:xfrm>
                          <a:prstGeom prst="rect">
                            <a:avLst/>
                          </a:prstGeom>
                          <a:noFill/>
                          <a:ln>
                            <a:noFill/>
                          </a:ln>
                        </pic:spPr>
                      </pic:pic>
                    </a:graphicData>
                  </a:graphic>
                </wp:inline>
              </w:drawing>
            </w:r>
          </w:p>
        </w:tc>
        <w:tc>
          <w:tcPr>
            <w:tcW w:w="4964" w:type="dxa"/>
            <w:gridSpan w:val="2"/>
          </w:tcPr>
          <w:p w14:paraId="21403798" w14:textId="77777777" w:rsidR="00230008" w:rsidRPr="00230008" w:rsidRDefault="00230008" w:rsidP="00230008">
            <w:pPr>
              <w:ind w:firstLineChars="0" w:firstLine="0"/>
              <w:rPr>
                <w:rFonts w:eastAsia="宋体"/>
                <w:b/>
                <w:sz w:val="28"/>
                <w:szCs w:val="28"/>
                <w:lang w:eastAsia="zh-CN" w:bidi="ar-SA"/>
              </w:rPr>
            </w:pPr>
            <w:r w:rsidRPr="00230008">
              <w:rPr>
                <w:rFonts w:ascii="等线" w:eastAsia="等线" w:hAnsi="等线" w:hint="eastAsia"/>
                <w:noProof/>
                <w:sz w:val="21"/>
                <w:szCs w:val="22"/>
                <w:lang w:eastAsia="zh-CN" w:bidi="ar-SA"/>
              </w:rPr>
              <w:drawing>
                <wp:inline distT="0" distB="0" distL="0" distR="0" wp14:anchorId="78537551" wp14:editId="34C89498">
                  <wp:extent cx="2923540" cy="2375535"/>
                  <wp:effectExtent l="0" t="0" r="0" b="5715"/>
                  <wp:docPr id="44721744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217447" name="图片 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a:xfrm>
                            <a:off x="0" y="0"/>
                            <a:ext cx="2923540" cy="2375535"/>
                          </a:xfrm>
                          <a:prstGeom prst="rect">
                            <a:avLst/>
                          </a:prstGeom>
                          <a:noFill/>
                          <a:ln>
                            <a:noFill/>
                          </a:ln>
                        </pic:spPr>
                      </pic:pic>
                    </a:graphicData>
                  </a:graphic>
                </wp:inline>
              </w:drawing>
            </w:r>
          </w:p>
        </w:tc>
      </w:tr>
      <w:tr w:rsidR="00230008" w:rsidRPr="00230008" w14:paraId="2ACD78EC" w14:textId="77777777" w:rsidTr="00230008">
        <w:trPr>
          <w:trHeight w:val="150"/>
          <w:jc w:val="center"/>
        </w:trPr>
        <w:tc>
          <w:tcPr>
            <w:tcW w:w="2219" w:type="dxa"/>
            <w:gridSpan w:val="2"/>
          </w:tcPr>
          <w:p w14:paraId="485AFD44" w14:textId="77777777" w:rsidR="00230008" w:rsidRPr="00230008" w:rsidRDefault="00230008" w:rsidP="00230008">
            <w:pPr>
              <w:ind w:firstLineChars="0" w:firstLine="0"/>
              <w:rPr>
                <w:rFonts w:eastAsia="宋体"/>
                <w:sz w:val="28"/>
                <w:szCs w:val="28"/>
                <w:lang w:eastAsia="zh-CN" w:bidi="ar-SA"/>
              </w:rPr>
            </w:pPr>
            <w:r w:rsidRPr="00230008">
              <w:rPr>
                <w:rFonts w:eastAsia="楷体" w:hint="eastAsia"/>
                <w:b/>
                <w:color w:val="000000"/>
                <w:lang w:eastAsia="zh-CN"/>
              </w:rPr>
              <w:t>1</w:t>
            </w:r>
            <w:r w:rsidRPr="00230008">
              <w:rPr>
                <w:rFonts w:eastAsia="楷体" w:hint="eastAsia"/>
                <w:b/>
                <w:color w:val="000000"/>
                <w:lang w:eastAsia="zh-CN"/>
              </w:rPr>
              <w:t>季度，中国经常账户占</w:t>
            </w:r>
            <w:r w:rsidRPr="00230008">
              <w:rPr>
                <w:rFonts w:eastAsia="楷体"/>
                <w:b/>
                <w:color w:val="000000"/>
                <w:lang w:eastAsia="zh-CN"/>
              </w:rPr>
              <w:t>GDP</w:t>
            </w:r>
            <w:r w:rsidRPr="00230008">
              <w:rPr>
                <w:rFonts w:eastAsia="楷体" w:hint="eastAsia"/>
                <w:b/>
                <w:color w:val="000000"/>
                <w:lang w:eastAsia="zh-CN"/>
              </w:rPr>
              <w:t>比重预估在</w:t>
            </w:r>
            <w:r w:rsidRPr="00230008">
              <w:rPr>
                <w:rFonts w:eastAsia="楷体" w:hint="eastAsia"/>
                <w:b/>
                <w:color w:val="000000"/>
                <w:lang w:eastAsia="zh-CN"/>
              </w:rPr>
              <w:t>2.8</w:t>
            </w:r>
            <w:r w:rsidRPr="00230008">
              <w:rPr>
                <w:rFonts w:eastAsia="楷体"/>
                <w:b/>
                <w:color w:val="000000"/>
                <w:lang w:eastAsia="zh-CN"/>
              </w:rPr>
              <w:t>%</w:t>
            </w:r>
            <w:r w:rsidRPr="00230008">
              <w:rPr>
                <w:rFonts w:eastAsia="楷体" w:hint="eastAsia"/>
                <w:b/>
                <w:color w:val="000000"/>
                <w:lang w:eastAsia="zh-CN"/>
              </w:rPr>
              <w:t>左右。</w:t>
            </w:r>
          </w:p>
        </w:tc>
        <w:tc>
          <w:tcPr>
            <w:tcW w:w="308" w:type="dxa"/>
          </w:tcPr>
          <w:p w14:paraId="65B2FDE1" w14:textId="77777777" w:rsidR="00230008" w:rsidRPr="00230008" w:rsidRDefault="00230008" w:rsidP="00230008">
            <w:pPr>
              <w:keepNext/>
              <w:keepLines/>
              <w:ind w:firstLine="480"/>
              <w:rPr>
                <w:rFonts w:eastAsia="楷体_GB2312"/>
                <w:lang w:eastAsia="zh-CN"/>
              </w:rPr>
            </w:pPr>
          </w:p>
        </w:tc>
        <w:tc>
          <w:tcPr>
            <w:tcW w:w="7366" w:type="dxa"/>
            <w:gridSpan w:val="3"/>
          </w:tcPr>
          <w:p w14:paraId="1EC29B53" w14:textId="77777777" w:rsidR="00230008" w:rsidRPr="00230008" w:rsidRDefault="00230008" w:rsidP="00230008">
            <w:pPr>
              <w:ind w:firstLine="480"/>
              <w:rPr>
                <w:rFonts w:eastAsia="宋体"/>
                <w:b/>
                <w:sz w:val="28"/>
                <w:szCs w:val="28"/>
                <w:lang w:eastAsia="zh-CN" w:bidi="ar-SA"/>
              </w:rPr>
            </w:pPr>
            <w:r w:rsidRPr="00D66A7B">
              <w:rPr>
                <w:rFonts w:asciiTheme="minorEastAsia" w:hAnsiTheme="minorEastAsia" w:hint="eastAsia"/>
                <w:color w:val="000000"/>
                <w:lang w:eastAsia="zh-CN"/>
              </w:rPr>
              <w:t>据国家外汇管理局统计，2025年1-2月，以人民币计，货物和服务贸易贡献的经常账户盈余为8170亿元。考虑到2022-2024年初次和二次收入赤字约为贸易盈余的25%，同时1季度名义GDP同比增速为4.6%（实际GDP增速为5.4%、GDP平减指数增速为-0.8%），预估1季度经常账户占比或在2.8%左右。与此相比，2024年4季度，中国经常账户盈余占</w:t>
            </w:r>
            <w:r w:rsidRPr="00D66A7B">
              <w:rPr>
                <w:rFonts w:asciiTheme="minorEastAsia" w:hAnsiTheme="minorEastAsia"/>
                <w:color w:val="000000"/>
                <w:lang w:eastAsia="zh-CN"/>
              </w:rPr>
              <w:t>GDP</w:t>
            </w:r>
            <w:r w:rsidRPr="00D66A7B">
              <w:rPr>
                <w:rFonts w:asciiTheme="minorEastAsia" w:hAnsiTheme="minorEastAsia" w:hint="eastAsia"/>
                <w:color w:val="000000"/>
                <w:lang w:eastAsia="zh-CN"/>
              </w:rPr>
              <w:t>的3.1</w:t>
            </w:r>
            <w:r w:rsidRPr="00D66A7B">
              <w:rPr>
                <w:rFonts w:asciiTheme="minorEastAsia" w:hAnsiTheme="minorEastAsia"/>
                <w:color w:val="000000"/>
                <w:lang w:eastAsia="zh-CN"/>
              </w:rPr>
              <w:t>%</w:t>
            </w:r>
            <w:r w:rsidRPr="00D66A7B">
              <w:rPr>
                <w:rFonts w:asciiTheme="minorEastAsia" w:hAnsiTheme="minorEastAsia" w:hint="eastAsia"/>
                <w:color w:val="000000"/>
                <w:lang w:eastAsia="zh-CN"/>
              </w:rPr>
              <w:t>，货物和服务净出口对GDP增长的贡献为2.5个百分点（按人民币不变价计），较去年同期提高2.7个百分点</w:t>
            </w:r>
            <w:r w:rsidRPr="00230008">
              <w:rPr>
                <w:rFonts w:eastAsia="楷体" w:hint="eastAsia"/>
                <w:color w:val="000000"/>
                <w:lang w:eastAsia="zh-CN"/>
              </w:rPr>
              <w:t>。</w:t>
            </w:r>
          </w:p>
        </w:tc>
      </w:tr>
      <w:tr w:rsidR="00230008" w:rsidRPr="00230008" w14:paraId="497B91C7" w14:textId="77777777" w:rsidTr="00230008">
        <w:trPr>
          <w:trHeight w:val="150"/>
          <w:jc w:val="center"/>
        </w:trPr>
        <w:tc>
          <w:tcPr>
            <w:tcW w:w="9893" w:type="dxa"/>
            <w:gridSpan w:val="6"/>
          </w:tcPr>
          <w:p w14:paraId="27A4D14C" w14:textId="77777777" w:rsidR="00230008" w:rsidRPr="00230008" w:rsidRDefault="00230008" w:rsidP="00230008">
            <w:pPr>
              <w:ind w:firstLineChars="0" w:firstLine="0"/>
              <w:rPr>
                <w:rFonts w:eastAsia="楷体"/>
                <w:b/>
                <w:sz w:val="28"/>
                <w:szCs w:val="28"/>
                <w:lang w:eastAsia="zh-CN" w:bidi="ar-SA"/>
              </w:rPr>
            </w:pPr>
            <w:r w:rsidRPr="00230008">
              <w:rPr>
                <w:rFonts w:eastAsia="楷体" w:hint="eastAsia"/>
                <w:b/>
                <w:sz w:val="28"/>
                <w:szCs w:val="28"/>
                <w:lang w:eastAsia="zh-CN" w:bidi="ar-SA"/>
              </w:rPr>
              <w:t>五、专栏：美国的关税政策及其影响</w:t>
            </w:r>
          </w:p>
          <w:p w14:paraId="78FE2919" w14:textId="77777777" w:rsidR="00230008" w:rsidRPr="00230008" w:rsidRDefault="00230008" w:rsidP="00230008">
            <w:pPr>
              <w:ind w:firstLine="480"/>
              <w:rPr>
                <w:rFonts w:eastAsia="楷体"/>
                <w:color w:val="000000"/>
                <w:lang w:eastAsia="zh-CN"/>
              </w:rPr>
            </w:pPr>
            <w:r w:rsidRPr="00D66A7B">
              <w:rPr>
                <w:rFonts w:hint="eastAsia"/>
                <w:lang w:eastAsia="zh-CN"/>
              </w:rPr>
              <w:t>2025</w:t>
            </w:r>
            <w:r w:rsidRPr="00D66A7B">
              <w:rPr>
                <w:rFonts w:hint="eastAsia"/>
                <w:lang w:eastAsia="zh-CN"/>
              </w:rPr>
              <w:t>年美国的关税政策及目标经济体反应。由图表</w:t>
            </w:r>
            <w:r w:rsidRPr="00D66A7B">
              <w:rPr>
                <w:rFonts w:hint="eastAsia"/>
                <w:lang w:eastAsia="zh-CN"/>
              </w:rPr>
              <w:t>7</w:t>
            </w:r>
            <w:r w:rsidRPr="00D66A7B">
              <w:rPr>
                <w:rFonts w:hint="eastAsia"/>
                <w:lang w:eastAsia="zh-CN"/>
              </w:rPr>
              <w:t>，自入主白宫以来，特朗普政府采取了激进且波动的关税政策。一是从关税政策的目标看，美国对除加拿大和墨西哥外的</w:t>
            </w:r>
            <w:r w:rsidRPr="00D66A7B">
              <w:rPr>
                <w:rFonts w:hint="eastAsia"/>
                <w:lang w:eastAsia="zh-CN"/>
              </w:rPr>
              <w:lastRenderedPageBreak/>
              <w:t>几乎所有国家（地区）的进口商品均征收了</w:t>
            </w:r>
            <w:r w:rsidRPr="00D66A7B">
              <w:rPr>
                <w:rFonts w:hint="eastAsia"/>
                <w:lang w:eastAsia="zh-CN"/>
              </w:rPr>
              <w:t>10%</w:t>
            </w:r>
            <w:r w:rsidRPr="00D66A7B">
              <w:rPr>
                <w:rFonts w:hint="eastAsia"/>
                <w:lang w:eastAsia="zh-CN"/>
              </w:rPr>
              <w:t>的基础关税，且对被认为存在重大贸易逆差的国家实施更高的“对等”关税。其中，中国是面临加征关税频次最多、税率最高的国家。加拿大和墨西哥虽然也是早期关税的目标国，但在双方斗争与协调下目前并未面临太多加征关税，也显示美国仍然重视传统盟友与美洲产业链腹地。尽管</w:t>
            </w:r>
            <w:r w:rsidRPr="00D66A7B">
              <w:rPr>
                <w:rFonts w:hint="eastAsia"/>
                <w:lang w:eastAsia="zh-CN"/>
              </w:rPr>
              <w:t>4</w:t>
            </w:r>
            <w:r w:rsidRPr="00D66A7B">
              <w:rPr>
                <w:rFonts w:hint="eastAsia"/>
                <w:lang w:eastAsia="zh-CN"/>
              </w:rPr>
              <w:t>月</w:t>
            </w:r>
            <w:r w:rsidRPr="00D66A7B">
              <w:rPr>
                <w:rFonts w:hint="eastAsia"/>
                <w:lang w:eastAsia="zh-CN"/>
              </w:rPr>
              <w:t>10</w:t>
            </w:r>
            <w:r w:rsidRPr="00D66A7B">
              <w:rPr>
                <w:rFonts w:hint="eastAsia"/>
                <w:lang w:eastAsia="zh-CN"/>
              </w:rPr>
              <w:t>日，特朗普政府宣布对不采取报复行动的国家实施</w:t>
            </w:r>
            <w:r w:rsidRPr="00D66A7B">
              <w:rPr>
                <w:rFonts w:hint="eastAsia"/>
                <w:lang w:eastAsia="zh-CN"/>
              </w:rPr>
              <w:t>90</w:t>
            </w:r>
            <w:r w:rsidRPr="00D66A7B">
              <w:rPr>
                <w:rFonts w:hint="eastAsia"/>
                <w:lang w:eastAsia="zh-CN"/>
              </w:rPr>
              <w:t>天的关税暂停，但其他国家能否与美国达成合意协议仍然存疑，席卷全球市场的关税风波并未消散。二是从重点商品看，钢铝、汽车均有单独的关税安排，而半导体生产相关产品以及智能手机、计算机、平板、显示器等消费电子则纳入豁免范围。这反映出特朗普政府对钢铝和汽车产业的重视，半导体及消费电子产品则由于全球产业链融入程度较深，短期推行关税政策面临更大阻力。但半导体产业是特朗普政府关注的重点行业，全球分工不符合特朗普政府提出的国家安全诉求，预期后续仍将会出台相关收紧措施。三是从目标经济体对美国关税政策的反应看，中国是对美国关税政策反制力度最大的国家，双方关税战目前进入僵持阶段。但</w:t>
            </w:r>
            <w:r w:rsidRPr="00D66A7B">
              <w:rPr>
                <w:rFonts w:hint="eastAsia"/>
                <w:lang w:eastAsia="zh-CN"/>
              </w:rPr>
              <w:t>4</w:t>
            </w:r>
            <w:r w:rsidRPr="00D66A7B">
              <w:rPr>
                <w:rFonts w:hint="eastAsia"/>
                <w:lang w:eastAsia="zh-CN"/>
              </w:rPr>
              <w:t>月</w:t>
            </w:r>
            <w:r w:rsidRPr="00D66A7B">
              <w:rPr>
                <w:rFonts w:hint="eastAsia"/>
                <w:lang w:eastAsia="zh-CN"/>
              </w:rPr>
              <w:t>22</w:t>
            </w:r>
            <w:r w:rsidRPr="00D66A7B">
              <w:rPr>
                <w:rFonts w:hint="eastAsia"/>
                <w:lang w:eastAsia="zh-CN"/>
              </w:rPr>
              <w:t>日美国总统特朗普和财政部长贝森特释放“降温”信号，双边关税政策或仍有谈判斡旋空间。加拿大和欧盟对美国采取了不同程度的关税反制，但相对较弱且视美国政策变化灵活调整。大多数国家（经济体）对美国关税政策并未采取实质性反制措施。澳大利亚、新西兰等明确表示不寻求对美国产品征收对等关税，越南、印度等降低对美国进口商品的关税以期避免美国的高额关税，韩国、英国、澳大利亚等计划出台国内政策以应对美国关税政策的负面影响。</w:t>
            </w:r>
          </w:p>
        </w:tc>
      </w:tr>
      <w:tr w:rsidR="00230008" w:rsidRPr="00230008" w14:paraId="0B860634" w14:textId="77777777" w:rsidTr="00230008">
        <w:trPr>
          <w:trHeight w:val="150"/>
          <w:jc w:val="center"/>
        </w:trPr>
        <w:tc>
          <w:tcPr>
            <w:tcW w:w="9893" w:type="dxa"/>
            <w:gridSpan w:val="6"/>
          </w:tcPr>
          <w:p w14:paraId="24945623" w14:textId="3E5D9E5D" w:rsidR="00230008" w:rsidRPr="00230008" w:rsidRDefault="00D37774" w:rsidP="00D37774">
            <w:pPr>
              <w:pStyle w:val="a4"/>
            </w:pPr>
            <w:bookmarkStart w:id="131" w:name="_Toc196399466"/>
            <w:r>
              <w:rPr>
                <w:rFonts w:hint="eastAsia"/>
              </w:rPr>
              <w:lastRenderedPageBreak/>
              <w:t xml:space="preserve">图表 </w:t>
            </w:r>
            <w:r>
              <w:rPr>
                <w:rFonts w:hint="eastAsia"/>
              </w:rPr>
              <w:fldChar w:fldCharType="begin"/>
            </w:r>
            <w:r>
              <w:rPr>
                <w:rFonts w:hint="eastAsia"/>
              </w:rPr>
              <w:instrText xml:space="preserve"> SEQ 图表 \* ARABIC </w:instrText>
            </w:r>
            <w:r>
              <w:rPr>
                <w:rFonts w:hint="eastAsia"/>
              </w:rPr>
              <w:fldChar w:fldCharType="separate"/>
            </w:r>
            <w:r w:rsidR="00530ED7">
              <w:rPr>
                <w:rFonts w:hint="eastAsia"/>
                <w:noProof/>
              </w:rPr>
              <w:t>55</w:t>
            </w:r>
            <w:r>
              <w:rPr>
                <w:rFonts w:hint="eastAsia"/>
              </w:rPr>
              <w:fldChar w:fldCharType="end"/>
            </w:r>
            <w:r w:rsidRPr="00D37774">
              <w:t xml:space="preserve">  </w:t>
            </w:r>
            <w:r w:rsidR="00230008" w:rsidRPr="00230008">
              <w:rPr>
                <w:rFonts w:hint="eastAsia"/>
              </w:rPr>
              <w:t>2025年美国关税政策及目标经济体反应</w:t>
            </w:r>
            <w:bookmarkEnd w:id="131"/>
          </w:p>
          <w:tbl>
            <w:tblPr>
              <w:tblW w:w="9533" w:type="dxa"/>
              <w:jc w:val="center"/>
              <w:tblLayout w:type="fixed"/>
              <w:tblLook w:val="04A0" w:firstRow="1" w:lastRow="0" w:firstColumn="1" w:lastColumn="0" w:noHBand="0" w:noVBand="1"/>
            </w:tblPr>
            <w:tblGrid>
              <w:gridCol w:w="813"/>
              <w:gridCol w:w="2954"/>
              <w:gridCol w:w="2288"/>
              <w:gridCol w:w="3478"/>
            </w:tblGrid>
            <w:tr w:rsidR="00230008" w:rsidRPr="00230008" w14:paraId="722A3641" w14:textId="77777777" w:rsidTr="00230008">
              <w:trPr>
                <w:trHeight w:val="90"/>
                <w:jc w:val="center"/>
              </w:trPr>
              <w:tc>
                <w:tcPr>
                  <w:tcW w:w="813" w:type="dxa"/>
                  <w:tcBorders>
                    <w:top w:val="single" w:sz="4" w:space="0" w:color="auto"/>
                    <w:left w:val="nil"/>
                    <w:bottom w:val="single" w:sz="4" w:space="0" w:color="auto"/>
                    <w:right w:val="single" w:sz="4" w:space="0" w:color="auto"/>
                  </w:tcBorders>
                  <w:shd w:val="clear" w:color="000000" w:fill="EDEDED"/>
                  <w:vAlign w:val="center"/>
                </w:tcPr>
                <w:p w14:paraId="69B94432" w14:textId="77777777" w:rsidR="00230008" w:rsidRPr="00230008" w:rsidRDefault="00230008" w:rsidP="00230008">
                  <w:pPr>
                    <w:spacing w:line="240" w:lineRule="auto"/>
                    <w:ind w:firstLineChars="0" w:firstLine="0"/>
                    <w:textAlignment w:val="center"/>
                    <w:rPr>
                      <w:rFonts w:eastAsia="宋体"/>
                      <w:b/>
                      <w:bCs/>
                      <w:color w:val="000000"/>
                      <w:kern w:val="0"/>
                      <w:sz w:val="16"/>
                      <w:szCs w:val="16"/>
                      <w:lang w:eastAsia="zh-CN" w:bidi="ar"/>
                    </w:rPr>
                  </w:pPr>
                  <w:r w:rsidRPr="00230008">
                    <w:rPr>
                      <w:rFonts w:eastAsia="宋体"/>
                      <w:b/>
                      <w:bCs/>
                      <w:color w:val="000000"/>
                      <w:kern w:val="0"/>
                      <w:sz w:val="16"/>
                      <w:szCs w:val="16"/>
                      <w:lang w:eastAsia="zh-CN" w:bidi="ar"/>
                    </w:rPr>
                    <w:t>国家</w:t>
                  </w:r>
                  <w:r w:rsidRPr="00230008">
                    <w:rPr>
                      <w:rFonts w:eastAsia="宋体"/>
                      <w:b/>
                      <w:bCs/>
                      <w:color w:val="000000"/>
                      <w:kern w:val="0"/>
                      <w:sz w:val="16"/>
                      <w:szCs w:val="16"/>
                      <w:lang w:eastAsia="zh-CN" w:bidi="ar"/>
                    </w:rPr>
                    <w:t>/</w:t>
                  </w:r>
                </w:p>
                <w:p w14:paraId="037A16F2" w14:textId="77777777" w:rsidR="00230008" w:rsidRPr="00230008" w:rsidRDefault="00230008" w:rsidP="00230008">
                  <w:pPr>
                    <w:spacing w:line="240" w:lineRule="auto"/>
                    <w:ind w:firstLineChars="0" w:firstLine="0"/>
                    <w:textAlignment w:val="center"/>
                    <w:rPr>
                      <w:rFonts w:eastAsia="宋体"/>
                      <w:b/>
                      <w:bCs/>
                      <w:color w:val="000000"/>
                      <w:sz w:val="16"/>
                      <w:szCs w:val="16"/>
                      <w:lang w:eastAsia="zh-CN" w:bidi="ar-SA"/>
                    </w:rPr>
                  </w:pPr>
                  <w:r w:rsidRPr="00230008">
                    <w:rPr>
                      <w:rFonts w:eastAsia="宋体"/>
                      <w:b/>
                      <w:bCs/>
                      <w:color w:val="000000"/>
                      <w:kern w:val="0"/>
                      <w:sz w:val="16"/>
                      <w:szCs w:val="16"/>
                      <w:lang w:eastAsia="zh-CN" w:bidi="ar"/>
                    </w:rPr>
                    <w:t>地区</w:t>
                  </w:r>
                </w:p>
              </w:tc>
              <w:tc>
                <w:tcPr>
                  <w:tcW w:w="2954" w:type="dxa"/>
                  <w:tcBorders>
                    <w:top w:val="single" w:sz="4" w:space="0" w:color="auto"/>
                    <w:left w:val="nil"/>
                    <w:bottom w:val="single" w:sz="4" w:space="0" w:color="auto"/>
                    <w:right w:val="single" w:sz="4" w:space="0" w:color="auto"/>
                  </w:tcBorders>
                  <w:shd w:val="clear" w:color="000000" w:fill="EDEDED"/>
                  <w:vAlign w:val="center"/>
                </w:tcPr>
                <w:p w14:paraId="7DCF0126" w14:textId="77777777" w:rsidR="00230008" w:rsidRPr="00230008" w:rsidRDefault="00230008" w:rsidP="00230008">
                  <w:pPr>
                    <w:spacing w:line="240" w:lineRule="auto"/>
                    <w:ind w:firstLineChars="0" w:firstLine="0"/>
                    <w:jc w:val="center"/>
                    <w:textAlignment w:val="center"/>
                    <w:rPr>
                      <w:rFonts w:eastAsia="宋体"/>
                      <w:b/>
                      <w:bCs/>
                      <w:color w:val="000000"/>
                      <w:sz w:val="16"/>
                      <w:szCs w:val="16"/>
                      <w:lang w:eastAsia="zh-CN" w:bidi="ar-SA"/>
                    </w:rPr>
                  </w:pPr>
                  <w:r w:rsidRPr="00230008">
                    <w:rPr>
                      <w:rFonts w:eastAsia="宋体"/>
                      <w:b/>
                      <w:bCs/>
                      <w:color w:val="000000"/>
                      <w:kern w:val="0"/>
                      <w:sz w:val="16"/>
                      <w:szCs w:val="16"/>
                      <w:lang w:eastAsia="zh-CN" w:bidi="ar"/>
                    </w:rPr>
                    <w:t>美国针对目标</w:t>
                  </w:r>
                  <w:r w:rsidRPr="00230008">
                    <w:rPr>
                      <w:rFonts w:eastAsia="宋体" w:hint="eastAsia"/>
                      <w:b/>
                      <w:bCs/>
                      <w:color w:val="000000"/>
                      <w:kern w:val="0"/>
                      <w:sz w:val="16"/>
                      <w:szCs w:val="16"/>
                      <w:lang w:eastAsia="zh-CN" w:bidi="ar"/>
                    </w:rPr>
                    <w:t>国家（地区）</w:t>
                  </w:r>
                  <w:r w:rsidRPr="00230008">
                    <w:rPr>
                      <w:rFonts w:eastAsia="宋体"/>
                      <w:b/>
                      <w:bCs/>
                      <w:color w:val="000000"/>
                      <w:kern w:val="0"/>
                      <w:sz w:val="16"/>
                      <w:szCs w:val="16"/>
                      <w:lang w:eastAsia="zh-CN" w:bidi="ar"/>
                    </w:rPr>
                    <w:t>加征关税</w:t>
                  </w:r>
                </w:p>
              </w:tc>
              <w:tc>
                <w:tcPr>
                  <w:tcW w:w="2288" w:type="dxa"/>
                  <w:tcBorders>
                    <w:top w:val="single" w:sz="4" w:space="0" w:color="auto"/>
                    <w:left w:val="nil"/>
                    <w:bottom w:val="single" w:sz="4" w:space="0" w:color="auto"/>
                    <w:right w:val="single" w:sz="4" w:space="0" w:color="auto"/>
                  </w:tcBorders>
                  <w:shd w:val="clear" w:color="000000" w:fill="EDEDED"/>
                  <w:vAlign w:val="center"/>
                </w:tcPr>
                <w:p w14:paraId="096C1AB3" w14:textId="77777777" w:rsidR="00230008" w:rsidRPr="00230008" w:rsidRDefault="00230008" w:rsidP="00230008">
                  <w:pPr>
                    <w:spacing w:line="240" w:lineRule="auto"/>
                    <w:ind w:firstLineChars="0" w:firstLine="0"/>
                    <w:jc w:val="center"/>
                    <w:textAlignment w:val="center"/>
                    <w:rPr>
                      <w:rFonts w:eastAsia="宋体"/>
                      <w:b/>
                      <w:bCs/>
                      <w:color w:val="000000"/>
                      <w:sz w:val="16"/>
                      <w:szCs w:val="16"/>
                      <w:lang w:eastAsia="zh-CN" w:bidi="ar-SA"/>
                    </w:rPr>
                  </w:pPr>
                  <w:r w:rsidRPr="00230008">
                    <w:rPr>
                      <w:rFonts w:eastAsia="宋体"/>
                      <w:b/>
                      <w:bCs/>
                      <w:color w:val="000000"/>
                      <w:kern w:val="0"/>
                      <w:sz w:val="16"/>
                      <w:szCs w:val="16"/>
                      <w:lang w:eastAsia="zh-CN" w:bidi="ar"/>
                    </w:rPr>
                    <w:t>备注</w:t>
                  </w:r>
                </w:p>
              </w:tc>
              <w:tc>
                <w:tcPr>
                  <w:tcW w:w="3478" w:type="dxa"/>
                  <w:tcBorders>
                    <w:top w:val="single" w:sz="4" w:space="0" w:color="auto"/>
                    <w:left w:val="nil"/>
                    <w:bottom w:val="single" w:sz="4" w:space="0" w:color="auto"/>
                    <w:right w:val="nil"/>
                  </w:tcBorders>
                  <w:shd w:val="clear" w:color="000000" w:fill="EDEDED"/>
                  <w:vAlign w:val="center"/>
                </w:tcPr>
                <w:p w14:paraId="1348FD4D" w14:textId="77777777" w:rsidR="00230008" w:rsidRPr="00230008" w:rsidRDefault="00230008" w:rsidP="00230008">
                  <w:pPr>
                    <w:spacing w:line="240" w:lineRule="auto"/>
                    <w:ind w:firstLineChars="0" w:firstLine="0"/>
                    <w:jc w:val="center"/>
                    <w:textAlignment w:val="center"/>
                    <w:rPr>
                      <w:rFonts w:eastAsia="宋体"/>
                      <w:b/>
                      <w:bCs/>
                      <w:color w:val="000000"/>
                      <w:sz w:val="16"/>
                      <w:szCs w:val="16"/>
                      <w:lang w:eastAsia="zh-CN" w:bidi="ar-SA"/>
                    </w:rPr>
                  </w:pPr>
                  <w:r w:rsidRPr="00230008">
                    <w:rPr>
                      <w:rFonts w:eastAsia="宋体"/>
                      <w:b/>
                      <w:bCs/>
                      <w:color w:val="000000"/>
                      <w:kern w:val="0"/>
                      <w:sz w:val="16"/>
                      <w:szCs w:val="16"/>
                      <w:lang w:eastAsia="zh-CN" w:bidi="ar"/>
                    </w:rPr>
                    <w:t>目标</w:t>
                  </w:r>
                  <w:r w:rsidRPr="00230008">
                    <w:rPr>
                      <w:rFonts w:eastAsia="宋体" w:hint="eastAsia"/>
                      <w:b/>
                      <w:bCs/>
                      <w:color w:val="000000"/>
                      <w:kern w:val="0"/>
                      <w:sz w:val="16"/>
                      <w:szCs w:val="16"/>
                      <w:lang w:eastAsia="zh-CN" w:bidi="ar"/>
                    </w:rPr>
                    <w:t>经济体</w:t>
                  </w:r>
                  <w:r w:rsidRPr="00230008">
                    <w:rPr>
                      <w:rFonts w:eastAsia="宋体"/>
                      <w:b/>
                      <w:bCs/>
                      <w:color w:val="000000"/>
                      <w:kern w:val="0"/>
                      <w:sz w:val="16"/>
                      <w:szCs w:val="16"/>
                      <w:lang w:eastAsia="zh-CN" w:bidi="ar"/>
                    </w:rPr>
                    <w:t>的反应</w:t>
                  </w:r>
                </w:p>
              </w:tc>
            </w:tr>
            <w:tr w:rsidR="00230008" w:rsidRPr="00230008" w14:paraId="075D76EF" w14:textId="77777777" w:rsidTr="00230008">
              <w:trPr>
                <w:trHeight w:val="2268"/>
                <w:jc w:val="center"/>
              </w:trPr>
              <w:tc>
                <w:tcPr>
                  <w:tcW w:w="813" w:type="dxa"/>
                  <w:tcBorders>
                    <w:top w:val="nil"/>
                    <w:left w:val="nil"/>
                    <w:bottom w:val="single" w:sz="4" w:space="0" w:color="auto"/>
                    <w:right w:val="single" w:sz="4" w:space="0" w:color="auto"/>
                  </w:tcBorders>
                  <w:shd w:val="clear" w:color="000000" w:fill="FFFFFF"/>
                  <w:vAlign w:val="center"/>
                </w:tcPr>
                <w:p w14:paraId="58706029" w14:textId="77777777" w:rsidR="00230008" w:rsidRPr="00230008" w:rsidRDefault="00230008" w:rsidP="00230008">
                  <w:pPr>
                    <w:spacing w:line="240" w:lineRule="auto"/>
                    <w:ind w:firstLineChars="0" w:firstLine="0"/>
                    <w:textAlignment w:val="center"/>
                    <w:rPr>
                      <w:rFonts w:eastAsia="宋体"/>
                      <w:color w:val="000000"/>
                      <w:sz w:val="16"/>
                      <w:szCs w:val="16"/>
                      <w:lang w:eastAsia="zh-CN" w:bidi="ar-SA"/>
                    </w:rPr>
                  </w:pPr>
                  <w:r w:rsidRPr="00230008">
                    <w:rPr>
                      <w:rFonts w:eastAsia="宋体"/>
                      <w:b/>
                      <w:bCs/>
                      <w:color w:val="000000"/>
                      <w:sz w:val="16"/>
                      <w:szCs w:val="16"/>
                      <w:lang w:eastAsia="zh-CN" w:bidi="ar"/>
                    </w:rPr>
                    <w:t>中国</w:t>
                  </w:r>
                  <w:r w:rsidRPr="00230008">
                    <w:rPr>
                      <w:rFonts w:eastAsia="宋体"/>
                      <w:b/>
                      <w:bCs/>
                      <w:color w:val="000000"/>
                      <w:sz w:val="16"/>
                      <w:szCs w:val="16"/>
                      <w:lang w:eastAsia="zh-CN" w:bidi="ar"/>
                    </w:rPr>
                    <w:t>​</w:t>
                  </w:r>
                  <w:r w:rsidRPr="00230008">
                    <w:rPr>
                      <w:rFonts w:eastAsia="宋体"/>
                      <w:color w:val="000000"/>
                      <w:sz w:val="16"/>
                      <w:szCs w:val="16"/>
                      <w:lang w:eastAsia="zh-CN" w:bidi="ar"/>
                    </w:rPr>
                    <w:t>​</w:t>
                  </w:r>
                </w:p>
              </w:tc>
              <w:tc>
                <w:tcPr>
                  <w:tcW w:w="2954" w:type="dxa"/>
                  <w:tcBorders>
                    <w:top w:val="nil"/>
                    <w:left w:val="nil"/>
                    <w:bottom w:val="single" w:sz="4" w:space="0" w:color="auto"/>
                    <w:right w:val="single" w:sz="4" w:space="0" w:color="auto"/>
                  </w:tcBorders>
                  <w:shd w:val="clear" w:color="000000" w:fill="FFFFFF"/>
                  <w:vAlign w:val="center"/>
                </w:tcPr>
                <w:p w14:paraId="6A25EB2B" w14:textId="77777777" w:rsidR="00230008" w:rsidRPr="00230008" w:rsidRDefault="00230008" w:rsidP="00230008">
                  <w:pPr>
                    <w:ind w:firstLineChars="0" w:firstLine="0"/>
                    <w:textAlignment w:val="center"/>
                    <w:rPr>
                      <w:rFonts w:eastAsia="宋体"/>
                      <w:color w:val="000000"/>
                      <w:sz w:val="16"/>
                      <w:szCs w:val="16"/>
                      <w:lang w:eastAsia="zh-CN" w:bidi="ar-SA"/>
                    </w:rPr>
                  </w:pPr>
                  <w:r w:rsidRPr="00230008">
                    <w:rPr>
                      <w:rFonts w:eastAsia="宋体" w:hint="eastAsia"/>
                      <w:color w:val="000000"/>
                      <w:kern w:val="0"/>
                      <w:sz w:val="16"/>
                      <w:szCs w:val="16"/>
                      <w:lang w:eastAsia="zh-CN" w:bidi="ar"/>
                    </w:rPr>
                    <w:t>（</w:t>
                  </w:r>
                  <w:r w:rsidRPr="00230008">
                    <w:rPr>
                      <w:rFonts w:eastAsia="宋体" w:hint="eastAsia"/>
                      <w:color w:val="000000"/>
                      <w:kern w:val="0"/>
                      <w:sz w:val="16"/>
                      <w:szCs w:val="16"/>
                      <w:lang w:eastAsia="zh-CN" w:bidi="ar"/>
                    </w:rPr>
                    <w:t>1</w:t>
                  </w:r>
                  <w:r w:rsidRPr="00230008">
                    <w:rPr>
                      <w:rFonts w:eastAsia="宋体" w:hint="eastAsia"/>
                      <w:color w:val="000000"/>
                      <w:kern w:val="0"/>
                      <w:sz w:val="16"/>
                      <w:szCs w:val="16"/>
                      <w:lang w:eastAsia="zh-CN" w:bidi="ar"/>
                    </w:rPr>
                    <w:t>）</w:t>
                  </w:r>
                  <w:r w:rsidRPr="00230008">
                    <w:rPr>
                      <w:rFonts w:eastAsia="宋体"/>
                      <w:color w:val="000000"/>
                      <w:sz w:val="16"/>
                      <w:szCs w:val="16"/>
                      <w:lang w:eastAsia="zh-CN" w:bidi="ar"/>
                    </w:rPr>
                    <w:t>2</w:t>
                  </w:r>
                  <w:r w:rsidRPr="00230008">
                    <w:rPr>
                      <w:rFonts w:eastAsia="宋体"/>
                      <w:color w:val="000000"/>
                      <w:sz w:val="16"/>
                      <w:szCs w:val="16"/>
                      <w:lang w:eastAsia="zh-CN" w:bidi="ar"/>
                    </w:rPr>
                    <w:t>月</w:t>
                  </w:r>
                  <w:r w:rsidRPr="00230008">
                    <w:rPr>
                      <w:rFonts w:eastAsia="宋体"/>
                      <w:color w:val="000000"/>
                      <w:sz w:val="16"/>
                      <w:szCs w:val="16"/>
                      <w:lang w:eastAsia="zh-CN" w:bidi="ar"/>
                    </w:rPr>
                    <w:t>1</w:t>
                  </w:r>
                  <w:r w:rsidRPr="00230008">
                    <w:rPr>
                      <w:rFonts w:eastAsia="宋体"/>
                      <w:color w:val="000000"/>
                      <w:sz w:val="16"/>
                      <w:szCs w:val="16"/>
                      <w:lang w:eastAsia="zh-CN" w:bidi="ar"/>
                    </w:rPr>
                    <w:t>日、</w:t>
                  </w:r>
                  <w:r w:rsidRPr="00230008">
                    <w:rPr>
                      <w:rFonts w:eastAsia="宋体"/>
                      <w:color w:val="000000"/>
                      <w:sz w:val="16"/>
                      <w:szCs w:val="16"/>
                      <w:lang w:eastAsia="zh-CN" w:bidi="ar"/>
                    </w:rPr>
                    <w:t>2</w:t>
                  </w:r>
                  <w:r w:rsidRPr="00230008">
                    <w:rPr>
                      <w:rFonts w:eastAsia="宋体"/>
                      <w:color w:val="000000"/>
                      <w:sz w:val="16"/>
                      <w:szCs w:val="16"/>
                      <w:lang w:eastAsia="zh-CN" w:bidi="ar"/>
                    </w:rPr>
                    <w:t>月</w:t>
                  </w:r>
                  <w:r w:rsidRPr="00230008">
                    <w:rPr>
                      <w:rFonts w:eastAsia="宋体"/>
                      <w:color w:val="000000"/>
                      <w:sz w:val="16"/>
                      <w:szCs w:val="16"/>
                      <w:lang w:eastAsia="zh-CN" w:bidi="ar"/>
                    </w:rPr>
                    <w:t>27</w:t>
                  </w:r>
                  <w:r w:rsidRPr="00230008">
                    <w:rPr>
                      <w:rFonts w:eastAsia="宋体"/>
                      <w:color w:val="000000"/>
                      <w:sz w:val="16"/>
                      <w:szCs w:val="16"/>
                      <w:lang w:eastAsia="zh-CN" w:bidi="ar"/>
                    </w:rPr>
                    <w:t>日分两次宣布对中国各加征</w:t>
                  </w:r>
                  <w:r w:rsidRPr="00230008">
                    <w:rPr>
                      <w:rFonts w:eastAsia="宋体"/>
                      <w:color w:val="000000"/>
                      <w:sz w:val="16"/>
                      <w:szCs w:val="16"/>
                      <w:lang w:eastAsia="zh-CN" w:bidi="ar"/>
                    </w:rPr>
                    <w:t>10%</w:t>
                  </w:r>
                  <w:r w:rsidRPr="00230008">
                    <w:rPr>
                      <w:rFonts w:eastAsia="宋体"/>
                      <w:color w:val="000000"/>
                      <w:sz w:val="16"/>
                      <w:szCs w:val="16"/>
                      <w:lang w:eastAsia="zh-CN" w:bidi="ar"/>
                    </w:rPr>
                    <w:t>的关税，并于</w:t>
                  </w:r>
                  <w:r w:rsidRPr="00230008">
                    <w:rPr>
                      <w:rFonts w:eastAsia="宋体"/>
                      <w:color w:val="000000"/>
                      <w:sz w:val="16"/>
                      <w:szCs w:val="16"/>
                      <w:lang w:eastAsia="zh-CN" w:bidi="ar"/>
                    </w:rPr>
                    <w:t>2</w:t>
                  </w:r>
                  <w:r w:rsidRPr="00230008">
                    <w:rPr>
                      <w:rFonts w:eastAsia="宋体"/>
                      <w:color w:val="000000"/>
                      <w:sz w:val="16"/>
                      <w:szCs w:val="16"/>
                      <w:lang w:eastAsia="zh-CN" w:bidi="ar"/>
                    </w:rPr>
                    <w:t>月</w:t>
                  </w:r>
                  <w:r w:rsidRPr="00230008">
                    <w:rPr>
                      <w:rFonts w:eastAsia="宋体"/>
                      <w:color w:val="000000"/>
                      <w:sz w:val="16"/>
                      <w:szCs w:val="16"/>
                      <w:lang w:eastAsia="zh-CN" w:bidi="ar"/>
                    </w:rPr>
                    <w:t>4</w:t>
                  </w:r>
                  <w:r w:rsidRPr="00230008">
                    <w:rPr>
                      <w:rFonts w:eastAsia="宋体"/>
                      <w:color w:val="000000"/>
                      <w:sz w:val="16"/>
                      <w:szCs w:val="16"/>
                      <w:lang w:eastAsia="zh-CN" w:bidi="ar"/>
                    </w:rPr>
                    <w:t>日、</w:t>
                  </w:r>
                  <w:r w:rsidRPr="00230008">
                    <w:rPr>
                      <w:rFonts w:eastAsia="宋体"/>
                      <w:color w:val="000000"/>
                      <w:sz w:val="16"/>
                      <w:szCs w:val="16"/>
                      <w:lang w:eastAsia="zh-CN" w:bidi="ar"/>
                    </w:rPr>
                    <w:t>3</w:t>
                  </w:r>
                  <w:r w:rsidRPr="00230008">
                    <w:rPr>
                      <w:rFonts w:eastAsia="宋体"/>
                      <w:color w:val="000000"/>
                      <w:sz w:val="16"/>
                      <w:szCs w:val="16"/>
                      <w:lang w:eastAsia="zh-CN" w:bidi="ar"/>
                    </w:rPr>
                    <w:t>月</w:t>
                  </w:r>
                  <w:r w:rsidRPr="00230008">
                    <w:rPr>
                      <w:rFonts w:eastAsia="宋体"/>
                      <w:color w:val="000000"/>
                      <w:sz w:val="16"/>
                      <w:szCs w:val="16"/>
                      <w:lang w:eastAsia="zh-CN" w:bidi="ar"/>
                    </w:rPr>
                    <w:t>4</w:t>
                  </w:r>
                  <w:r w:rsidRPr="00230008">
                    <w:rPr>
                      <w:rFonts w:eastAsia="宋体"/>
                      <w:color w:val="000000"/>
                      <w:sz w:val="16"/>
                      <w:szCs w:val="16"/>
                      <w:lang w:eastAsia="zh-CN" w:bidi="ar"/>
                    </w:rPr>
                    <w:t>日正式落地。（</w:t>
                  </w:r>
                  <w:r w:rsidRPr="00230008">
                    <w:rPr>
                      <w:rFonts w:eastAsia="宋体"/>
                      <w:color w:val="000000"/>
                      <w:sz w:val="16"/>
                      <w:szCs w:val="16"/>
                      <w:lang w:eastAsia="zh-CN" w:bidi="ar"/>
                    </w:rPr>
                    <w:t>2</w:t>
                  </w:r>
                  <w:r w:rsidRPr="00230008">
                    <w:rPr>
                      <w:rFonts w:eastAsia="宋体"/>
                      <w:color w:val="000000"/>
                      <w:sz w:val="16"/>
                      <w:szCs w:val="16"/>
                      <w:lang w:eastAsia="zh-CN" w:bidi="ar"/>
                    </w:rPr>
                    <w:t>）</w:t>
                  </w:r>
                  <w:r w:rsidRPr="00230008">
                    <w:rPr>
                      <w:rFonts w:eastAsia="宋体"/>
                      <w:color w:val="000000"/>
                      <w:sz w:val="16"/>
                      <w:szCs w:val="16"/>
                      <w:lang w:eastAsia="zh-CN" w:bidi="ar"/>
                    </w:rPr>
                    <w:t>4</w:t>
                  </w:r>
                  <w:r w:rsidRPr="00230008">
                    <w:rPr>
                      <w:rFonts w:eastAsia="宋体"/>
                      <w:color w:val="000000"/>
                      <w:sz w:val="16"/>
                      <w:szCs w:val="16"/>
                      <w:lang w:eastAsia="zh-CN" w:bidi="ar"/>
                    </w:rPr>
                    <w:t>月</w:t>
                  </w:r>
                  <w:r w:rsidRPr="00230008">
                    <w:rPr>
                      <w:rFonts w:eastAsia="宋体"/>
                      <w:color w:val="000000"/>
                      <w:sz w:val="16"/>
                      <w:szCs w:val="16"/>
                      <w:lang w:eastAsia="zh-CN" w:bidi="ar"/>
                    </w:rPr>
                    <w:t>2</w:t>
                  </w:r>
                  <w:r w:rsidRPr="00230008">
                    <w:rPr>
                      <w:rFonts w:eastAsia="宋体"/>
                      <w:color w:val="000000"/>
                      <w:sz w:val="16"/>
                      <w:szCs w:val="16"/>
                      <w:lang w:eastAsia="zh-CN" w:bidi="ar"/>
                    </w:rPr>
                    <w:t>日，美国发布行政令，宣布对主要贸易伙伴加征</w:t>
                  </w:r>
                  <w:r w:rsidRPr="00230008">
                    <w:rPr>
                      <w:rFonts w:eastAsia="宋体"/>
                      <w:color w:val="000000"/>
                      <w:sz w:val="16"/>
                      <w:szCs w:val="16"/>
                      <w:lang w:eastAsia="zh-CN" w:bidi="ar"/>
                    </w:rPr>
                    <w:t>“</w:t>
                  </w:r>
                  <w:r w:rsidRPr="00230008">
                    <w:rPr>
                      <w:rFonts w:eastAsia="宋体"/>
                      <w:color w:val="000000"/>
                      <w:sz w:val="16"/>
                      <w:szCs w:val="16"/>
                      <w:lang w:eastAsia="zh-CN" w:bidi="ar"/>
                    </w:rPr>
                    <w:t>对等关税</w:t>
                  </w:r>
                  <w:r w:rsidRPr="00230008">
                    <w:rPr>
                      <w:rFonts w:eastAsia="宋体"/>
                      <w:color w:val="000000"/>
                      <w:sz w:val="16"/>
                      <w:szCs w:val="16"/>
                      <w:lang w:eastAsia="zh-CN" w:bidi="ar"/>
                    </w:rPr>
                    <w:t>”</w:t>
                  </w:r>
                  <w:r w:rsidRPr="00230008">
                    <w:rPr>
                      <w:rFonts w:eastAsia="宋体"/>
                      <w:color w:val="000000"/>
                      <w:sz w:val="16"/>
                      <w:szCs w:val="16"/>
                      <w:lang w:eastAsia="zh-CN" w:bidi="ar"/>
                    </w:rPr>
                    <w:t>，对中国（包括香港、澳门）加征</w:t>
                  </w:r>
                  <w:r w:rsidRPr="00230008">
                    <w:rPr>
                      <w:rFonts w:eastAsia="宋体"/>
                      <w:color w:val="000000"/>
                      <w:sz w:val="16"/>
                      <w:szCs w:val="16"/>
                      <w:lang w:eastAsia="zh-CN" w:bidi="ar"/>
                    </w:rPr>
                    <w:t>34</w:t>
                  </w:r>
                  <w:r w:rsidRPr="00230008">
                    <w:rPr>
                      <w:rFonts w:eastAsia="宋体"/>
                      <w:color w:val="000000"/>
                      <w:sz w:val="16"/>
                      <w:szCs w:val="16"/>
                      <w:lang w:eastAsia="zh-CN" w:bidi="ar"/>
                    </w:rPr>
                    <w:t>％关税。（</w:t>
                  </w:r>
                  <w:r w:rsidRPr="00230008">
                    <w:rPr>
                      <w:rFonts w:eastAsia="宋体"/>
                      <w:color w:val="000000"/>
                      <w:sz w:val="16"/>
                      <w:szCs w:val="16"/>
                      <w:lang w:eastAsia="zh-CN" w:bidi="ar"/>
                    </w:rPr>
                    <w:t>3</w:t>
                  </w:r>
                  <w:r w:rsidRPr="00230008">
                    <w:rPr>
                      <w:rFonts w:eastAsia="宋体"/>
                      <w:color w:val="000000"/>
                      <w:sz w:val="16"/>
                      <w:szCs w:val="16"/>
                      <w:lang w:eastAsia="zh-CN" w:bidi="ar"/>
                    </w:rPr>
                    <w:t>）宣布将于</w:t>
                  </w:r>
                  <w:r w:rsidRPr="00230008">
                    <w:rPr>
                      <w:rFonts w:eastAsia="宋体"/>
                      <w:color w:val="000000"/>
                      <w:sz w:val="16"/>
                      <w:szCs w:val="16"/>
                      <w:lang w:eastAsia="zh-CN" w:bidi="ar"/>
                    </w:rPr>
                    <w:t>5</w:t>
                  </w:r>
                  <w:r w:rsidRPr="00230008">
                    <w:rPr>
                      <w:rFonts w:eastAsia="宋体"/>
                      <w:color w:val="000000"/>
                      <w:sz w:val="16"/>
                      <w:szCs w:val="16"/>
                      <w:lang w:eastAsia="zh-CN" w:bidi="ar"/>
                    </w:rPr>
                    <w:t>月</w:t>
                  </w:r>
                  <w:r w:rsidRPr="00230008">
                    <w:rPr>
                      <w:rFonts w:eastAsia="宋体"/>
                      <w:color w:val="000000"/>
                      <w:sz w:val="16"/>
                      <w:szCs w:val="16"/>
                      <w:lang w:eastAsia="zh-CN" w:bidi="ar"/>
                    </w:rPr>
                    <w:t>2</w:t>
                  </w:r>
                  <w:r w:rsidRPr="00230008">
                    <w:rPr>
                      <w:rFonts w:eastAsia="宋体"/>
                      <w:color w:val="000000"/>
                      <w:sz w:val="16"/>
                      <w:szCs w:val="16"/>
                      <w:lang w:eastAsia="zh-CN" w:bidi="ar"/>
                    </w:rPr>
                    <w:t>日正式取消针对中国出口的价值</w:t>
                  </w:r>
                  <w:r w:rsidRPr="00230008">
                    <w:rPr>
                      <w:rFonts w:eastAsia="宋体"/>
                      <w:color w:val="000000"/>
                      <w:sz w:val="16"/>
                      <w:szCs w:val="16"/>
                      <w:lang w:eastAsia="zh-CN" w:bidi="ar"/>
                    </w:rPr>
                    <w:t>800</w:t>
                  </w:r>
                  <w:r w:rsidRPr="00230008">
                    <w:rPr>
                      <w:rFonts w:eastAsia="宋体"/>
                      <w:color w:val="000000"/>
                      <w:sz w:val="16"/>
                      <w:szCs w:val="16"/>
                      <w:lang w:eastAsia="zh-CN" w:bidi="ar"/>
                    </w:rPr>
                    <w:t>美元以下商品的</w:t>
                  </w:r>
                  <w:r w:rsidRPr="00230008">
                    <w:rPr>
                      <w:rFonts w:eastAsia="宋体"/>
                      <w:color w:val="000000"/>
                      <w:sz w:val="16"/>
                      <w:szCs w:val="16"/>
                      <w:lang w:eastAsia="zh-CN" w:bidi="ar"/>
                    </w:rPr>
                    <w:t>“</w:t>
                  </w:r>
                  <w:r w:rsidRPr="00230008">
                    <w:rPr>
                      <w:rFonts w:eastAsia="宋体"/>
                      <w:color w:val="000000"/>
                      <w:sz w:val="16"/>
                      <w:szCs w:val="16"/>
                      <w:lang w:eastAsia="zh-CN" w:bidi="ar"/>
                    </w:rPr>
                    <w:t>小额免税</w:t>
                  </w:r>
                  <w:r w:rsidRPr="00230008">
                    <w:rPr>
                      <w:rFonts w:eastAsia="宋体"/>
                      <w:color w:val="000000"/>
                      <w:sz w:val="16"/>
                      <w:szCs w:val="16"/>
                      <w:lang w:eastAsia="zh-CN" w:bidi="ar"/>
                    </w:rPr>
                    <w:t>”</w:t>
                  </w:r>
                  <w:r w:rsidRPr="00230008">
                    <w:rPr>
                      <w:rFonts w:eastAsia="宋体"/>
                      <w:color w:val="000000"/>
                      <w:sz w:val="16"/>
                      <w:szCs w:val="16"/>
                      <w:lang w:eastAsia="zh-CN" w:bidi="ar"/>
                    </w:rPr>
                    <w:t>政策。（</w:t>
                  </w:r>
                  <w:r w:rsidRPr="00230008">
                    <w:rPr>
                      <w:rFonts w:eastAsia="宋体"/>
                      <w:color w:val="000000"/>
                      <w:sz w:val="16"/>
                      <w:szCs w:val="16"/>
                      <w:lang w:eastAsia="zh-CN" w:bidi="ar"/>
                    </w:rPr>
                    <w:t>4</w:t>
                  </w:r>
                  <w:r w:rsidRPr="00230008">
                    <w:rPr>
                      <w:rFonts w:eastAsia="宋体"/>
                      <w:color w:val="000000"/>
                      <w:sz w:val="16"/>
                      <w:szCs w:val="16"/>
                      <w:lang w:eastAsia="zh-CN" w:bidi="ar"/>
                    </w:rPr>
                    <w:t>）</w:t>
                  </w:r>
                  <w:r w:rsidRPr="00230008">
                    <w:rPr>
                      <w:rFonts w:eastAsia="宋体"/>
                      <w:color w:val="000000"/>
                      <w:sz w:val="16"/>
                      <w:szCs w:val="16"/>
                      <w:lang w:eastAsia="zh-CN" w:bidi="ar"/>
                    </w:rPr>
                    <w:t>4</w:t>
                  </w:r>
                  <w:r w:rsidRPr="00230008">
                    <w:rPr>
                      <w:rFonts w:eastAsia="宋体"/>
                      <w:color w:val="000000"/>
                      <w:sz w:val="16"/>
                      <w:szCs w:val="16"/>
                      <w:lang w:eastAsia="zh-CN" w:bidi="ar"/>
                    </w:rPr>
                    <w:t>月</w:t>
                  </w:r>
                  <w:r w:rsidRPr="00230008">
                    <w:rPr>
                      <w:rFonts w:eastAsia="宋体"/>
                      <w:color w:val="000000"/>
                      <w:sz w:val="16"/>
                      <w:szCs w:val="16"/>
                      <w:lang w:eastAsia="zh-CN" w:bidi="ar"/>
                    </w:rPr>
                    <w:t>8</w:t>
                  </w:r>
                  <w:r w:rsidRPr="00230008">
                    <w:rPr>
                      <w:rFonts w:eastAsia="宋体"/>
                      <w:color w:val="000000"/>
                      <w:sz w:val="16"/>
                      <w:szCs w:val="16"/>
                      <w:lang w:eastAsia="zh-CN" w:bidi="ar"/>
                    </w:rPr>
                    <w:t>日</w:t>
                  </w:r>
                  <w:r w:rsidRPr="00230008">
                    <w:rPr>
                      <w:rFonts w:eastAsia="宋体"/>
                      <w:color w:val="000000"/>
                      <w:sz w:val="16"/>
                      <w:szCs w:val="16"/>
                      <w:lang w:eastAsia="zh-CN" w:bidi="ar"/>
                    </w:rPr>
                    <w:t>-15</w:t>
                  </w:r>
                  <w:r w:rsidRPr="00230008">
                    <w:rPr>
                      <w:rFonts w:eastAsia="宋体"/>
                      <w:color w:val="000000"/>
                      <w:sz w:val="16"/>
                      <w:szCs w:val="16"/>
                      <w:lang w:eastAsia="zh-CN" w:bidi="ar"/>
                    </w:rPr>
                    <w:t>日，将此前宣布的对中国输美产品加征的</w:t>
                  </w:r>
                  <w:r w:rsidRPr="00230008">
                    <w:rPr>
                      <w:rFonts w:eastAsia="宋体"/>
                      <w:color w:val="000000"/>
                      <w:sz w:val="16"/>
                      <w:szCs w:val="16"/>
                      <w:lang w:eastAsia="zh-CN" w:bidi="ar"/>
                    </w:rPr>
                    <w:t>34%“</w:t>
                  </w:r>
                  <w:r w:rsidRPr="00230008">
                    <w:rPr>
                      <w:rFonts w:eastAsia="宋体"/>
                      <w:color w:val="000000"/>
                      <w:sz w:val="16"/>
                      <w:szCs w:val="16"/>
                      <w:lang w:eastAsia="zh-CN" w:bidi="ar"/>
                    </w:rPr>
                    <w:t>对等关税</w:t>
                  </w:r>
                  <w:r w:rsidRPr="00230008">
                    <w:rPr>
                      <w:rFonts w:eastAsia="宋体"/>
                      <w:color w:val="000000"/>
                      <w:sz w:val="16"/>
                      <w:szCs w:val="16"/>
                      <w:lang w:eastAsia="zh-CN" w:bidi="ar"/>
                    </w:rPr>
                    <w:t>”</w:t>
                  </w:r>
                  <w:r w:rsidRPr="00230008">
                    <w:rPr>
                      <w:rFonts w:eastAsia="宋体"/>
                      <w:color w:val="000000"/>
                      <w:sz w:val="16"/>
                      <w:szCs w:val="16"/>
                      <w:lang w:eastAsia="zh-CN" w:bidi="ar"/>
                    </w:rPr>
                    <w:t>进一步提高至</w:t>
                  </w:r>
                  <w:r w:rsidRPr="00230008">
                    <w:rPr>
                      <w:rFonts w:eastAsia="宋体"/>
                      <w:color w:val="000000"/>
                      <w:sz w:val="16"/>
                      <w:szCs w:val="16"/>
                      <w:lang w:eastAsia="zh-CN" w:bidi="ar"/>
                    </w:rPr>
                    <w:t>84%</w:t>
                  </w:r>
                  <w:r w:rsidRPr="00230008">
                    <w:rPr>
                      <w:rFonts w:eastAsia="宋体"/>
                      <w:color w:val="000000"/>
                      <w:sz w:val="16"/>
                      <w:szCs w:val="16"/>
                      <w:lang w:eastAsia="zh-CN" w:bidi="ar"/>
                    </w:rPr>
                    <w:t>、</w:t>
                  </w:r>
                  <w:r w:rsidRPr="00230008">
                    <w:rPr>
                      <w:rFonts w:eastAsia="宋体"/>
                      <w:color w:val="000000"/>
                      <w:sz w:val="16"/>
                      <w:szCs w:val="16"/>
                      <w:lang w:eastAsia="zh-CN" w:bidi="ar"/>
                    </w:rPr>
                    <w:t>125%</w:t>
                  </w:r>
                  <w:r w:rsidRPr="00230008">
                    <w:rPr>
                      <w:rFonts w:eastAsia="宋体"/>
                      <w:color w:val="000000"/>
                      <w:sz w:val="16"/>
                      <w:szCs w:val="16"/>
                      <w:lang w:eastAsia="zh-CN" w:bidi="ar"/>
                    </w:rPr>
                    <w:t>。由于多个关税叠加使用，注射器、针头等个别医疗用品最高税率已达</w:t>
                  </w:r>
                  <w:r w:rsidRPr="00230008">
                    <w:rPr>
                      <w:rFonts w:eastAsia="宋体"/>
                      <w:color w:val="000000"/>
                      <w:sz w:val="16"/>
                      <w:szCs w:val="16"/>
                      <w:lang w:eastAsia="zh-CN" w:bidi="ar"/>
                    </w:rPr>
                    <w:t>245%</w:t>
                  </w:r>
                  <w:r w:rsidRPr="00230008">
                    <w:rPr>
                      <w:rFonts w:eastAsia="宋体"/>
                      <w:color w:val="000000"/>
                      <w:sz w:val="16"/>
                      <w:szCs w:val="16"/>
                      <w:lang w:eastAsia="zh-CN" w:bidi="ar"/>
                    </w:rPr>
                    <w:t>。</w:t>
                  </w:r>
                </w:p>
              </w:tc>
              <w:tc>
                <w:tcPr>
                  <w:tcW w:w="2288" w:type="dxa"/>
                  <w:vMerge w:val="restart"/>
                  <w:tcBorders>
                    <w:top w:val="nil"/>
                    <w:left w:val="single" w:sz="4" w:space="0" w:color="auto"/>
                    <w:bottom w:val="single" w:sz="4" w:space="0" w:color="auto"/>
                    <w:right w:val="single" w:sz="4" w:space="0" w:color="auto"/>
                  </w:tcBorders>
                  <w:shd w:val="clear" w:color="000000" w:fill="FFFFFF"/>
                  <w:vAlign w:val="center"/>
                </w:tcPr>
                <w:p w14:paraId="4BBBCE80" w14:textId="77777777" w:rsidR="00230008" w:rsidRPr="00230008" w:rsidRDefault="00230008" w:rsidP="00230008">
                  <w:pPr>
                    <w:ind w:firstLineChars="0" w:firstLine="0"/>
                    <w:textAlignment w:val="center"/>
                    <w:rPr>
                      <w:rFonts w:eastAsia="宋体"/>
                      <w:color w:val="000000"/>
                      <w:sz w:val="16"/>
                      <w:szCs w:val="16"/>
                      <w:lang w:eastAsia="zh-CN" w:bidi="ar-SA"/>
                    </w:rPr>
                  </w:pPr>
                  <w:r w:rsidRPr="00230008">
                    <w:rPr>
                      <w:rFonts w:eastAsia="宋体"/>
                      <w:color w:val="000000"/>
                      <w:sz w:val="16"/>
                      <w:szCs w:val="16"/>
                      <w:lang w:eastAsia="zh-CN" w:bidi="ar"/>
                    </w:rPr>
                    <w:t>（</w:t>
                  </w:r>
                  <w:r w:rsidRPr="00230008">
                    <w:rPr>
                      <w:rFonts w:eastAsia="宋体"/>
                      <w:color w:val="000000"/>
                      <w:sz w:val="16"/>
                      <w:szCs w:val="16"/>
                      <w:lang w:eastAsia="zh-CN" w:bidi="ar"/>
                    </w:rPr>
                    <w:t>1</w:t>
                  </w:r>
                  <w:r w:rsidRPr="00230008">
                    <w:rPr>
                      <w:rFonts w:eastAsia="宋体"/>
                      <w:color w:val="000000"/>
                      <w:sz w:val="16"/>
                      <w:szCs w:val="16"/>
                      <w:lang w:eastAsia="zh-CN" w:bidi="ar"/>
                    </w:rPr>
                    <w:t>）美国宣布从</w:t>
                  </w:r>
                  <w:r w:rsidRPr="00230008">
                    <w:rPr>
                      <w:rFonts w:eastAsia="宋体"/>
                      <w:color w:val="000000"/>
                      <w:sz w:val="16"/>
                      <w:szCs w:val="16"/>
                      <w:lang w:eastAsia="zh-CN" w:bidi="ar"/>
                    </w:rPr>
                    <w:t>3</w:t>
                  </w:r>
                  <w:r w:rsidRPr="00230008">
                    <w:rPr>
                      <w:rFonts w:eastAsia="宋体"/>
                      <w:color w:val="000000"/>
                      <w:sz w:val="16"/>
                      <w:szCs w:val="16"/>
                      <w:lang w:eastAsia="zh-CN" w:bidi="ar"/>
                    </w:rPr>
                    <w:t>月</w:t>
                  </w:r>
                  <w:r w:rsidRPr="00230008">
                    <w:rPr>
                      <w:rFonts w:eastAsia="宋体"/>
                      <w:color w:val="000000"/>
                      <w:sz w:val="16"/>
                      <w:szCs w:val="16"/>
                      <w:lang w:eastAsia="zh-CN" w:bidi="ar"/>
                    </w:rPr>
                    <w:t>12</w:t>
                  </w:r>
                  <w:r w:rsidRPr="00230008">
                    <w:rPr>
                      <w:rFonts w:eastAsia="宋体"/>
                      <w:color w:val="000000"/>
                      <w:sz w:val="16"/>
                      <w:szCs w:val="16"/>
                      <w:lang w:eastAsia="zh-CN" w:bidi="ar"/>
                    </w:rPr>
                    <w:t>日起针对所有贸易伙伴实施</w:t>
                  </w:r>
                  <w:r w:rsidRPr="00230008">
                    <w:rPr>
                      <w:rFonts w:eastAsia="宋体"/>
                      <w:color w:val="000000"/>
                      <w:sz w:val="16"/>
                      <w:szCs w:val="16"/>
                      <w:lang w:eastAsia="zh-CN" w:bidi="ar"/>
                    </w:rPr>
                    <w:t>25%</w:t>
                  </w:r>
                  <w:r w:rsidRPr="00230008">
                    <w:rPr>
                      <w:rFonts w:eastAsia="宋体"/>
                      <w:color w:val="000000"/>
                      <w:sz w:val="16"/>
                      <w:szCs w:val="16"/>
                      <w:lang w:eastAsia="zh-CN" w:bidi="ar"/>
                    </w:rPr>
                    <w:t>的钢铝关税。（</w:t>
                  </w:r>
                  <w:r w:rsidRPr="00230008">
                    <w:rPr>
                      <w:rFonts w:eastAsia="宋体"/>
                      <w:color w:val="000000"/>
                      <w:sz w:val="16"/>
                      <w:szCs w:val="16"/>
                      <w:lang w:eastAsia="zh-CN" w:bidi="ar"/>
                    </w:rPr>
                    <w:t>2</w:t>
                  </w:r>
                  <w:r w:rsidRPr="00230008">
                    <w:rPr>
                      <w:rFonts w:eastAsia="宋体"/>
                      <w:color w:val="000000"/>
                      <w:sz w:val="16"/>
                      <w:szCs w:val="16"/>
                      <w:lang w:eastAsia="zh-CN" w:bidi="ar"/>
                    </w:rPr>
                    <w:t>）</w:t>
                  </w:r>
                  <w:r w:rsidRPr="00230008">
                    <w:rPr>
                      <w:rFonts w:eastAsia="宋体"/>
                      <w:color w:val="000000"/>
                      <w:sz w:val="16"/>
                      <w:szCs w:val="16"/>
                      <w:lang w:eastAsia="zh-CN" w:bidi="ar"/>
                    </w:rPr>
                    <w:t>3</w:t>
                  </w:r>
                  <w:r w:rsidRPr="00230008">
                    <w:rPr>
                      <w:rFonts w:eastAsia="宋体"/>
                      <w:color w:val="000000"/>
                      <w:sz w:val="16"/>
                      <w:szCs w:val="16"/>
                      <w:lang w:eastAsia="zh-CN" w:bidi="ar"/>
                    </w:rPr>
                    <w:t>月</w:t>
                  </w:r>
                  <w:r w:rsidRPr="00230008">
                    <w:rPr>
                      <w:rFonts w:eastAsia="宋体"/>
                      <w:color w:val="000000"/>
                      <w:sz w:val="16"/>
                      <w:szCs w:val="16"/>
                      <w:lang w:eastAsia="zh-CN" w:bidi="ar"/>
                    </w:rPr>
                    <w:t>26</w:t>
                  </w:r>
                  <w:r w:rsidRPr="00230008">
                    <w:rPr>
                      <w:rFonts w:eastAsia="宋体"/>
                      <w:color w:val="000000"/>
                      <w:sz w:val="16"/>
                      <w:szCs w:val="16"/>
                      <w:lang w:eastAsia="zh-CN" w:bidi="ar"/>
                    </w:rPr>
                    <w:t>日，美国宣布对所有进口汽车征收</w:t>
                  </w:r>
                  <w:r w:rsidRPr="00230008">
                    <w:rPr>
                      <w:rFonts w:eastAsia="宋体"/>
                      <w:color w:val="000000"/>
                      <w:sz w:val="16"/>
                      <w:szCs w:val="16"/>
                      <w:lang w:eastAsia="zh-CN" w:bidi="ar"/>
                    </w:rPr>
                    <w:t>25%</w:t>
                  </w:r>
                  <w:r w:rsidRPr="00230008">
                    <w:rPr>
                      <w:rFonts w:eastAsia="宋体"/>
                      <w:color w:val="000000"/>
                      <w:sz w:val="16"/>
                      <w:szCs w:val="16"/>
                      <w:lang w:eastAsia="zh-CN" w:bidi="ar"/>
                    </w:rPr>
                    <w:t>关税。相关措施将于</w:t>
                  </w:r>
                  <w:r w:rsidRPr="00230008">
                    <w:rPr>
                      <w:rFonts w:eastAsia="宋体"/>
                      <w:color w:val="000000"/>
                      <w:sz w:val="16"/>
                      <w:szCs w:val="16"/>
                      <w:lang w:eastAsia="zh-CN" w:bidi="ar"/>
                    </w:rPr>
                    <w:t>4</w:t>
                  </w:r>
                  <w:r w:rsidRPr="00230008">
                    <w:rPr>
                      <w:rFonts w:eastAsia="宋体"/>
                      <w:color w:val="000000"/>
                      <w:sz w:val="16"/>
                      <w:szCs w:val="16"/>
                      <w:lang w:eastAsia="zh-CN" w:bidi="ar"/>
                    </w:rPr>
                    <w:t>月</w:t>
                  </w:r>
                  <w:r w:rsidRPr="00230008">
                    <w:rPr>
                      <w:rFonts w:eastAsia="宋体"/>
                      <w:color w:val="000000"/>
                      <w:sz w:val="16"/>
                      <w:szCs w:val="16"/>
                      <w:lang w:eastAsia="zh-CN" w:bidi="ar"/>
                    </w:rPr>
                    <w:t>2</w:t>
                  </w:r>
                  <w:r w:rsidRPr="00230008">
                    <w:rPr>
                      <w:rFonts w:eastAsia="宋体"/>
                      <w:color w:val="000000"/>
                      <w:sz w:val="16"/>
                      <w:szCs w:val="16"/>
                      <w:lang w:eastAsia="zh-CN" w:bidi="ar"/>
                    </w:rPr>
                    <w:t>日生效。（</w:t>
                  </w:r>
                  <w:r w:rsidRPr="00230008">
                    <w:rPr>
                      <w:rFonts w:eastAsia="宋体"/>
                      <w:color w:val="000000"/>
                      <w:sz w:val="16"/>
                      <w:szCs w:val="16"/>
                      <w:lang w:eastAsia="zh-CN" w:bidi="ar"/>
                    </w:rPr>
                    <w:t>3</w:t>
                  </w:r>
                  <w:r w:rsidRPr="00230008">
                    <w:rPr>
                      <w:rFonts w:eastAsia="宋体"/>
                      <w:color w:val="000000"/>
                      <w:sz w:val="16"/>
                      <w:szCs w:val="16"/>
                      <w:lang w:eastAsia="zh-CN" w:bidi="ar"/>
                    </w:rPr>
                    <w:t>）</w:t>
                  </w:r>
                  <w:r w:rsidRPr="00230008">
                    <w:rPr>
                      <w:rFonts w:eastAsia="宋体"/>
                      <w:color w:val="000000"/>
                      <w:sz w:val="16"/>
                      <w:szCs w:val="16"/>
                      <w:lang w:eastAsia="zh-CN" w:bidi="ar"/>
                    </w:rPr>
                    <w:t>4</w:t>
                  </w:r>
                  <w:r w:rsidRPr="00230008">
                    <w:rPr>
                      <w:rFonts w:eastAsia="宋体"/>
                      <w:color w:val="000000"/>
                      <w:sz w:val="16"/>
                      <w:szCs w:val="16"/>
                      <w:lang w:eastAsia="zh-CN" w:bidi="ar"/>
                    </w:rPr>
                    <w:t>月</w:t>
                  </w:r>
                  <w:r w:rsidRPr="00230008">
                    <w:rPr>
                      <w:rFonts w:eastAsia="宋体"/>
                      <w:color w:val="000000"/>
                      <w:sz w:val="16"/>
                      <w:szCs w:val="16"/>
                      <w:lang w:eastAsia="zh-CN" w:bidi="ar"/>
                    </w:rPr>
                    <w:t>2</w:t>
                  </w:r>
                  <w:r w:rsidRPr="00230008">
                    <w:rPr>
                      <w:rFonts w:eastAsia="宋体"/>
                      <w:color w:val="000000"/>
                      <w:sz w:val="16"/>
                      <w:szCs w:val="16"/>
                      <w:lang w:eastAsia="zh-CN" w:bidi="ar"/>
                    </w:rPr>
                    <w:t>日，美国宣布，自</w:t>
                  </w:r>
                  <w:r w:rsidRPr="00230008">
                    <w:rPr>
                      <w:rFonts w:eastAsia="宋体"/>
                      <w:color w:val="000000"/>
                      <w:sz w:val="16"/>
                      <w:szCs w:val="16"/>
                      <w:lang w:eastAsia="zh-CN" w:bidi="ar"/>
                    </w:rPr>
                    <w:t>2025</w:t>
                  </w:r>
                  <w:r w:rsidRPr="00230008">
                    <w:rPr>
                      <w:rFonts w:eastAsia="宋体"/>
                      <w:color w:val="000000"/>
                      <w:sz w:val="16"/>
                      <w:szCs w:val="16"/>
                      <w:lang w:eastAsia="zh-CN" w:bidi="ar"/>
                    </w:rPr>
                    <w:t>年</w:t>
                  </w:r>
                  <w:r w:rsidRPr="00230008">
                    <w:rPr>
                      <w:rFonts w:eastAsia="宋体"/>
                      <w:color w:val="000000"/>
                      <w:sz w:val="16"/>
                      <w:szCs w:val="16"/>
                      <w:lang w:eastAsia="zh-CN" w:bidi="ar"/>
                    </w:rPr>
                    <w:t>4</w:t>
                  </w:r>
                  <w:r w:rsidRPr="00230008">
                    <w:rPr>
                      <w:rFonts w:eastAsia="宋体"/>
                      <w:color w:val="000000"/>
                      <w:sz w:val="16"/>
                      <w:szCs w:val="16"/>
                      <w:lang w:eastAsia="zh-CN" w:bidi="ar"/>
                    </w:rPr>
                    <w:t>月</w:t>
                  </w:r>
                  <w:r w:rsidRPr="00230008">
                    <w:rPr>
                      <w:rFonts w:eastAsia="宋体"/>
                      <w:color w:val="000000"/>
                      <w:sz w:val="16"/>
                      <w:szCs w:val="16"/>
                      <w:lang w:eastAsia="zh-CN" w:bidi="ar"/>
                    </w:rPr>
                    <w:t>5</w:t>
                  </w:r>
                  <w:r w:rsidRPr="00230008">
                    <w:rPr>
                      <w:rFonts w:eastAsia="宋体"/>
                      <w:color w:val="000000"/>
                      <w:sz w:val="16"/>
                      <w:szCs w:val="16"/>
                      <w:lang w:eastAsia="zh-CN" w:bidi="ar"/>
                    </w:rPr>
                    <w:t>日起，美国对除加拿大和墨西哥外的几乎所有国家的进口商品征收</w:t>
                  </w:r>
                  <w:r w:rsidRPr="00230008">
                    <w:rPr>
                      <w:rFonts w:eastAsia="宋体"/>
                      <w:color w:val="000000"/>
                      <w:sz w:val="16"/>
                      <w:szCs w:val="16"/>
                      <w:lang w:eastAsia="zh-CN" w:bidi="ar"/>
                    </w:rPr>
                    <w:t>10%</w:t>
                  </w:r>
                  <w:r w:rsidRPr="00230008">
                    <w:rPr>
                      <w:rFonts w:eastAsia="宋体"/>
                      <w:color w:val="000000"/>
                      <w:sz w:val="16"/>
                      <w:szCs w:val="16"/>
                      <w:lang w:eastAsia="zh-CN" w:bidi="ar"/>
                    </w:rPr>
                    <w:t>的基础从价关税。自</w:t>
                  </w:r>
                  <w:r w:rsidRPr="00230008">
                    <w:rPr>
                      <w:rFonts w:eastAsia="宋体"/>
                      <w:color w:val="000000"/>
                      <w:sz w:val="16"/>
                      <w:szCs w:val="16"/>
                      <w:lang w:eastAsia="zh-CN" w:bidi="ar"/>
                    </w:rPr>
                    <w:t>4</w:t>
                  </w:r>
                  <w:r w:rsidRPr="00230008">
                    <w:rPr>
                      <w:rFonts w:eastAsia="宋体"/>
                      <w:color w:val="000000"/>
                      <w:sz w:val="16"/>
                      <w:szCs w:val="16"/>
                      <w:lang w:eastAsia="zh-CN" w:bidi="ar"/>
                    </w:rPr>
                    <w:t>月</w:t>
                  </w:r>
                  <w:r w:rsidRPr="00230008">
                    <w:rPr>
                      <w:rFonts w:eastAsia="宋体"/>
                      <w:color w:val="000000"/>
                      <w:sz w:val="16"/>
                      <w:szCs w:val="16"/>
                      <w:lang w:eastAsia="zh-CN" w:bidi="ar"/>
                    </w:rPr>
                    <w:t>9</w:t>
                  </w:r>
                  <w:r w:rsidRPr="00230008">
                    <w:rPr>
                      <w:rFonts w:eastAsia="宋体"/>
                      <w:color w:val="000000"/>
                      <w:sz w:val="16"/>
                      <w:szCs w:val="16"/>
                      <w:lang w:eastAsia="zh-CN" w:bidi="ar"/>
                    </w:rPr>
                    <w:t>日起，对被认为存在重大贸易逆差的国家实施更高的</w:t>
                  </w:r>
                  <w:r w:rsidRPr="00230008">
                    <w:rPr>
                      <w:rFonts w:eastAsia="宋体"/>
                      <w:color w:val="000000"/>
                      <w:sz w:val="16"/>
                      <w:szCs w:val="16"/>
                      <w:lang w:eastAsia="zh-CN" w:bidi="ar"/>
                    </w:rPr>
                    <w:t>“</w:t>
                  </w:r>
                  <w:r w:rsidRPr="00230008">
                    <w:rPr>
                      <w:rFonts w:eastAsia="宋体"/>
                      <w:color w:val="000000"/>
                      <w:sz w:val="16"/>
                      <w:szCs w:val="16"/>
                      <w:lang w:eastAsia="zh-CN" w:bidi="ar"/>
                    </w:rPr>
                    <w:t>对等关税</w:t>
                  </w:r>
                  <w:r w:rsidRPr="00230008">
                    <w:rPr>
                      <w:rFonts w:eastAsia="宋体"/>
                      <w:color w:val="000000"/>
                      <w:sz w:val="16"/>
                      <w:szCs w:val="16"/>
                      <w:lang w:eastAsia="zh-CN" w:bidi="ar"/>
                    </w:rPr>
                    <w:t>”</w:t>
                  </w:r>
                  <w:r w:rsidRPr="00230008">
                    <w:rPr>
                      <w:rFonts w:eastAsia="宋体"/>
                      <w:color w:val="000000"/>
                      <w:sz w:val="16"/>
                      <w:szCs w:val="16"/>
                      <w:lang w:eastAsia="zh-CN" w:bidi="ar"/>
                    </w:rPr>
                    <w:t>。已面临钢铝关税、汽车关税的产品将不适用</w:t>
                  </w:r>
                  <w:r w:rsidRPr="00230008">
                    <w:rPr>
                      <w:rFonts w:eastAsia="宋体"/>
                      <w:color w:val="000000"/>
                      <w:sz w:val="16"/>
                      <w:szCs w:val="16"/>
                      <w:lang w:eastAsia="zh-CN" w:bidi="ar"/>
                    </w:rPr>
                    <w:t>“</w:t>
                  </w:r>
                  <w:r w:rsidRPr="00230008">
                    <w:rPr>
                      <w:rFonts w:eastAsia="宋体"/>
                      <w:color w:val="000000"/>
                      <w:sz w:val="16"/>
                      <w:szCs w:val="16"/>
                      <w:lang w:eastAsia="zh-CN" w:bidi="ar"/>
                    </w:rPr>
                    <w:t>对等关税</w:t>
                  </w:r>
                  <w:r w:rsidRPr="00230008">
                    <w:rPr>
                      <w:rFonts w:eastAsia="宋体"/>
                      <w:color w:val="000000"/>
                      <w:sz w:val="16"/>
                      <w:szCs w:val="16"/>
                      <w:lang w:eastAsia="zh-CN" w:bidi="ar"/>
                    </w:rPr>
                    <w:t>”</w:t>
                  </w:r>
                  <w:r w:rsidRPr="00230008">
                    <w:rPr>
                      <w:rFonts w:eastAsia="宋体"/>
                      <w:color w:val="000000"/>
                      <w:sz w:val="16"/>
                      <w:szCs w:val="16"/>
                      <w:lang w:eastAsia="zh-CN" w:bidi="ar"/>
                    </w:rPr>
                    <w:t>。（</w:t>
                  </w:r>
                  <w:r w:rsidRPr="00230008">
                    <w:rPr>
                      <w:rFonts w:eastAsia="宋体"/>
                      <w:color w:val="000000"/>
                      <w:sz w:val="16"/>
                      <w:szCs w:val="16"/>
                      <w:lang w:eastAsia="zh-CN" w:bidi="ar"/>
                    </w:rPr>
                    <w:t>4</w:t>
                  </w:r>
                  <w:r w:rsidRPr="00230008">
                    <w:rPr>
                      <w:rFonts w:eastAsia="宋体"/>
                      <w:color w:val="000000"/>
                      <w:sz w:val="16"/>
                      <w:szCs w:val="16"/>
                      <w:lang w:eastAsia="zh-CN" w:bidi="ar"/>
                    </w:rPr>
                    <w:t>）</w:t>
                  </w:r>
                  <w:r w:rsidRPr="00230008">
                    <w:rPr>
                      <w:rFonts w:eastAsia="宋体"/>
                      <w:color w:val="000000"/>
                      <w:sz w:val="16"/>
                      <w:szCs w:val="16"/>
                      <w:lang w:eastAsia="zh-CN" w:bidi="ar"/>
                    </w:rPr>
                    <w:t>4</w:t>
                  </w:r>
                  <w:r w:rsidRPr="00230008">
                    <w:rPr>
                      <w:rFonts w:eastAsia="宋体"/>
                      <w:color w:val="000000"/>
                      <w:sz w:val="16"/>
                      <w:szCs w:val="16"/>
                      <w:lang w:eastAsia="zh-CN" w:bidi="ar"/>
                    </w:rPr>
                    <w:t>月</w:t>
                  </w:r>
                  <w:r w:rsidRPr="00230008">
                    <w:rPr>
                      <w:rFonts w:eastAsia="宋体"/>
                      <w:color w:val="000000"/>
                      <w:sz w:val="16"/>
                      <w:szCs w:val="16"/>
                      <w:lang w:eastAsia="zh-CN" w:bidi="ar"/>
                    </w:rPr>
                    <w:t>9</w:t>
                  </w:r>
                  <w:r w:rsidRPr="00230008">
                    <w:rPr>
                      <w:rFonts w:eastAsia="宋体"/>
                      <w:color w:val="000000"/>
                      <w:sz w:val="16"/>
                      <w:szCs w:val="16"/>
                      <w:lang w:eastAsia="zh-CN" w:bidi="ar"/>
                    </w:rPr>
                    <w:t>日，细化了</w:t>
                  </w:r>
                  <w:r w:rsidRPr="00230008">
                    <w:rPr>
                      <w:rFonts w:eastAsia="宋体"/>
                      <w:color w:val="000000"/>
                      <w:sz w:val="16"/>
                      <w:szCs w:val="16"/>
                      <w:lang w:eastAsia="zh-CN" w:bidi="ar"/>
                    </w:rPr>
                    <w:t>“</w:t>
                  </w:r>
                  <w:r w:rsidRPr="00230008">
                    <w:rPr>
                      <w:rFonts w:eastAsia="宋体"/>
                      <w:color w:val="000000"/>
                      <w:sz w:val="16"/>
                      <w:szCs w:val="16"/>
                      <w:lang w:eastAsia="zh-CN" w:bidi="ar"/>
                    </w:rPr>
                    <w:t>对等关税</w:t>
                  </w:r>
                  <w:r w:rsidRPr="00230008">
                    <w:rPr>
                      <w:rFonts w:eastAsia="宋体"/>
                      <w:color w:val="000000"/>
                      <w:sz w:val="16"/>
                      <w:szCs w:val="16"/>
                      <w:lang w:eastAsia="zh-CN" w:bidi="ar"/>
                    </w:rPr>
                    <w:t>”</w:t>
                  </w:r>
                  <w:r w:rsidRPr="00230008">
                    <w:rPr>
                      <w:rFonts w:eastAsia="宋体"/>
                      <w:color w:val="000000"/>
                      <w:sz w:val="16"/>
                      <w:szCs w:val="16"/>
                      <w:lang w:eastAsia="zh-CN" w:bidi="ar"/>
                    </w:rPr>
                    <w:t>政策关于半导体行业的具体豁免内容，将半导体生产相关产品，以及智能手机、计算机、平板、显示器等消费电子内容纳入豁免范围。（</w:t>
                  </w:r>
                  <w:r w:rsidRPr="00230008">
                    <w:rPr>
                      <w:rFonts w:eastAsia="宋体"/>
                      <w:color w:val="000000"/>
                      <w:sz w:val="16"/>
                      <w:szCs w:val="16"/>
                      <w:lang w:eastAsia="zh-CN" w:bidi="ar"/>
                    </w:rPr>
                    <w:t>5</w:t>
                  </w:r>
                  <w:r w:rsidRPr="00230008">
                    <w:rPr>
                      <w:rFonts w:eastAsia="宋体"/>
                      <w:color w:val="000000"/>
                      <w:sz w:val="16"/>
                      <w:szCs w:val="16"/>
                      <w:lang w:eastAsia="zh-CN" w:bidi="ar"/>
                    </w:rPr>
                    <w:t>）</w:t>
                  </w:r>
                  <w:r w:rsidRPr="00230008">
                    <w:rPr>
                      <w:rFonts w:eastAsia="宋体"/>
                      <w:color w:val="000000"/>
                      <w:sz w:val="16"/>
                      <w:szCs w:val="16"/>
                      <w:lang w:eastAsia="zh-CN" w:bidi="ar"/>
                    </w:rPr>
                    <w:t>4</w:t>
                  </w:r>
                  <w:r w:rsidRPr="00230008">
                    <w:rPr>
                      <w:rFonts w:eastAsia="宋体"/>
                      <w:color w:val="000000"/>
                      <w:sz w:val="16"/>
                      <w:szCs w:val="16"/>
                      <w:lang w:eastAsia="zh-CN" w:bidi="ar"/>
                    </w:rPr>
                    <w:t>月</w:t>
                  </w:r>
                  <w:r w:rsidRPr="00230008">
                    <w:rPr>
                      <w:rFonts w:eastAsia="宋体"/>
                      <w:color w:val="000000"/>
                      <w:sz w:val="16"/>
                      <w:szCs w:val="16"/>
                      <w:lang w:eastAsia="zh-CN" w:bidi="ar"/>
                    </w:rPr>
                    <w:t>10</w:t>
                  </w:r>
                  <w:r w:rsidRPr="00230008">
                    <w:rPr>
                      <w:rFonts w:eastAsia="宋体"/>
                      <w:color w:val="000000"/>
                      <w:sz w:val="16"/>
                      <w:szCs w:val="16"/>
                      <w:lang w:eastAsia="zh-CN" w:bidi="ar"/>
                    </w:rPr>
                    <w:t>日，美国宣布对不采取报复行动的国家实施</w:t>
                  </w:r>
                  <w:r w:rsidRPr="00230008">
                    <w:rPr>
                      <w:rFonts w:eastAsia="宋体"/>
                      <w:color w:val="000000"/>
                      <w:sz w:val="16"/>
                      <w:szCs w:val="16"/>
                      <w:lang w:eastAsia="zh-CN" w:bidi="ar"/>
                    </w:rPr>
                    <w:t>90</w:t>
                  </w:r>
                  <w:r w:rsidRPr="00230008">
                    <w:rPr>
                      <w:rFonts w:eastAsia="宋体"/>
                      <w:color w:val="000000"/>
                      <w:sz w:val="16"/>
                      <w:szCs w:val="16"/>
                      <w:lang w:eastAsia="zh-CN" w:bidi="ar"/>
                    </w:rPr>
                    <w:t>天的关税暂停，仅保留</w:t>
                  </w:r>
                  <w:r w:rsidRPr="00230008">
                    <w:rPr>
                      <w:rFonts w:eastAsia="宋体"/>
                      <w:color w:val="000000"/>
                      <w:sz w:val="16"/>
                      <w:szCs w:val="16"/>
                      <w:lang w:eastAsia="zh-CN" w:bidi="ar"/>
                    </w:rPr>
                    <w:t>10%</w:t>
                  </w:r>
                  <w:r w:rsidRPr="00230008">
                    <w:rPr>
                      <w:rFonts w:eastAsia="宋体"/>
                      <w:color w:val="000000"/>
                      <w:sz w:val="16"/>
                      <w:szCs w:val="16"/>
                      <w:lang w:eastAsia="zh-CN" w:bidi="ar"/>
                    </w:rPr>
                    <w:t>的基础关税。</w:t>
                  </w:r>
                </w:p>
              </w:tc>
              <w:tc>
                <w:tcPr>
                  <w:tcW w:w="3478" w:type="dxa"/>
                  <w:tcBorders>
                    <w:top w:val="nil"/>
                    <w:left w:val="nil"/>
                    <w:bottom w:val="single" w:sz="4" w:space="0" w:color="auto"/>
                    <w:right w:val="nil"/>
                  </w:tcBorders>
                  <w:shd w:val="clear" w:color="000000" w:fill="FFFFFF"/>
                  <w:vAlign w:val="center"/>
                </w:tcPr>
                <w:p w14:paraId="7EEDE454" w14:textId="77777777" w:rsidR="00230008" w:rsidRPr="00230008" w:rsidRDefault="00230008" w:rsidP="00230008">
                  <w:pPr>
                    <w:ind w:firstLineChars="0" w:firstLine="0"/>
                    <w:textAlignment w:val="center"/>
                    <w:rPr>
                      <w:rFonts w:eastAsia="宋体"/>
                      <w:color w:val="000000"/>
                      <w:sz w:val="16"/>
                      <w:szCs w:val="16"/>
                      <w:lang w:eastAsia="zh-CN" w:bidi="ar-SA"/>
                    </w:rPr>
                  </w:pPr>
                  <w:r w:rsidRPr="00230008">
                    <w:rPr>
                      <w:rFonts w:eastAsia="宋体"/>
                      <w:color w:val="000000"/>
                      <w:sz w:val="16"/>
                      <w:szCs w:val="16"/>
                      <w:lang w:eastAsia="zh-CN" w:bidi="ar"/>
                    </w:rPr>
                    <w:t>（</w:t>
                  </w:r>
                  <w:r w:rsidRPr="00230008">
                    <w:rPr>
                      <w:rFonts w:eastAsia="宋体"/>
                      <w:color w:val="000000"/>
                      <w:sz w:val="16"/>
                      <w:szCs w:val="16"/>
                      <w:lang w:eastAsia="zh-CN" w:bidi="ar"/>
                    </w:rPr>
                    <w:t>1</w:t>
                  </w:r>
                  <w:r w:rsidRPr="00230008">
                    <w:rPr>
                      <w:rFonts w:eastAsia="宋体"/>
                      <w:color w:val="000000"/>
                      <w:sz w:val="16"/>
                      <w:szCs w:val="16"/>
                      <w:lang w:eastAsia="zh-CN" w:bidi="ar"/>
                    </w:rPr>
                    <w:t>）</w:t>
                  </w:r>
                  <w:r w:rsidRPr="00230008">
                    <w:rPr>
                      <w:rFonts w:eastAsia="宋体"/>
                      <w:color w:val="000000"/>
                      <w:sz w:val="16"/>
                      <w:szCs w:val="16"/>
                      <w:lang w:eastAsia="zh-CN" w:bidi="ar"/>
                    </w:rPr>
                    <w:t>2</w:t>
                  </w:r>
                  <w:r w:rsidRPr="00230008">
                    <w:rPr>
                      <w:rFonts w:eastAsia="宋体"/>
                      <w:color w:val="000000"/>
                      <w:sz w:val="16"/>
                      <w:szCs w:val="16"/>
                      <w:lang w:eastAsia="zh-CN" w:bidi="ar"/>
                    </w:rPr>
                    <w:t>月</w:t>
                  </w:r>
                  <w:r w:rsidRPr="00230008">
                    <w:rPr>
                      <w:rFonts w:eastAsia="宋体"/>
                      <w:color w:val="000000"/>
                      <w:sz w:val="16"/>
                      <w:szCs w:val="16"/>
                      <w:lang w:eastAsia="zh-CN" w:bidi="ar"/>
                    </w:rPr>
                    <w:t>4</w:t>
                  </w:r>
                  <w:r w:rsidRPr="00230008">
                    <w:rPr>
                      <w:rFonts w:eastAsia="宋体"/>
                      <w:color w:val="000000"/>
                      <w:sz w:val="16"/>
                      <w:szCs w:val="16"/>
                      <w:lang w:eastAsia="zh-CN" w:bidi="ar"/>
                    </w:rPr>
                    <w:t>日和</w:t>
                  </w:r>
                  <w:r w:rsidRPr="00230008">
                    <w:rPr>
                      <w:rFonts w:eastAsia="宋体"/>
                      <w:color w:val="000000"/>
                      <w:sz w:val="16"/>
                      <w:szCs w:val="16"/>
                      <w:lang w:eastAsia="zh-CN" w:bidi="ar"/>
                    </w:rPr>
                    <w:t>3</w:t>
                  </w:r>
                  <w:r w:rsidRPr="00230008">
                    <w:rPr>
                      <w:rFonts w:eastAsia="宋体"/>
                      <w:color w:val="000000"/>
                      <w:sz w:val="16"/>
                      <w:szCs w:val="16"/>
                      <w:lang w:eastAsia="zh-CN" w:bidi="ar"/>
                    </w:rPr>
                    <w:t>月</w:t>
                  </w:r>
                  <w:r w:rsidRPr="00230008">
                    <w:rPr>
                      <w:rFonts w:eastAsia="宋体"/>
                      <w:color w:val="000000"/>
                      <w:sz w:val="16"/>
                      <w:szCs w:val="16"/>
                      <w:lang w:eastAsia="zh-CN" w:bidi="ar"/>
                    </w:rPr>
                    <w:t>4</w:t>
                  </w:r>
                  <w:r w:rsidRPr="00230008">
                    <w:rPr>
                      <w:rFonts w:eastAsia="宋体"/>
                      <w:color w:val="000000"/>
                      <w:sz w:val="16"/>
                      <w:szCs w:val="16"/>
                      <w:lang w:eastAsia="zh-CN" w:bidi="ar"/>
                    </w:rPr>
                    <w:t>日，先后宣布对部分原产于美国的进口商品加征</w:t>
                  </w:r>
                  <w:r w:rsidRPr="00230008">
                    <w:rPr>
                      <w:rFonts w:eastAsia="宋体"/>
                      <w:color w:val="000000"/>
                      <w:sz w:val="16"/>
                      <w:szCs w:val="16"/>
                      <w:lang w:eastAsia="zh-CN" w:bidi="ar"/>
                    </w:rPr>
                    <w:t>10%-15%</w:t>
                  </w:r>
                  <w:r w:rsidRPr="00230008">
                    <w:rPr>
                      <w:rFonts w:eastAsia="宋体"/>
                      <w:color w:val="000000"/>
                      <w:sz w:val="16"/>
                      <w:szCs w:val="16"/>
                      <w:lang w:eastAsia="zh-CN" w:bidi="ar"/>
                    </w:rPr>
                    <w:t>关税。</w:t>
                  </w:r>
                  <w:r w:rsidRPr="00230008">
                    <w:rPr>
                      <w:rFonts w:eastAsia="宋体" w:hint="eastAsia"/>
                      <w:color w:val="000000"/>
                      <w:sz w:val="16"/>
                      <w:szCs w:val="16"/>
                      <w:lang w:eastAsia="zh-CN" w:bidi="ar"/>
                    </w:rPr>
                    <w:t>（</w:t>
                  </w:r>
                  <w:r w:rsidRPr="00230008">
                    <w:rPr>
                      <w:rFonts w:eastAsia="宋体" w:hint="eastAsia"/>
                      <w:color w:val="000000"/>
                      <w:sz w:val="16"/>
                      <w:szCs w:val="16"/>
                      <w:lang w:eastAsia="zh-CN" w:bidi="ar"/>
                    </w:rPr>
                    <w:t>2</w:t>
                  </w:r>
                  <w:r w:rsidRPr="00230008">
                    <w:rPr>
                      <w:rFonts w:eastAsia="宋体" w:hint="eastAsia"/>
                      <w:color w:val="000000"/>
                      <w:sz w:val="16"/>
                      <w:szCs w:val="16"/>
                      <w:lang w:eastAsia="zh-CN" w:bidi="ar"/>
                    </w:rPr>
                    <w:t>）</w:t>
                  </w:r>
                  <w:r w:rsidRPr="00230008">
                    <w:rPr>
                      <w:rFonts w:eastAsia="宋体"/>
                      <w:color w:val="000000"/>
                      <w:sz w:val="16"/>
                      <w:szCs w:val="16"/>
                      <w:lang w:eastAsia="zh-CN" w:bidi="ar"/>
                    </w:rPr>
                    <w:t>4</w:t>
                  </w:r>
                  <w:r w:rsidRPr="00230008">
                    <w:rPr>
                      <w:rFonts w:eastAsia="宋体"/>
                      <w:color w:val="000000"/>
                      <w:sz w:val="16"/>
                      <w:szCs w:val="16"/>
                      <w:lang w:eastAsia="zh-CN" w:bidi="ar"/>
                    </w:rPr>
                    <w:t>月</w:t>
                  </w:r>
                  <w:r w:rsidRPr="00230008">
                    <w:rPr>
                      <w:rFonts w:eastAsia="宋体"/>
                      <w:color w:val="000000"/>
                      <w:sz w:val="16"/>
                      <w:szCs w:val="16"/>
                      <w:lang w:eastAsia="zh-CN" w:bidi="ar"/>
                    </w:rPr>
                    <w:t>4</w:t>
                  </w:r>
                  <w:r w:rsidRPr="00230008">
                    <w:rPr>
                      <w:rFonts w:eastAsia="宋体"/>
                      <w:color w:val="000000"/>
                      <w:sz w:val="16"/>
                      <w:szCs w:val="16"/>
                      <w:lang w:eastAsia="zh-CN" w:bidi="ar"/>
                    </w:rPr>
                    <w:t>日对钐、钆、铽、镝、镥、钪、钇等</w:t>
                  </w:r>
                  <w:r w:rsidRPr="00230008">
                    <w:rPr>
                      <w:rFonts w:eastAsia="宋体"/>
                      <w:color w:val="000000"/>
                      <w:sz w:val="16"/>
                      <w:szCs w:val="16"/>
                      <w:lang w:eastAsia="zh-CN" w:bidi="ar"/>
                    </w:rPr>
                    <w:t>7</w:t>
                  </w:r>
                  <w:r w:rsidRPr="00230008">
                    <w:rPr>
                      <w:rFonts w:eastAsia="宋体"/>
                      <w:color w:val="000000"/>
                      <w:sz w:val="16"/>
                      <w:szCs w:val="16"/>
                      <w:lang w:eastAsia="zh-CN" w:bidi="ar"/>
                    </w:rPr>
                    <w:t>类中重稀土相关物项实施出口管制措施。（</w:t>
                  </w:r>
                  <w:r w:rsidRPr="00230008">
                    <w:rPr>
                      <w:rFonts w:eastAsia="宋体"/>
                      <w:color w:val="000000"/>
                      <w:sz w:val="16"/>
                      <w:szCs w:val="16"/>
                      <w:lang w:eastAsia="zh-CN" w:bidi="ar"/>
                    </w:rPr>
                    <w:t>3</w:t>
                  </w:r>
                  <w:r w:rsidRPr="00230008">
                    <w:rPr>
                      <w:rFonts w:eastAsia="宋体"/>
                      <w:color w:val="000000"/>
                      <w:sz w:val="16"/>
                      <w:szCs w:val="16"/>
                      <w:lang w:eastAsia="zh-CN" w:bidi="ar"/>
                    </w:rPr>
                    <w:t>）</w:t>
                  </w:r>
                  <w:r w:rsidRPr="00230008">
                    <w:rPr>
                      <w:rFonts w:eastAsia="宋体"/>
                      <w:color w:val="000000"/>
                      <w:sz w:val="16"/>
                      <w:szCs w:val="16"/>
                      <w:lang w:eastAsia="zh-CN" w:bidi="ar"/>
                    </w:rPr>
                    <w:t>4</w:t>
                  </w:r>
                  <w:r w:rsidRPr="00230008">
                    <w:rPr>
                      <w:rFonts w:eastAsia="宋体"/>
                      <w:color w:val="000000"/>
                      <w:sz w:val="16"/>
                      <w:szCs w:val="16"/>
                      <w:lang w:eastAsia="zh-CN" w:bidi="ar"/>
                    </w:rPr>
                    <w:t>月</w:t>
                  </w:r>
                  <w:r w:rsidRPr="00230008">
                    <w:rPr>
                      <w:rFonts w:eastAsia="宋体"/>
                      <w:color w:val="000000"/>
                      <w:sz w:val="16"/>
                      <w:szCs w:val="16"/>
                      <w:lang w:eastAsia="zh-CN" w:bidi="ar"/>
                    </w:rPr>
                    <w:t>7</w:t>
                  </w:r>
                  <w:r w:rsidRPr="00230008">
                    <w:rPr>
                      <w:rFonts w:eastAsia="宋体"/>
                      <w:color w:val="000000"/>
                      <w:sz w:val="16"/>
                      <w:szCs w:val="16"/>
                      <w:lang w:eastAsia="zh-CN" w:bidi="ar"/>
                    </w:rPr>
                    <w:t>日，宣布对原产于美国的所有进口商品加征</w:t>
                  </w:r>
                  <w:r w:rsidRPr="00230008">
                    <w:rPr>
                      <w:rFonts w:eastAsia="宋体"/>
                      <w:color w:val="000000"/>
                      <w:sz w:val="16"/>
                      <w:szCs w:val="16"/>
                      <w:lang w:eastAsia="zh-CN" w:bidi="ar"/>
                    </w:rPr>
                    <w:t>34%</w:t>
                  </w:r>
                  <w:r w:rsidRPr="00230008">
                    <w:rPr>
                      <w:rFonts w:eastAsia="宋体"/>
                      <w:color w:val="000000"/>
                      <w:sz w:val="16"/>
                      <w:szCs w:val="16"/>
                      <w:lang w:eastAsia="zh-CN" w:bidi="ar"/>
                    </w:rPr>
                    <w:t>关税。（</w:t>
                  </w:r>
                  <w:r w:rsidRPr="00230008">
                    <w:rPr>
                      <w:rFonts w:eastAsia="宋体"/>
                      <w:color w:val="000000"/>
                      <w:sz w:val="16"/>
                      <w:szCs w:val="16"/>
                      <w:lang w:eastAsia="zh-CN" w:bidi="ar"/>
                    </w:rPr>
                    <w:t>4</w:t>
                  </w:r>
                  <w:r w:rsidRPr="00230008">
                    <w:rPr>
                      <w:rFonts w:eastAsia="宋体"/>
                      <w:color w:val="000000"/>
                      <w:sz w:val="16"/>
                      <w:szCs w:val="16"/>
                      <w:lang w:eastAsia="zh-CN" w:bidi="ar"/>
                    </w:rPr>
                    <w:t>）</w:t>
                  </w:r>
                  <w:r w:rsidRPr="00230008">
                    <w:rPr>
                      <w:rFonts w:eastAsia="宋体"/>
                      <w:color w:val="000000"/>
                      <w:sz w:val="16"/>
                      <w:szCs w:val="16"/>
                      <w:lang w:eastAsia="zh-CN" w:bidi="ar"/>
                    </w:rPr>
                    <w:t>4</w:t>
                  </w:r>
                  <w:r w:rsidRPr="00230008">
                    <w:rPr>
                      <w:rFonts w:eastAsia="宋体"/>
                      <w:color w:val="000000"/>
                      <w:sz w:val="16"/>
                      <w:szCs w:val="16"/>
                      <w:lang w:eastAsia="zh-CN" w:bidi="ar"/>
                    </w:rPr>
                    <w:t>月</w:t>
                  </w:r>
                  <w:r w:rsidRPr="00230008">
                    <w:rPr>
                      <w:rFonts w:eastAsia="宋体"/>
                      <w:color w:val="000000"/>
                      <w:sz w:val="16"/>
                      <w:szCs w:val="16"/>
                      <w:lang w:eastAsia="zh-CN" w:bidi="ar"/>
                    </w:rPr>
                    <w:t>9</w:t>
                  </w:r>
                  <w:r w:rsidRPr="00230008">
                    <w:rPr>
                      <w:rFonts w:eastAsia="宋体"/>
                      <w:color w:val="000000"/>
                      <w:sz w:val="16"/>
                      <w:szCs w:val="16"/>
                      <w:lang w:eastAsia="zh-CN" w:bidi="ar"/>
                    </w:rPr>
                    <w:t>日</w:t>
                  </w:r>
                  <w:r w:rsidRPr="00230008">
                    <w:rPr>
                      <w:rFonts w:eastAsia="宋体"/>
                      <w:color w:val="000000"/>
                      <w:sz w:val="16"/>
                      <w:szCs w:val="16"/>
                      <w:lang w:eastAsia="zh-CN" w:bidi="ar"/>
                    </w:rPr>
                    <w:t>-11</w:t>
                  </w:r>
                  <w:r w:rsidRPr="00230008">
                    <w:rPr>
                      <w:rFonts w:eastAsia="宋体"/>
                      <w:color w:val="000000"/>
                      <w:sz w:val="16"/>
                      <w:szCs w:val="16"/>
                      <w:lang w:eastAsia="zh-CN" w:bidi="ar"/>
                    </w:rPr>
                    <w:t>日，宣布对原产于美国的所有进口商品的加征关税税率由</w:t>
                  </w:r>
                  <w:r w:rsidRPr="00230008">
                    <w:rPr>
                      <w:rFonts w:eastAsia="宋体"/>
                      <w:color w:val="000000"/>
                      <w:sz w:val="16"/>
                      <w:szCs w:val="16"/>
                      <w:lang w:eastAsia="zh-CN" w:bidi="ar"/>
                    </w:rPr>
                    <w:t>34%</w:t>
                  </w:r>
                  <w:r w:rsidRPr="00230008">
                    <w:rPr>
                      <w:rFonts w:eastAsia="宋体"/>
                      <w:color w:val="000000"/>
                      <w:sz w:val="16"/>
                      <w:szCs w:val="16"/>
                      <w:lang w:eastAsia="zh-CN" w:bidi="ar"/>
                    </w:rPr>
                    <w:t>先后提高至</w:t>
                  </w:r>
                  <w:r w:rsidRPr="00230008">
                    <w:rPr>
                      <w:rFonts w:eastAsia="宋体"/>
                      <w:color w:val="000000"/>
                      <w:sz w:val="16"/>
                      <w:szCs w:val="16"/>
                      <w:lang w:eastAsia="zh-CN" w:bidi="ar"/>
                    </w:rPr>
                    <w:t>84%</w:t>
                  </w:r>
                  <w:r w:rsidRPr="00230008">
                    <w:rPr>
                      <w:rFonts w:eastAsia="宋体"/>
                      <w:color w:val="000000"/>
                      <w:sz w:val="16"/>
                      <w:szCs w:val="16"/>
                      <w:lang w:eastAsia="zh-CN" w:bidi="ar"/>
                    </w:rPr>
                    <w:t>、</w:t>
                  </w:r>
                  <w:r w:rsidRPr="00230008">
                    <w:rPr>
                      <w:rFonts w:eastAsia="宋体"/>
                      <w:color w:val="000000"/>
                      <w:sz w:val="16"/>
                      <w:szCs w:val="16"/>
                      <w:lang w:eastAsia="zh-CN" w:bidi="ar"/>
                    </w:rPr>
                    <w:t>125%</w:t>
                  </w:r>
                  <w:r w:rsidRPr="00230008">
                    <w:rPr>
                      <w:rFonts w:eastAsia="宋体"/>
                      <w:color w:val="000000"/>
                      <w:sz w:val="16"/>
                      <w:szCs w:val="16"/>
                      <w:lang w:eastAsia="zh-CN" w:bidi="ar"/>
                    </w:rPr>
                    <w:t>。并表示，如果美方后续对中国输美商品继续加征关税，中方将不予理会。</w:t>
                  </w:r>
                </w:p>
              </w:tc>
            </w:tr>
            <w:tr w:rsidR="00230008" w:rsidRPr="00230008" w14:paraId="4B42EA35" w14:textId="77777777" w:rsidTr="00230008">
              <w:trPr>
                <w:trHeight w:val="2016"/>
                <w:jc w:val="center"/>
              </w:trPr>
              <w:tc>
                <w:tcPr>
                  <w:tcW w:w="813" w:type="dxa"/>
                  <w:vMerge w:val="restart"/>
                  <w:tcBorders>
                    <w:top w:val="nil"/>
                    <w:left w:val="nil"/>
                    <w:bottom w:val="single" w:sz="4" w:space="0" w:color="auto"/>
                    <w:right w:val="single" w:sz="4" w:space="0" w:color="auto"/>
                  </w:tcBorders>
                  <w:shd w:val="clear" w:color="000000" w:fill="FFFFFF"/>
                  <w:vAlign w:val="center"/>
                </w:tcPr>
                <w:p w14:paraId="27A87196" w14:textId="77777777" w:rsidR="00230008" w:rsidRPr="00230008" w:rsidRDefault="00230008" w:rsidP="00230008">
                  <w:pPr>
                    <w:spacing w:line="240" w:lineRule="auto"/>
                    <w:ind w:firstLineChars="0" w:firstLine="0"/>
                    <w:textAlignment w:val="center"/>
                    <w:rPr>
                      <w:rFonts w:eastAsia="宋体"/>
                      <w:color w:val="000000"/>
                      <w:sz w:val="16"/>
                      <w:szCs w:val="16"/>
                      <w:lang w:eastAsia="zh-CN" w:bidi="ar-SA"/>
                    </w:rPr>
                  </w:pPr>
                  <w:r w:rsidRPr="00230008">
                    <w:rPr>
                      <w:rFonts w:eastAsia="宋体"/>
                      <w:b/>
                      <w:bCs/>
                      <w:color w:val="000000"/>
                      <w:sz w:val="16"/>
                      <w:szCs w:val="16"/>
                      <w:lang w:eastAsia="zh-CN" w:bidi="ar"/>
                    </w:rPr>
                    <w:t>加拿大</w:t>
                  </w:r>
                  <w:r w:rsidRPr="00230008">
                    <w:rPr>
                      <w:rFonts w:eastAsia="宋体"/>
                      <w:b/>
                      <w:bCs/>
                      <w:color w:val="000000"/>
                      <w:sz w:val="16"/>
                      <w:szCs w:val="16"/>
                      <w:lang w:eastAsia="zh-CN" w:bidi="ar"/>
                    </w:rPr>
                    <w:t>/</w:t>
                  </w:r>
                  <w:r w:rsidRPr="00230008">
                    <w:rPr>
                      <w:rFonts w:eastAsia="宋体"/>
                      <w:b/>
                      <w:bCs/>
                      <w:color w:val="000000"/>
                      <w:sz w:val="16"/>
                      <w:szCs w:val="16"/>
                      <w:lang w:eastAsia="zh-CN" w:bidi="ar"/>
                    </w:rPr>
                    <w:t>墨西哥</w:t>
                  </w:r>
                  <w:r w:rsidRPr="00230008">
                    <w:rPr>
                      <w:rFonts w:eastAsia="宋体"/>
                      <w:b/>
                      <w:bCs/>
                      <w:color w:val="000000"/>
                      <w:sz w:val="16"/>
                      <w:szCs w:val="16"/>
                      <w:lang w:eastAsia="zh-CN" w:bidi="ar"/>
                    </w:rPr>
                    <w:t>​</w:t>
                  </w:r>
                  <w:r w:rsidRPr="00230008">
                    <w:rPr>
                      <w:rFonts w:eastAsia="宋体"/>
                      <w:color w:val="000000"/>
                      <w:sz w:val="16"/>
                      <w:szCs w:val="16"/>
                      <w:lang w:eastAsia="zh-CN" w:bidi="ar"/>
                    </w:rPr>
                    <w:t>​</w:t>
                  </w:r>
                </w:p>
              </w:tc>
              <w:tc>
                <w:tcPr>
                  <w:tcW w:w="2954" w:type="dxa"/>
                  <w:vMerge w:val="restart"/>
                  <w:tcBorders>
                    <w:top w:val="nil"/>
                    <w:left w:val="single" w:sz="4" w:space="0" w:color="auto"/>
                    <w:bottom w:val="single" w:sz="4" w:space="0" w:color="auto"/>
                    <w:right w:val="single" w:sz="4" w:space="0" w:color="auto"/>
                  </w:tcBorders>
                  <w:shd w:val="clear" w:color="000000" w:fill="FFFFFF"/>
                  <w:vAlign w:val="center"/>
                </w:tcPr>
                <w:p w14:paraId="041A5B44" w14:textId="77777777" w:rsidR="00230008" w:rsidRPr="00230008" w:rsidRDefault="00230008" w:rsidP="00230008">
                  <w:pPr>
                    <w:ind w:firstLineChars="0" w:firstLine="0"/>
                    <w:textAlignment w:val="center"/>
                    <w:rPr>
                      <w:rFonts w:eastAsia="宋体"/>
                      <w:color w:val="000000"/>
                      <w:sz w:val="16"/>
                      <w:szCs w:val="16"/>
                      <w:lang w:eastAsia="zh-CN" w:bidi="ar-SA"/>
                    </w:rPr>
                  </w:pPr>
                  <w:r w:rsidRPr="00230008">
                    <w:rPr>
                      <w:rFonts w:eastAsia="宋体" w:hint="eastAsia"/>
                      <w:color w:val="000000"/>
                      <w:kern w:val="0"/>
                      <w:sz w:val="16"/>
                      <w:szCs w:val="16"/>
                      <w:lang w:eastAsia="zh-CN" w:bidi="ar"/>
                    </w:rPr>
                    <w:t>（</w:t>
                  </w:r>
                  <w:r w:rsidRPr="00230008">
                    <w:rPr>
                      <w:rFonts w:eastAsia="宋体" w:hint="eastAsia"/>
                      <w:color w:val="000000"/>
                      <w:kern w:val="0"/>
                      <w:sz w:val="16"/>
                      <w:szCs w:val="16"/>
                      <w:lang w:eastAsia="zh-CN" w:bidi="ar"/>
                    </w:rPr>
                    <w:t>1</w:t>
                  </w:r>
                  <w:r w:rsidRPr="00230008">
                    <w:rPr>
                      <w:rFonts w:eastAsia="宋体" w:hint="eastAsia"/>
                      <w:color w:val="000000"/>
                      <w:kern w:val="0"/>
                      <w:sz w:val="16"/>
                      <w:szCs w:val="16"/>
                      <w:lang w:eastAsia="zh-CN" w:bidi="ar"/>
                    </w:rPr>
                    <w:t>）</w:t>
                  </w:r>
                  <w:r w:rsidRPr="00230008">
                    <w:rPr>
                      <w:rFonts w:eastAsia="宋体"/>
                      <w:color w:val="000000"/>
                      <w:sz w:val="16"/>
                      <w:szCs w:val="16"/>
                      <w:lang w:eastAsia="zh-CN" w:bidi="ar"/>
                    </w:rPr>
                    <w:t>3</w:t>
                  </w:r>
                  <w:r w:rsidRPr="00230008">
                    <w:rPr>
                      <w:rFonts w:eastAsia="宋体"/>
                      <w:color w:val="000000"/>
                      <w:sz w:val="16"/>
                      <w:szCs w:val="16"/>
                      <w:lang w:eastAsia="zh-CN" w:bidi="ar"/>
                    </w:rPr>
                    <w:t>月</w:t>
                  </w:r>
                  <w:r w:rsidRPr="00230008">
                    <w:rPr>
                      <w:rFonts w:eastAsia="宋体"/>
                      <w:color w:val="000000"/>
                      <w:sz w:val="16"/>
                      <w:szCs w:val="16"/>
                      <w:lang w:eastAsia="zh-CN" w:bidi="ar"/>
                    </w:rPr>
                    <w:t>4</w:t>
                  </w:r>
                  <w:r w:rsidRPr="00230008">
                    <w:rPr>
                      <w:rFonts w:eastAsia="宋体"/>
                      <w:color w:val="000000"/>
                      <w:sz w:val="16"/>
                      <w:szCs w:val="16"/>
                      <w:lang w:eastAsia="zh-CN" w:bidi="ar"/>
                    </w:rPr>
                    <w:t>日，美国正式对墨西哥、加拿大输美商品加征</w:t>
                  </w:r>
                  <w:r w:rsidRPr="00230008">
                    <w:rPr>
                      <w:rFonts w:eastAsia="宋体"/>
                      <w:color w:val="000000"/>
                      <w:sz w:val="16"/>
                      <w:szCs w:val="16"/>
                      <w:lang w:eastAsia="zh-CN" w:bidi="ar"/>
                    </w:rPr>
                    <w:t>25%</w:t>
                  </w:r>
                  <w:r w:rsidRPr="00230008">
                    <w:rPr>
                      <w:rFonts w:eastAsia="宋体"/>
                      <w:color w:val="000000"/>
                      <w:sz w:val="16"/>
                      <w:szCs w:val="16"/>
                      <w:lang w:eastAsia="zh-CN" w:bidi="ar"/>
                    </w:rPr>
                    <w:t>关税，涵盖两国几乎所有商品，仅加拿大原油、天然气等能源产品适用</w:t>
                  </w:r>
                  <w:r w:rsidRPr="00230008">
                    <w:rPr>
                      <w:rFonts w:eastAsia="宋体"/>
                      <w:color w:val="000000"/>
                      <w:sz w:val="16"/>
                      <w:szCs w:val="16"/>
                      <w:lang w:eastAsia="zh-CN" w:bidi="ar"/>
                    </w:rPr>
                    <w:t>10%</w:t>
                  </w:r>
                  <w:r w:rsidRPr="00230008">
                    <w:rPr>
                      <w:rFonts w:eastAsia="宋体"/>
                      <w:color w:val="000000"/>
                      <w:sz w:val="16"/>
                      <w:szCs w:val="16"/>
                      <w:lang w:eastAsia="zh-CN" w:bidi="ar"/>
                    </w:rPr>
                    <w:t>税率</w:t>
                  </w:r>
                  <w:r w:rsidRPr="00230008">
                    <w:rPr>
                      <w:rFonts w:eastAsia="宋体"/>
                      <w:color w:val="000000"/>
                      <w:sz w:val="16"/>
                      <w:szCs w:val="16"/>
                      <w:lang w:eastAsia="zh-CN" w:bidi="ar"/>
                    </w:rPr>
                    <w:t>‌</w:t>
                  </w:r>
                  <w:r w:rsidRPr="00230008">
                    <w:rPr>
                      <w:rFonts w:eastAsia="宋体"/>
                      <w:color w:val="000000"/>
                      <w:sz w:val="16"/>
                      <w:szCs w:val="16"/>
                      <w:lang w:eastAsia="zh-CN" w:bidi="ar"/>
                    </w:rPr>
                    <w:t>。（</w:t>
                  </w:r>
                  <w:r w:rsidRPr="00230008">
                    <w:rPr>
                      <w:rFonts w:eastAsia="宋体"/>
                      <w:color w:val="000000"/>
                      <w:sz w:val="16"/>
                      <w:szCs w:val="16"/>
                      <w:lang w:eastAsia="zh-CN" w:bidi="ar"/>
                    </w:rPr>
                    <w:t>2</w:t>
                  </w:r>
                  <w:r w:rsidRPr="00230008">
                    <w:rPr>
                      <w:rFonts w:eastAsia="宋体"/>
                      <w:color w:val="000000"/>
                      <w:sz w:val="16"/>
                      <w:szCs w:val="16"/>
                      <w:lang w:eastAsia="zh-CN" w:bidi="ar"/>
                    </w:rPr>
                    <w:t>）</w:t>
                  </w:r>
                  <w:r w:rsidRPr="00230008">
                    <w:rPr>
                      <w:rFonts w:eastAsia="宋体"/>
                      <w:color w:val="000000"/>
                      <w:sz w:val="16"/>
                      <w:szCs w:val="16"/>
                      <w:lang w:eastAsia="zh-CN" w:bidi="ar"/>
                    </w:rPr>
                    <w:t>3</w:t>
                  </w:r>
                  <w:r w:rsidRPr="00230008">
                    <w:rPr>
                      <w:rFonts w:eastAsia="宋体"/>
                      <w:color w:val="000000"/>
                      <w:sz w:val="16"/>
                      <w:szCs w:val="16"/>
                      <w:lang w:eastAsia="zh-CN" w:bidi="ar"/>
                    </w:rPr>
                    <w:t>月</w:t>
                  </w:r>
                  <w:r w:rsidRPr="00230008">
                    <w:rPr>
                      <w:rFonts w:eastAsia="宋体"/>
                      <w:color w:val="000000"/>
                      <w:sz w:val="16"/>
                      <w:szCs w:val="16"/>
                      <w:lang w:eastAsia="zh-CN" w:bidi="ar"/>
                    </w:rPr>
                    <w:t>6</w:t>
                  </w:r>
                  <w:r w:rsidRPr="00230008">
                    <w:rPr>
                      <w:rFonts w:eastAsia="宋体"/>
                      <w:color w:val="000000"/>
                      <w:sz w:val="16"/>
                      <w:szCs w:val="16"/>
                      <w:lang w:eastAsia="zh-CN" w:bidi="ar"/>
                    </w:rPr>
                    <w:t>日，美国总统特朗普签署对墨西哥和加拿大关税的修正案，使符合</w:t>
                  </w:r>
                  <w:r w:rsidRPr="00230008">
                    <w:rPr>
                      <w:rFonts w:eastAsia="宋体"/>
                      <w:color w:val="000000"/>
                      <w:sz w:val="16"/>
                      <w:szCs w:val="16"/>
                      <w:lang w:eastAsia="zh-CN" w:bidi="ar"/>
                    </w:rPr>
                    <w:t>“</w:t>
                  </w:r>
                  <w:r w:rsidRPr="00230008">
                    <w:rPr>
                      <w:rFonts w:eastAsia="宋体"/>
                      <w:color w:val="000000"/>
                      <w:sz w:val="16"/>
                      <w:szCs w:val="16"/>
                      <w:lang w:eastAsia="zh-CN" w:bidi="ar"/>
                    </w:rPr>
                    <w:t>美国</w:t>
                  </w:r>
                  <w:r w:rsidRPr="00230008">
                    <w:rPr>
                      <w:rFonts w:eastAsia="宋体"/>
                      <w:color w:val="000000"/>
                      <w:sz w:val="16"/>
                      <w:szCs w:val="16"/>
                      <w:lang w:eastAsia="zh-CN" w:bidi="ar"/>
                    </w:rPr>
                    <w:t>-</w:t>
                  </w:r>
                  <w:r w:rsidRPr="00230008">
                    <w:rPr>
                      <w:rFonts w:eastAsia="宋体"/>
                      <w:color w:val="000000"/>
                      <w:sz w:val="16"/>
                      <w:szCs w:val="16"/>
                      <w:lang w:eastAsia="zh-CN" w:bidi="ar"/>
                    </w:rPr>
                    <w:t>墨西哥</w:t>
                  </w:r>
                  <w:r w:rsidRPr="00230008">
                    <w:rPr>
                      <w:rFonts w:eastAsia="宋体"/>
                      <w:color w:val="000000"/>
                      <w:sz w:val="16"/>
                      <w:szCs w:val="16"/>
                      <w:lang w:eastAsia="zh-CN" w:bidi="ar"/>
                    </w:rPr>
                    <w:t>-</w:t>
                  </w:r>
                  <w:r w:rsidRPr="00230008">
                    <w:rPr>
                      <w:rFonts w:eastAsia="宋体"/>
                      <w:color w:val="000000"/>
                      <w:sz w:val="16"/>
                      <w:szCs w:val="16"/>
                      <w:lang w:eastAsia="zh-CN" w:bidi="ar"/>
                    </w:rPr>
                    <w:t>加拿大协定</w:t>
                  </w:r>
                  <w:r w:rsidRPr="00230008">
                    <w:rPr>
                      <w:rFonts w:eastAsia="宋体"/>
                      <w:color w:val="000000"/>
                      <w:sz w:val="16"/>
                      <w:szCs w:val="16"/>
                      <w:lang w:eastAsia="zh-CN" w:bidi="ar"/>
                    </w:rPr>
                    <w:t>”</w:t>
                  </w:r>
                  <w:r w:rsidRPr="00230008">
                    <w:rPr>
                      <w:rFonts w:eastAsia="宋体"/>
                      <w:color w:val="000000"/>
                      <w:sz w:val="16"/>
                      <w:szCs w:val="16"/>
                      <w:lang w:eastAsia="zh-CN" w:bidi="ar"/>
                    </w:rPr>
                    <w:t>的产品免征关税，直至</w:t>
                  </w:r>
                  <w:r w:rsidRPr="00230008">
                    <w:rPr>
                      <w:rFonts w:eastAsia="宋体"/>
                      <w:color w:val="000000"/>
                      <w:sz w:val="16"/>
                      <w:szCs w:val="16"/>
                      <w:lang w:eastAsia="zh-CN" w:bidi="ar"/>
                    </w:rPr>
                    <w:t>4</w:t>
                  </w:r>
                  <w:r w:rsidRPr="00230008">
                    <w:rPr>
                      <w:rFonts w:eastAsia="宋体"/>
                      <w:color w:val="000000"/>
                      <w:sz w:val="16"/>
                      <w:szCs w:val="16"/>
                      <w:lang w:eastAsia="zh-CN" w:bidi="ar"/>
                    </w:rPr>
                    <w:t>月</w:t>
                  </w:r>
                  <w:r w:rsidRPr="00230008">
                    <w:rPr>
                      <w:rFonts w:eastAsia="宋体"/>
                      <w:color w:val="000000"/>
                      <w:sz w:val="16"/>
                      <w:szCs w:val="16"/>
                      <w:lang w:eastAsia="zh-CN" w:bidi="ar"/>
                    </w:rPr>
                    <w:t>2</w:t>
                  </w:r>
                  <w:r w:rsidRPr="00230008">
                    <w:rPr>
                      <w:rFonts w:eastAsia="宋体"/>
                      <w:color w:val="000000"/>
                      <w:sz w:val="16"/>
                      <w:szCs w:val="16"/>
                      <w:lang w:eastAsia="zh-CN" w:bidi="ar"/>
                    </w:rPr>
                    <w:t>日。（</w:t>
                  </w:r>
                  <w:r w:rsidRPr="00230008">
                    <w:rPr>
                      <w:rFonts w:eastAsia="宋体"/>
                      <w:color w:val="000000"/>
                      <w:sz w:val="16"/>
                      <w:szCs w:val="16"/>
                      <w:lang w:eastAsia="zh-CN" w:bidi="ar"/>
                    </w:rPr>
                    <w:t>3</w:t>
                  </w:r>
                  <w:r w:rsidRPr="00230008">
                    <w:rPr>
                      <w:rFonts w:eastAsia="宋体"/>
                      <w:color w:val="000000"/>
                      <w:sz w:val="16"/>
                      <w:szCs w:val="16"/>
                      <w:lang w:eastAsia="zh-CN" w:bidi="ar"/>
                    </w:rPr>
                    <w:t>）</w:t>
                  </w:r>
                  <w:r w:rsidRPr="00230008">
                    <w:rPr>
                      <w:rFonts w:eastAsia="宋体"/>
                      <w:color w:val="000000"/>
                      <w:sz w:val="16"/>
                      <w:szCs w:val="16"/>
                      <w:lang w:eastAsia="zh-CN" w:bidi="ar"/>
                    </w:rPr>
                    <w:t>4</w:t>
                  </w:r>
                  <w:r w:rsidRPr="00230008">
                    <w:rPr>
                      <w:rFonts w:eastAsia="宋体"/>
                      <w:color w:val="000000"/>
                      <w:sz w:val="16"/>
                      <w:szCs w:val="16"/>
                      <w:lang w:eastAsia="zh-CN" w:bidi="ar"/>
                    </w:rPr>
                    <w:t>月</w:t>
                  </w:r>
                  <w:r w:rsidRPr="00230008">
                    <w:rPr>
                      <w:rFonts w:eastAsia="宋体"/>
                      <w:color w:val="000000"/>
                      <w:sz w:val="16"/>
                      <w:szCs w:val="16"/>
                      <w:lang w:eastAsia="zh-CN" w:bidi="ar"/>
                    </w:rPr>
                    <w:t>2</w:t>
                  </w:r>
                  <w:r w:rsidRPr="00230008">
                    <w:rPr>
                      <w:rFonts w:eastAsia="宋体"/>
                      <w:color w:val="000000"/>
                      <w:sz w:val="16"/>
                      <w:szCs w:val="16"/>
                      <w:lang w:eastAsia="zh-CN" w:bidi="ar"/>
                    </w:rPr>
                    <w:t>日，重申所有根据《美国</w:t>
                  </w:r>
                  <w:r w:rsidRPr="00230008">
                    <w:rPr>
                      <w:rFonts w:eastAsia="宋体"/>
                      <w:color w:val="000000"/>
                      <w:sz w:val="16"/>
                      <w:szCs w:val="16"/>
                      <w:lang w:eastAsia="zh-CN" w:bidi="ar"/>
                    </w:rPr>
                    <w:t>-</w:t>
                  </w:r>
                  <w:r w:rsidRPr="00230008">
                    <w:rPr>
                      <w:rFonts w:eastAsia="宋体"/>
                      <w:color w:val="000000"/>
                      <w:sz w:val="16"/>
                      <w:szCs w:val="16"/>
                      <w:lang w:eastAsia="zh-CN" w:bidi="ar"/>
                    </w:rPr>
                    <w:t>墨西哥</w:t>
                  </w:r>
                  <w:r w:rsidRPr="00230008">
                    <w:rPr>
                      <w:rFonts w:eastAsia="宋体"/>
                      <w:color w:val="000000"/>
                      <w:sz w:val="16"/>
                      <w:szCs w:val="16"/>
                      <w:lang w:eastAsia="zh-CN" w:bidi="ar"/>
                    </w:rPr>
                    <w:t>-</w:t>
                  </w:r>
                  <w:r w:rsidRPr="00230008">
                    <w:rPr>
                      <w:rFonts w:eastAsia="宋体"/>
                      <w:color w:val="000000"/>
                      <w:sz w:val="16"/>
                      <w:szCs w:val="16"/>
                      <w:lang w:eastAsia="zh-CN" w:bidi="ar"/>
                    </w:rPr>
                    <w:t>加拿大协定》（</w:t>
                  </w:r>
                  <w:r w:rsidRPr="00230008">
                    <w:rPr>
                      <w:rFonts w:eastAsia="宋体"/>
                      <w:color w:val="000000"/>
                      <w:sz w:val="16"/>
                      <w:szCs w:val="16"/>
                      <w:lang w:eastAsia="zh-CN" w:bidi="ar"/>
                    </w:rPr>
                    <w:t>USMCA</w:t>
                  </w:r>
                  <w:r w:rsidRPr="00230008">
                    <w:rPr>
                      <w:rFonts w:eastAsia="宋体"/>
                      <w:color w:val="000000"/>
                      <w:sz w:val="16"/>
                      <w:szCs w:val="16"/>
                      <w:lang w:eastAsia="zh-CN" w:bidi="ar"/>
                    </w:rPr>
                    <w:t>）在《美国协调关税表》一般说明第</w:t>
                  </w:r>
                  <w:r w:rsidRPr="00230008">
                    <w:rPr>
                      <w:rFonts w:eastAsia="宋体"/>
                      <w:color w:val="000000"/>
                      <w:sz w:val="16"/>
                      <w:szCs w:val="16"/>
                      <w:lang w:eastAsia="zh-CN" w:bidi="ar"/>
                    </w:rPr>
                    <w:t>11</w:t>
                  </w:r>
                  <w:r w:rsidRPr="00230008">
                    <w:rPr>
                      <w:rFonts w:eastAsia="宋体"/>
                      <w:color w:val="000000"/>
                      <w:sz w:val="16"/>
                      <w:szCs w:val="16"/>
                      <w:lang w:eastAsia="zh-CN" w:bidi="ar"/>
                    </w:rPr>
                    <w:t>项项下享有优惠待遇的加拿大或墨西哥商品，仍可在现行优惠条件下进入美国市场。然而，未能满足</w:t>
                  </w:r>
                  <w:r w:rsidRPr="00230008">
                    <w:rPr>
                      <w:rFonts w:eastAsia="宋体"/>
                      <w:color w:val="000000"/>
                      <w:sz w:val="16"/>
                      <w:szCs w:val="16"/>
                      <w:lang w:eastAsia="zh-CN" w:bidi="ar"/>
                    </w:rPr>
                    <w:t>USMCA</w:t>
                  </w:r>
                  <w:r w:rsidRPr="00230008">
                    <w:rPr>
                      <w:rFonts w:eastAsia="宋体"/>
                      <w:color w:val="000000"/>
                      <w:sz w:val="16"/>
                      <w:szCs w:val="16"/>
                      <w:lang w:eastAsia="zh-CN" w:bidi="ar"/>
                    </w:rPr>
                    <w:t>原产资格的所有加拿大或墨西哥商品，目前需缴纳</w:t>
                  </w:r>
                  <w:r w:rsidRPr="00230008">
                    <w:rPr>
                      <w:rFonts w:eastAsia="宋体"/>
                      <w:color w:val="000000"/>
                      <w:sz w:val="16"/>
                      <w:szCs w:val="16"/>
                      <w:lang w:eastAsia="zh-CN" w:bidi="ar"/>
                    </w:rPr>
                    <w:t>25%</w:t>
                  </w:r>
                  <w:r w:rsidRPr="00230008">
                    <w:rPr>
                      <w:rFonts w:eastAsia="宋体"/>
                      <w:color w:val="000000"/>
                      <w:sz w:val="16"/>
                      <w:szCs w:val="16"/>
                      <w:lang w:eastAsia="zh-CN" w:bidi="ar"/>
                    </w:rPr>
                    <w:t>的从价附加关税；而来自加拿大、未满足</w:t>
                  </w:r>
                  <w:r w:rsidRPr="00230008">
                    <w:rPr>
                      <w:rFonts w:eastAsia="宋体"/>
                      <w:color w:val="000000"/>
                      <w:sz w:val="16"/>
                      <w:szCs w:val="16"/>
                      <w:lang w:eastAsia="zh-CN" w:bidi="ar"/>
                    </w:rPr>
                    <w:t>USMCA</w:t>
                  </w:r>
                  <w:r w:rsidRPr="00230008">
                    <w:rPr>
                      <w:rFonts w:eastAsia="宋体"/>
                      <w:color w:val="000000"/>
                      <w:sz w:val="16"/>
                      <w:szCs w:val="16"/>
                      <w:lang w:eastAsia="zh-CN" w:bidi="ar"/>
                    </w:rPr>
                    <w:t>原产资格的能源或能源资源及钾肥（</w:t>
                  </w:r>
                  <w:r w:rsidRPr="00230008">
                    <w:rPr>
                      <w:rFonts w:eastAsia="宋体"/>
                      <w:color w:val="000000"/>
                      <w:sz w:val="16"/>
                      <w:szCs w:val="16"/>
                      <w:lang w:eastAsia="zh-CN" w:bidi="ar"/>
                    </w:rPr>
                    <w:t>potash</w:t>
                  </w:r>
                  <w:r w:rsidRPr="00230008">
                    <w:rPr>
                      <w:rFonts w:eastAsia="宋体"/>
                      <w:color w:val="000000"/>
                      <w:sz w:val="16"/>
                      <w:szCs w:val="16"/>
                      <w:lang w:eastAsia="zh-CN" w:bidi="ar"/>
                    </w:rPr>
                    <w:t>），目前适用较低的</w:t>
                  </w:r>
                  <w:r w:rsidRPr="00230008">
                    <w:rPr>
                      <w:rFonts w:eastAsia="宋体"/>
                      <w:color w:val="000000"/>
                      <w:sz w:val="16"/>
                      <w:szCs w:val="16"/>
                      <w:lang w:eastAsia="zh-CN" w:bidi="ar"/>
                    </w:rPr>
                    <w:t>10%</w:t>
                  </w:r>
                  <w:r w:rsidRPr="00230008">
                    <w:rPr>
                      <w:rFonts w:eastAsia="宋体"/>
                      <w:color w:val="000000"/>
                      <w:sz w:val="16"/>
                      <w:szCs w:val="16"/>
                      <w:lang w:eastAsia="zh-CN" w:bidi="ar"/>
                    </w:rPr>
                    <w:t>从价附加关税。</w:t>
                  </w:r>
                </w:p>
              </w:tc>
              <w:tc>
                <w:tcPr>
                  <w:tcW w:w="2288" w:type="dxa"/>
                  <w:vMerge/>
                  <w:tcBorders>
                    <w:top w:val="nil"/>
                    <w:left w:val="single" w:sz="4" w:space="0" w:color="auto"/>
                    <w:bottom w:val="single" w:sz="4" w:space="0" w:color="auto"/>
                    <w:right w:val="single" w:sz="4" w:space="0" w:color="auto"/>
                  </w:tcBorders>
                  <w:shd w:val="clear" w:color="000000" w:fill="FFFFFF"/>
                  <w:vAlign w:val="center"/>
                </w:tcPr>
                <w:p w14:paraId="022BF608" w14:textId="77777777" w:rsidR="00230008" w:rsidRPr="00230008" w:rsidRDefault="00230008" w:rsidP="00230008">
                  <w:pPr>
                    <w:ind w:firstLineChars="0" w:firstLine="0"/>
                    <w:jc w:val="center"/>
                    <w:rPr>
                      <w:rFonts w:eastAsia="宋体"/>
                      <w:color w:val="000000"/>
                      <w:sz w:val="16"/>
                      <w:szCs w:val="16"/>
                      <w:lang w:eastAsia="zh-CN" w:bidi="ar-SA"/>
                    </w:rPr>
                  </w:pPr>
                </w:p>
              </w:tc>
              <w:tc>
                <w:tcPr>
                  <w:tcW w:w="3478" w:type="dxa"/>
                  <w:vMerge w:val="restart"/>
                  <w:tcBorders>
                    <w:top w:val="nil"/>
                    <w:left w:val="single" w:sz="4" w:space="0" w:color="auto"/>
                    <w:bottom w:val="single" w:sz="4" w:space="0" w:color="auto"/>
                    <w:right w:val="nil"/>
                  </w:tcBorders>
                  <w:shd w:val="clear" w:color="000000" w:fill="FFFFFF"/>
                  <w:vAlign w:val="center"/>
                </w:tcPr>
                <w:p w14:paraId="6B8A3877" w14:textId="77777777" w:rsidR="00230008" w:rsidRPr="00230008" w:rsidRDefault="00230008" w:rsidP="00230008">
                  <w:pPr>
                    <w:ind w:firstLineChars="0" w:firstLine="0"/>
                    <w:textAlignment w:val="center"/>
                    <w:rPr>
                      <w:rFonts w:eastAsia="宋体"/>
                      <w:color w:val="000000"/>
                      <w:sz w:val="16"/>
                      <w:szCs w:val="16"/>
                      <w:lang w:eastAsia="zh-CN" w:bidi="ar"/>
                    </w:rPr>
                  </w:pPr>
                  <w:r w:rsidRPr="00230008">
                    <w:rPr>
                      <w:rFonts w:eastAsia="宋体"/>
                      <w:color w:val="000000"/>
                      <w:sz w:val="16"/>
                      <w:szCs w:val="16"/>
                      <w:lang w:eastAsia="zh-CN" w:bidi="ar"/>
                    </w:rPr>
                    <w:t>（</w:t>
                  </w:r>
                  <w:r w:rsidRPr="00230008">
                    <w:rPr>
                      <w:rFonts w:eastAsia="宋体"/>
                      <w:color w:val="000000"/>
                      <w:sz w:val="16"/>
                      <w:szCs w:val="16"/>
                      <w:lang w:eastAsia="zh-CN" w:bidi="ar"/>
                    </w:rPr>
                    <w:t>1</w:t>
                  </w:r>
                  <w:r w:rsidRPr="00230008">
                    <w:rPr>
                      <w:rFonts w:eastAsia="宋体"/>
                      <w:color w:val="000000"/>
                      <w:sz w:val="16"/>
                      <w:szCs w:val="16"/>
                      <w:lang w:eastAsia="zh-CN" w:bidi="ar"/>
                    </w:rPr>
                    <w:t>）加拿大反制措施：</w:t>
                  </w:r>
                  <w:r w:rsidRPr="00230008">
                    <w:rPr>
                      <w:rFonts w:eastAsia="宋体"/>
                      <w:color w:val="000000"/>
                      <w:sz w:val="16"/>
                      <w:szCs w:val="16"/>
                      <w:lang w:eastAsia="zh-CN" w:bidi="ar"/>
                    </w:rPr>
                    <w:t>1</w:t>
                  </w:r>
                  <w:r w:rsidRPr="00230008">
                    <w:rPr>
                      <w:rFonts w:eastAsia="宋体"/>
                      <w:color w:val="000000"/>
                      <w:sz w:val="16"/>
                      <w:szCs w:val="16"/>
                      <w:lang w:eastAsia="zh-CN" w:bidi="ar"/>
                    </w:rPr>
                    <w:t>）</w:t>
                  </w:r>
                  <w:r w:rsidRPr="00230008">
                    <w:rPr>
                      <w:rFonts w:eastAsia="宋体"/>
                      <w:color w:val="000000"/>
                      <w:sz w:val="16"/>
                      <w:szCs w:val="16"/>
                      <w:lang w:eastAsia="zh-CN" w:bidi="ar"/>
                    </w:rPr>
                    <w:t>3</w:t>
                  </w:r>
                  <w:r w:rsidRPr="00230008">
                    <w:rPr>
                      <w:rFonts w:eastAsia="宋体"/>
                      <w:color w:val="000000"/>
                      <w:sz w:val="16"/>
                      <w:szCs w:val="16"/>
                      <w:lang w:eastAsia="zh-CN" w:bidi="ar"/>
                    </w:rPr>
                    <w:t>月</w:t>
                  </w:r>
                  <w:r w:rsidRPr="00230008">
                    <w:rPr>
                      <w:rFonts w:eastAsia="宋体"/>
                      <w:color w:val="000000"/>
                      <w:sz w:val="16"/>
                      <w:szCs w:val="16"/>
                      <w:lang w:eastAsia="zh-CN" w:bidi="ar"/>
                    </w:rPr>
                    <w:t>4</w:t>
                  </w:r>
                  <w:r w:rsidRPr="00230008">
                    <w:rPr>
                      <w:rFonts w:eastAsia="宋体"/>
                      <w:color w:val="000000"/>
                      <w:sz w:val="16"/>
                      <w:szCs w:val="16"/>
                      <w:lang w:eastAsia="zh-CN" w:bidi="ar"/>
                    </w:rPr>
                    <w:t>日生效，对价值</w:t>
                  </w:r>
                  <w:r w:rsidRPr="00230008">
                    <w:rPr>
                      <w:rFonts w:eastAsia="宋体"/>
                      <w:color w:val="000000"/>
                      <w:sz w:val="16"/>
                      <w:szCs w:val="16"/>
                      <w:lang w:eastAsia="zh-CN" w:bidi="ar"/>
                    </w:rPr>
                    <w:t>300</w:t>
                  </w:r>
                  <w:r w:rsidRPr="00230008">
                    <w:rPr>
                      <w:rFonts w:eastAsia="宋体"/>
                      <w:color w:val="000000"/>
                      <w:sz w:val="16"/>
                      <w:szCs w:val="16"/>
                      <w:lang w:eastAsia="zh-CN" w:bidi="ar"/>
                    </w:rPr>
                    <w:t>亿加元的美国商品加税，包括钢铁、铝制品、农产品等。</w:t>
                  </w:r>
                  <w:r w:rsidRPr="00230008">
                    <w:rPr>
                      <w:rFonts w:eastAsia="宋体"/>
                      <w:color w:val="000000"/>
                      <w:sz w:val="16"/>
                      <w:szCs w:val="16"/>
                      <w:lang w:eastAsia="zh-CN" w:bidi="ar"/>
                    </w:rPr>
                    <w:t>2</w:t>
                  </w:r>
                  <w:r w:rsidRPr="00230008">
                    <w:rPr>
                      <w:rFonts w:eastAsia="宋体"/>
                      <w:color w:val="000000"/>
                      <w:sz w:val="16"/>
                      <w:szCs w:val="16"/>
                      <w:lang w:eastAsia="zh-CN" w:bidi="ar"/>
                    </w:rPr>
                    <w:t>）自</w:t>
                  </w:r>
                  <w:r w:rsidRPr="00230008">
                    <w:rPr>
                      <w:rFonts w:eastAsia="宋体"/>
                      <w:color w:val="000000"/>
                      <w:sz w:val="16"/>
                      <w:szCs w:val="16"/>
                      <w:lang w:eastAsia="zh-CN" w:bidi="ar"/>
                    </w:rPr>
                    <w:t>3</w:t>
                  </w:r>
                  <w:r w:rsidRPr="00230008">
                    <w:rPr>
                      <w:rFonts w:eastAsia="宋体"/>
                      <w:color w:val="000000"/>
                      <w:sz w:val="16"/>
                      <w:szCs w:val="16"/>
                      <w:lang w:eastAsia="zh-CN" w:bidi="ar"/>
                    </w:rPr>
                    <w:t>月</w:t>
                  </w:r>
                  <w:r w:rsidRPr="00230008">
                    <w:rPr>
                      <w:rFonts w:eastAsia="宋体"/>
                      <w:color w:val="000000"/>
                      <w:sz w:val="16"/>
                      <w:szCs w:val="16"/>
                      <w:lang w:eastAsia="zh-CN" w:bidi="ar"/>
                    </w:rPr>
                    <w:t>13</w:t>
                  </w:r>
                  <w:r w:rsidRPr="00230008">
                    <w:rPr>
                      <w:rFonts w:eastAsia="宋体"/>
                      <w:color w:val="000000"/>
                      <w:sz w:val="16"/>
                      <w:szCs w:val="16"/>
                      <w:lang w:eastAsia="zh-CN" w:bidi="ar"/>
                    </w:rPr>
                    <w:t>日起对价值</w:t>
                  </w:r>
                  <w:r w:rsidRPr="00230008">
                    <w:rPr>
                      <w:rFonts w:eastAsia="宋体"/>
                      <w:color w:val="000000"/>
                      <w:sz w:val="16"/>
                      <w:szCs w:val="16"/>
                      <w:lang w:eastAsia="zh-CN" w:bidi="ar"/>
                    </w:rPr>
                    <w:t>298</w:t>
                  </w:r>
                  <w:r w:rsidRPr="00230008">
                    <w:rPr>
                      <w:rFonts w:eastAsia="宋体"/>
                      <w:color w:val="000000"/>
                      <w:sz w:val="16"/>
                      <w:szCs w:val="16"/>
                      <w:lang w:eastAsia="zh-CN" w:bidi="ar"/>
                    </w:rPr>
                    <w:t>亿加元的美国商品（钢铁产品、铝产品、计算机、运动器材及铸铁制品等）加征</w:t>
                  </w:r>
                  <w:r w:rsidRPr="00230008">
                    <w:rPr>
                      <w:rFonts w:eastAsia="宋体"/>
                      <w:color w:val="000000"/>
                      <w:sz w:val="16"/>
                      <w:szCs w:val="16"/>
                      <w:lang w:eastAsia="zh-CN" w:bidi="ar"/>
                    </w:rPr>
                    <w:t>25%</w:t>
                  </w:r>
                  <w:r w:rsidRPr="00230008">
                    <w:rPr>
                      <w:rFonts w:eastAsia="宋体"/>
                      <w:color w:val="000000"/>
                      <w:sz w:val="16"/>
                      <w:szCs w:val="16"/>
                      <w:lang w:eastAsia="zh-CN" w:bidi="ar"/>
                    </w:rPr>
                    <w:t>报复性关税。</w:t>
                  </w:r>
                  <w:r w:rsidRPr="00230008">
                    <w:rPr>
                      <w:rFonts w:eastAsia="宋体"/>
                      <w:color w:val="000000"/>
                      <w:sz w:val="16"/>
                      <w:szCs w:val="16"/>
                      <w:lang w:eastAsia="zh-CN" w:bidi="ar"/>
                    </w:rPr>
                    <w:t>3</w:t>
                  </w:r>
                  <w:r w:rsidRPr="00230008">
                    <w:rPr>
                      <w:rFonts w:eastAsia="宋体"/>
                      <w:color w:val="000000"/>
                      <w:sz w:val="16"/>
                      <w:szCs w:val="16"/>
                      <w:lang w:eastAsia="zh-CN" w:bidi="ar"/>
                    </w:rPr>
                    <w:t>）</w:t>
                  </w:r>
                  <w:r w:rsidRPr="00230008">
                    <w:rPr>
                      <w:rFonts w:eastAsia="宋体"/>
                      <w:color w:val="000000"/>
                      <w:sz w:val="16"/>
                      <w:szCs w:val="16"/>
                      <w:lang w:eastAsia="zh-CN" w:bidi="ar"/>
                    </w:rPr>
                    <w:t>4</w:t>
                  </w:r>
                  <w:r w:rsidRPr="00230008">
                    <w:rPr>
                      <w:rFonts w:eastAsia="宋体"/>
                      <w:color w:val="000000"/>
                      <w:sz w:val="16"/>
                      <w:szCs w:val="16"/>
                      <w:lang w:eastAsia="zh-CN" w:bidi="ar"/>
                    </w:rPr>
                    <w:t>月</w:t>
                  </w:r>
                  <w:r w:rsidRPr="00230008">
                    <w:rPr>
                      <w:rFonts w:eastAsia="宋体"/>
                      <w:color w:val="000000"/>
                      <w:sz w:val="16"/>
                      <w:szCs w:val="16"/>
                      <w:lang w:eastAsia="zh-CN" w:bidi="ar"/>
                    </w:rPr>
                    <w:t>3</w:t>
                  </w:r>
                  <w:r w:rsidRPr="00230008">
                    <w:rPr>
                      <w:rFonts w:eastAsia="宋体"/>
                      <w:color w:val="000000"/>
                      <w:sz w:val="16"/>
                      <w:szCs w:val="16"/>
                      <w:lang w:eastAsia="zh-CN" w:bidi="ar"/>
                    </w:rPr>
                    <w:t>日生效，对不符合</w:t>
                  </w:r>
                  <w:r w:rsidRPr="00230008">
                    <w:rPr>
                      <w:rFonts w:eastAsia="宋体"/>
                      <w:color w:val="000000"/>
                      <w:sz w:val="16"/>
                      <w:szCs w:val="16"/>
                      <w:lang w:eastAsia="zh-CN" w:bidi="ar"/>
                    </w:rPr>
                    <w:t>USMCA</w:t>
                  </w:r>
                  <w:r w:rsidRPr="00230008">
                    <w:rPr>
                      <w:rFonts w:eastAsia="宋体"/>
                      <w:color w:val="000000"/>
                      <w:sz w:val="16"/>
                      <w:szCs w:val="16"/>
                      <w:lang w:eastAsia="zh-CN" w:bidi="ar"/>
                    </w:rPr>
                    <w:t>原产地规则的美国汽车及零部件加征</w:t>
                  </w:r>
                  <w:r w:rsidRPr="00230008">
                    <w:rPr>
                      <w:rFonts w:eastAsia="宋体"/>
                      <w:color w:val="000000"/>
                      <w:sz w:val="16"/>
                      <w:szCs w:val="16"/>
                      <w:lang w:eastAsia="zh-CN" w:bidi="ar"/>
                    </w:rPr>
                    <w:t>25%</w:t>
                  </w:r>
                  <w:r w:rsidRPr="00230008">
                    <w:rPr>
                      <w:rFonts w:eastAsia="宋体"/>
                      <w:color w:val="000000"/>
                      <w:sz w:val="16"/>
                      <w:szCs w:val="16"/>
                      <w:lang w:eastAsia="zh-CN" w:bidi="ar"/>
                    </w:rPr>
                    <w:t>关税。对于汽车零部件，加拿大计划于</w:t>
                  </w:r>
                  <w:r w:rsidRPr="00230008">
                    <w:rPr>
                      <w:rFonts w:eastAsia="宋体"/>
                      <w:color w:val="000000"/>
                      <w:sz w:val="16"/>
                      <w:szCs w:val="16"/>
                      <w:lang w:eastAsia="zh-CN" w:bidi="ar"/>
                    </w:rPr>
                    <w:t>2025</w:t>
                  </w:r>
                  <w:r w:rsidRPr="00230008">
                    <w:rPr>
                      <w:rFonts w:eastAsia="宋体"/>
                      <w:color w:val="000000"/>
                      <w:sz w:val="16"/>
                      <w:szCs w:val="16"/>
                      <w:lang w:eastAsia="zh-CN" w:bidi="ar"/>
                    </w:rPr>
                    <w:t>年</w:t>
                  </w:r>
                  <w:r w:rsidRPr="00230008">
                    <w:rPr>
                      <w:rFonts w:eastAsia="宋体"/>
                      <w:color w:val="000000"/>
                      <w:sz w:val="16"/>
                      <w:szCs w:val="16"/>
                      <w:lang w:eastAsia="zh-CN" w:bidi="ar"/>
                    </w:rPr>
                    <w:t>5</w:t>
                  </w:r>
                  <w:r w:rsidRPr="00230008">
                    <w:rPr>
                      <w:rFonts w:eastAsia="宋体"/>
                      <w:color w:val="000000"/>
                      <w:sz w:val="16"/>
                      <w:szCs w:val="16"/>
                      <w:lang w:eastAsia="zh-CN" w:bidi="ar"/>
                    </w:rPr>
                    <w:t>月</w:t>
                  </w:r>
                  <w:r w:rsidRPr="00230008">
                    <w:rPr>
                      <w:rFonts w:eastAsia="宋体"/>
                      <w:color w:val="000000"/>
                      <w:sz w:val="16"/>
                      <w:szCs w:val="16"/>
                      <w:lang w:eastAsia="zh-CN" w:bidi="ar"/>
                    </w:rPr>
                    <w:t>3</w:t>
                  </w:r>
                  <w:r w:rsidRPr="00230008">
                    <w:rPr>
                      <w:rFonts w:eastAsia="宋体"/>
                      <w:color w:val="000000"/>
                      <w:sz w:val="16"/>
                      <w:szCs w:val="16"/>
                      <w:lang w:eastAsia="zh-CN" w:bidi="ar"/>
                    </w:rPr>
                    <w:t>日开始对不符合</w:t>
                  </w:r>
                  <w:r w:rsidRPr="00230008">
                    <w:rPr>
                      <w:rFonts w:eastAsia="宋体"/>
                      <w:color w:val="000000"/>
                      <w:sz w:val="16"/>
                      <w:szCs w:val="16"/>
                      <w:lang w:eastAsia="zh-CN" w:bidi="ar"/>
                    </w:rPr>
                    <w:t>USMCA</w:t>
                  </w:r>
                  <w:r w:rsidRPr="00230008">
                    <w:rPr>
                      <w:rFonts w:eastAsia="宋体"/>
                      <w:color w:val="000000"/>
                      <w:sz w:val="16"/>
                      <w:szCs w:val="16"/>
                      <w:lang w:eastAsia="zh-CN" w:bidi="ar"/>
                    </w:rPr>
                    <w:t>原产地规则的美国零部件征收</w:t>
                  </w:r>
                  <w:r w:rsidRPr="00230008">
                    <w:rPr>
                      <w:rFonts w:eastAsia="宋体"/>
                      <w:color w:val="000000"/>
                      <w:sz w:val="16"/>
                      <w:szCs w:val="16"/>
                      <w:lang w:eastAsia="zh-CN" w:bidi="ar"/>
                    </w:rPr>
                    <w:t>25%</w:t>
                  </w:r>
                  <w:r w:rsidRPr="00230008">
                    <w:rPr>
                      <w:rFonts w:eastAsia="宋体"/>
                      <w:color w:val="000000"/>
                      <w:sz w:val="16"/>
                      <w:szCs w:val="16"/>
                      <w:lang w:eastAsia="zh-CN" w:bidi="ar"/>
                    </w:rPr>
                    <w:t>关税。但加拿大政府为本地汽车制造商提供了部分关税豁免。</w:t>
                  </w:r>
                  <w:r w:rsidRPr="00230008">
                    <w:rPr>
                      <w:rFonts w:eastAsia="宋体"/>
                      <w:color w:val="000000"/>
                      <w:sz w:val="16"/>
                      <w:szCs w:val="16"/>
                      <w:lang w:eastAsia="zh-CN" w:bidi="ar"/>
                    </w:rPr>
                    <w:t>​</w:t>
                  </w:r>
                </w:p>
                <w:p w14:paraId="30A529D7" w14:textId="77777777" w:rsidR="00230008" w:rsidRPr="00230008" w:rsidRDefault="00230008" w:rsidP="00230008">
                  <w:pPr>
                    <w:ind w:firstLineChars="0" w:firstLine="0"/>
                    <w:textAlignment w:val="center"/>
                    <w:rPr>
                      <w:rFonts w:eastAsia="宋体"/>
                      <w:color w:val="000000"/>
                      <w:sz w:val="16"/>
                      <w:szCs w:val="16"/>
                      <w:lang w:eastAsia="zh-CN" w:bidi="ar-SA"/>
                    </w:rPr>
                  </w:pPr>
                  <w:r w:rsidRPr="00230008">
                    <w:rPr>
                      <w:rFonts w:eastAsia="宋体" w:hint="eastAsia"/>
                      <w:color w:val="000000"/>
                      <w:sz w:val="16"/>
                      <w:szCs w:val="16"/>
                      <w:lang w:eastAsia="zh-CN" w:bidi="ar"/>
                    </w:rPr>
                    <w:t>（</w:t>
                  </w:r>
                  <w:r w:rsidRPr="00230008">
                    <w:rPr>
                      <w:rFonts w:eastAsia="宋体" w:hint="eastAsia"/>
                      <w:color w:val="000000"/>
                      <w:sz w:val="16"/>
                      <w:szCs w:val="16"/>
                      <w:lang w:eastAsia="zh-CN" w:bidi="ar"/>
                    </w:rPr>
                    <w:t>2</w:t>
                  </w:r>
                  <w:r w:rsidRPr="00230008">
                    <w:rPr>
                      <w:rFonts w:eastAsia="宋体" w:hint="eastAsia"/>
                      <w:color w:val="000000"/>
                      <w:sz w:val="16"/>
                      <w:szCs w:val="16"/>
                      <w:lang w:eastAsia="zh-CN" w:bidi="ar"/>
                    </w:rPr>
                    <w:t>）</w:t>
                  </w:r>
                  <w:r w:rsidRPr="00230008">
                    <w:rPr>
                      <w:rFonts w:eastAsia="宋体"/>
                      <w:color w:val="000000"/>
                      <w:sz w:val="16"/>
                      <w:szCs w:val="16"/>
                      <w:lang w:eastAsia="zh-CN" w:bidi="ar"/>
                    </w:rPr>
                    <w:t>虽然墨西哥已表明对美国商品加征报复性关税的意图，但截至</w:t>
                  </w:r>
                  <w:r w:rsidRPr="00230008">
                    <w:rPr>
                      <w:rFonts w:eastAsia="宋体"/>
                      <w:color w:val="000000"/>
                      <w:sz w:val="16"/>
                      <w:szCs w:val="16"/>
                      <w:lang w:eastAsia="zh-CN" w:bidi="ar"/>
                    </w:rPr>
                    <w:t>2025</w:t>
                  </w:r>
                  <w:r w:rsidRPr="00230008">
                    <w:rPr>
                      <w:rFonts w:eastAsia="宋体"/>
                      <w:color w:val="000000"/>
                      <w:sz w:val="16"/>
                      <w:szCs w:val="16"/>
                      <w:lang w:eastAsia="zh-CN" w:bidi="ar"/>
                    </w:rPr>
                    <w:t>年</w:t>
                  </w:r>
                  <w:r w:rsidRPr="00230008">
                    <w:rPr>
                      <w:rFonts w:eastAsia="宋体"/>
                      <w:color w:val="000000"/>
                      <w:sz w:val="16"/>
                      <w:szCs w:val="16"/>
                      <w:lang w:eastAsia="zh-CN" w:bidi="ar"/>
                    </w:rPr>
                    <w:t>4</w:t>
                  </w:r>
                  <w:r w:rsidRPr="00230008">
                    <w:rPr>
                      <w:rFonts w:eastAsia="宋体"/>
                      <w:color w:val="000000"/>
                      <w:sz w:val="16"/>
                      <w:szCs w:val="16"/>
                      <w:lang w:eastAsia="zh-CN" w:bidi="ar"/>
                    </w:rPr>
                    <w:t>月</w:t>
                  </w:r>
                  <w:r w:rsidRPr="00230008">
                    <w:rPr>
                      <w:rFonts w:eastAsia="宋体"/>
                      <w:color w:val="000000"/>
                      <w:sz w:val="16"/>
                      <w:szCs w:val="16"/>
                      <w:lang w:eastAsia="zh-CN" w:bidi="ar"/>
                    </w:rPr>
                    <w:t>20</w:t>
                  </w:r>
                  <w:r w:rsidRPr="00230008">
                    <w:rPr>
                      <w:rFonts w:eastAsia="宋体"/>
                      <w:color w:val="000000"/>
                      <w:sz w:val="16"/>
                      <w:szCs w:val="16"/>
                      <w:lang w:eastAsia="zh-CN" w:bidi="ar"/>
                    </w:rPr>
                    <w:t>日，尚未发布官方清单，事态发展仍取决于两国间的持续谈判。</w:t>
                  </w:r>
                </w:p>
              </w:tc>
            </w:tr>
            <w:tr w:rsidR="00230008" w:rsidRPr="00230008" w14:paraId="6E47DCF2" w14:textId="77777777" w:rsidTr="00230008">
              <w:trPr>
                <w:trHeight w:val="312"/>
                <w:jc w:val="center"/>
              </w:trPr>
              <w:tc>
                <w:tcPr>
                  <w:tcW w:w="813" w:type="dxa"/>
                  <w:vMerge/>
                  <w:tcBorders>
                    <w:top w:val="nil"/>
                    <w:left w:val="nil"/>
                    <w:bottom w:val="single" w:sz="4" w:space="0" w:color="auto"/>
                    <w:right w:val="single" w:sz="4" w:space="0" w:color="auto"/>
                  </w:tcBorders>
                  <w:shd w:val="clear" w:color="000000" w:fill="FFFFFF"/>
                  <w:vAlign w:val="center"/>
                </w:tcPr>
                <w:p w14:paraId="611FC992" w14:textId="77777777" w:rsidR="00230008" w:rsidRPr="00230008" w:rsidRDefault="00230008" w:rsidP="00230008">
                  <w:pPr>
                    <w:spacing w:line="240" w:lineRule="auto"/>
                    <w:ind w:firstLineChars="0" w:firstLine="0"/>
                    <w:jc w:val="center"/>
                    <w:rPr>
                      <w:rFonts w:eastAsia="宋体"/>
                      <w:color w:val="000000"/>
                      <w:sz w:val="16"/>
                      <w:szCs w:val="16"/>
                      <w:lang w:eastAsia="zh-CN" w:bidi="ar-SA"/>
                    </w:rPr>
                  </w:pPr>
                </w:p>
              </w:tc>
              <w:tc>
                <w:tcPr>
                  <w:tcW w:w="2954" w:type="dxa"/>
                  <w:vMerge/>
                  <w:tcBorders>
                    <w:top w:val="nil"/>
                    <w:left w:val="single" w:sz="4" w:space="0" w:color="auto"/>
                    <w:bottom w:val="single" w:sz="4" w:space="0" w:color="auto"/>
                    <w:right w:val="single" w:sz="4" w:space="0" w:color="auto"/>
                  </w:tcBorders>
                  <w:shd w:val="clear" w:color="000000" w:fill="FFFFFF"/>
                  <w:vAlign w:val="center"/>
                </w:tcPr>
                <w:p w14:paraId="1B84C979" w14:textId="77777777" w:rsidR="00230008" w:rsidRPr="00230008" w:rsidRDefault="00230008" w:rsidP="00230008">
                  <w:pPr>
                    <w:ind w:firstLineChars="0" w:firstLine="0"/>
                    <w:jc w:val="center"/>
                    <w:rPr>
                      <w:rFonts w:eastAsia="宋体"/>
                      <w:color w:val="000000"/>
                      <w:sz w:val="16"/>
                      <w:szCs w:val="16"/>
                      <w:lang w:eastAsia="zh-CN" w:bidi="ar-SA"/>
                    </w:rPr>
                  </w:pPr>
                </w:p>
              </w:tc>
              <w:tc>
                <w:tcPr>
                  <w:tcW w:w="2288" w:type="dxa"/>
                  <w:vMerge/>
                  <w:tcBorders>
                    <w:top w:val="nil"/>
                    <w:left w:val="single" w:sz="4" w:space="0" w:color="auto"/>
                    <w:bottom w:val="single" w:sz="4" w:space="0" w:color="auto"/>
                    <w:right w:val="single" w:sz="4" w:space="0" w:color="auto"/>
                  </w:tcBorders>
                  <w:shd w:val="clear" w:color="000000" w:fill="FFFFFF"/>
                  <w:vAlign w:val="center"/>
                </w:tcPr>
                <w:p w14:paraId="5031DBDB" w14:textId="77777777" w:rsidR="00230008" w:rsidRPr="00230008" w:rsidRDefault="00230008" w:rsidP="00230008">
                  <w:pPr>
                    <w:ind w:firstLineChars="0" w:firstLine="0"/>
                    <w:jc w:val="center"/>
                    <w:rPr>
                      <w:rFonts w:eastAsia="宋体"/>
                      <w:color w:val="000000"/>
                      <w:sz w:val="16"/>
                      <w:szCs w:val="16"/>
                      <w:lang w:eastAsia="zh-CN" w:bidi="ar-SA"/>
                    </w:rPr>
                  </w:pPr>
                </w:p>
              </w:tc>
              <w:tc>
                <w:tcPr>
                  <w:tcW w:w="3478" w:type="dxa"/>
                  <w:vMerge/>
                  <w:tcBorders>
                    <w:top w:val="nil"/>
                    <w:left w:val="single" w:sz="4" w:space="0" w:color="auto"/>
                    <w:bottom w:val="single" w:sz="4" w:space="0" w:color="auto"/>
                    <w:right w:val="nil"/>
                  </w:tcBorders>
                  <w:shd w:val="clear" w:color="000000" w:fill="FFFFFF"/>
                  <w:vAlign w:val="center"/>
                </w:tcPr>
                <w:p w14:paraId="23CC438A" w14:textId="77777777" w:rsidR="00230008" w:rsidRPr="00230008" w:rsidRDefault="00230008" w:rsidP="00230008">
                  <w:pPr>
                    <w:ind w:firstLineChars="0" w:firstLine="0"/>
                    <w:jc w:val="center"/>
                    <w:rPr>
                      <w:rFonts w:eastAsia="宋体"/>
                      <w:color w:val="000000"/>
                      <w:sz w:val="16"/>
                      <w:szCs w:val="16"/>
                      <w:lang w:eastAsia="zh-CN" w:bidi="ar-SA"/>
                    </w:rPr>
                  </w:pPr>
                </w:p>
              </w:tc>
            </w:tr>
            <w:tr w:rsidR="00230008" w:rsidRPr="00230008" w14:paraId="64657F40" w14:textId="77777777" w:rsidTr="00230008">
              <w:trPr>
                <w:trHeight w:val="648"/>
                <w:jc w:val="center"/>
              </w:trPr>
              <w:tc>
                <w:tcPr>
                  <w:tcW w:w="813" w:type="dxa"/>
                  <w:tcBorders>
                    <w:top w:val="nil"/>
                    <w:left w:val="nil"/>
                    <w:bottom w:val="single" w:sz="4" w:space="0" w:color="auto"/>
                    <w:right w:val="single" w:sz="4" w:space="0" w:color="auto"/>
                  </w:tcBorders>
                  <w:shd w:val="clear" w:color="000000" w:fill="FFFFFF"/>
                  <w:vAlign w:val="center"/>
                </w:tcPr>
                <w:p w14:paraId="55F42B9F" w14:textId="77777777" w:rsidR="00230008" w:rsidRPr="00230008" w:rsidRDefault="00230008" w:rsidP="00230008">
                  <w:pPr>
                    <w:spacing w:line="240" w:lineRule="auto"/>
                    <w:ind w:firstLineChars="0" w:firstLine="0"/>
                    <w:textAlignment w:val="center"/>
                    <w:rPr>
                      <w:rFonts w:eastAsia="宋体"/>
                      <w:color w:val="000000"/>
                      <w:sz w:val="16"/>
                      <w:szCs w:val="16"/>
                      <w:lang w:eastAsia="zh-CN" w:bidi="ar-SA"/>
                    </w:rPr>
                  </w:pPr>
                  <w:r w:rsidRPr="00230008">
                    <w:rPr>
                      <w:rFonts w:eastAsia="宋体"/>
                      <w:b/>
                      <w:bCs/>
                      <w:color w:val="000000"/>
                      <w:sz w:val="16"/>
                      <w:szCs w:val="16"/>
                      <w:lang w:eastAsia="zh-CN" w:bidi="ar"/>
                    </w:rPr>
                    <w:t>欧盟</w:t>
                  </w:r>
                  <w:r w:rsidRPr="00230008">
                    <w:rPr>
                      <w:rFonts w:eastAsia="宋体"/>
                      <w:b/>
                      <w:bCs/>
                      <w:color w:val="000000"/>
                      <w:sz w:val="16"/>
                      <w:szCs w:val="16"/>
                      <w:lang w:eastAsia="zh-CN" w:bidi="ar"/>
                    </w:rPr>
                    <w:t>​</w:t>
                  </w:r>
                  <w:r w:rsidRPr="00230008">
                    <w:rPr>
                      <w:rFonts w:eastAsia="宋体"/>
                      <w:color w:val="000000"/>
                      <w:sz w:val="16"/>
                      <w:szCs w:val="16"/>
                      <w:lang w:eastAsia="zh-CN" w:bidi="ar"/>
                    </w:rPr>
                    <w:t>​</w:t>
                  </w:r>
                </w:p>
              </w:tc>
              <w:tc>
                <w:tcPr>
                  <w:tcW w:w="2954" w:type="dxa"/>
                  <w:tcBorders>
                    <w:top w:val="nil"/>
                    <w:left w:val="nil"/>
                    <w:bottom w:val="single" w:sz="4" w:space="0" w:color="auto"/>
                    <w:right w:val="single" w:sz="4" w:space="0" w:color="auto"/>
                  </w:tcBorders>
                  <w:shd w:val="clear" w:color="000000" w:fill="FFFFFF"/>
                  <w:vAlign w:val="center"/>
                </w:tcPr>
                <w:p w14:paraId="133A4868" w14:textId="77777777" w:rsidR="00230008" w:rsidRPr="00230008" w:rsidRDefault="00230008" w:rsidP="00230008">
                  <w:pPr>
                    <w:ind w:firstLineChars="0" w:firstLine="0"/>
                    <w:textAlignment w:val="center"/>
                    <w:rPr>
                      <w:rFonts w:eastAsia="宋体"/>
                      <w:color w:val="000000"/>
                      <w:sz w:val="16"/>
                      <w:szCs w:val="16"/>
                      <w:lang w:eastAsia="zh-CN" w:bidi="ar-SA"/>
                    </w:rPr>
                  </w:pPr>
                  <w:r w:rsidRPr="00230008">
                    <w:rPr>
                      <w:rFonts w:eastAsia="宋体" w:hint="eastAsia"/>
                      <w:color w:val="000000"/>
                      <w:kern w:val="0"/>
                      <w:sz w:val="16"/>
                      <w:szCs w:val="16"/>
                      <w:lang w:eastAsia="zh-CN" w:bidi="ar"/>
                    </w:rPr>
                    <w:t>（</w:t>
                  </w:r>
                  <w:r w:rsidRPr="00230008">
                    <w:rPr>
                      <w:rFonts w:eastAsia="宋体" w:hint="eastAsia"/>
                      <w:color w:val="000000"/>
                      <w:kern w:val="0"/>
                      <w:sz w:val="16"/>
                      <w:szCs w:val="16"/>
                      <w:lang w:eastAsia="zh-CN" w:bidi="ar"/>
                    </w:rPr>
                    <w:t>1</w:t>
                  </w:r>
                  <w:r w:rsidRPr="00230008">
                    <w:rPr>
                      <w:rFonts w:eastAsia="宋体" w:hint="eastAsia"/>
                      <w:color w:val="000000"/>
                      <w:kern w:val="0"/>
                      <w:sz w:val="16"/>
                      <w:szCs w:val="16"/>
                      <w:lang w:eastAsia="zh-CN" w:bidi="ar"/>
                    </w:rPr>
                    <w:t>）</w:t>
                  </w:r>
                  <w:r w:rsidRPr="00230008">
                    <w:rPr>
                      <w:rFonts w:eastAsia="宋体"/>
                      <w:color w:val="000000"/>
                      <w:sz w:val="16"/>
                      <w:szCs w:val="16"/>
                      <w:lang w:eastAsia="zh-CN" w:bidi="ar"/>
                    </w:rPr>
                    <w:t>根据</w:t>
                  </w:r>
                  <w:r w:rsidRPr="00230008">
                    <w:rPr>
                      <w:rFonts w:eastAsia="宋体"/>
                      <w:color w:val="000000"/>
                      <w:sz w:val="16"/>
                      <w:szCs w:val="16"/>
                      <w:lang w:eastAsia="zh-CN" w:bidi="ar"/>
                    </w:rPr>
                    <w:t>4</w:t>
                  </w:r>
                  <w:r w:rsidRPr="00230008">
                    <w:rPr>
                      <w:rFonts w:eastAsia="宋体"/>
                      <w:color w:val="000000"/>
                      <w:sz w:val="16"/>
                      <w:szCs w:val="16"/>
                      <w:lang w:eastAsia="zh-CN" w:bidi="ar"/>
                    </w:rPr>
                    <w:t>月</w:t>
                  </w:r>
                  <w:r w:rsidRPr="00230008">
                    <w:rPr>
                      <w:rFonts w:eastAsia="宋体"/>
                      <w:color w:val="000000"/>
                      <w:sz w:val="16"/>
                      <w:szCs w:val="16"/>
                      <w:lang w:eastAsia="zh-CN" w:bidi="ar"/>
                    </w:rPr>
                    <w:t>2</w:t>
                  </w:r>
                  <w:r w:rsidRPr="00230008">
                    <w:rPr>
                      <w:rFonts w:eastAsia="宋体"/>
                      <w:color w:val="000000"/>
                      <w:sz w:val="16"/>
                      <w:szCs w:val="16"/>
                      <w:lang w:eastAsia="zh-CN" w:bidi="ar"/>
                    </w:rPr>
                    <w:t>日美国总统特朗普签署的</w:t>
                  </w:r>
                  <w:r w:rsidRPr="00230008">
                    <w:rPr>
                      <w:rFonts w:eastAsia="宋体"/>
                      <w:color w:val="000000"/>
                      <w:sz w:val="16"/>
                      <w:szCs w:val="16"/>
                      <w:lang w:eastAsia="zh-CN" w:bidi="ar"/>
                    </w:rPr>
                    <w:t>“</w:t>
                  </w:r>
                  <w:r w:rsidRPr="00230008">
                    <w:rPr>
                      <w:rFonts w:eastAsia="宋体"/>
                      <w:color w:val="000000"/>
                      <w:sz w:val="16"/>
                      <w:szCs w:val="16"/>
                      <w:lang w:eastAsia="zh-CN" w:bidi="ar"/>
                    </w:rPr>
                    <w:t>解放日</w:t>
                  </w:r>
                  <w:r w:rsidRPr="00230008">
                    <w:rPr>
                      <w:rFonts w:eastAsia="宋体"/>
                      <w:color w:val="000000"/>
                      <w:sz w:val="16"/>
                      <w:szCs w:val="16"/>
                      <w:lang w:eastAsia="zh-CN" w:bidi="ar"/>
                    </w:rPr>
                    <w:t>”</w:t>
                  </w:r>
                  <w:r w:rsidRPr="00230008">
                    <w:rPr>
                      <w:rFonts w:eastAsia="宋体"/>
                      <w:color w:val="000000"/>
                      <w:sz w:val="16"/>
                      <w:szCs w:val="16"/>
                      <w:lang w:eastAsia="zh-CN" w:bidi="ar"/>
                    </w:rPr>
                    <w:t>行政命令，自</w:t>
                  </w:r>
                  <w:r w:rsidRPr="00230008">
                    <w:rPr>
                      <w:rFonts w:eastAsia="宋体"/>
                      <w:color w:val="000000"/>
                      <w:sz w:val="16"/>
                      <w:szCs w:val="16"/>
                      <w:lang w:eastAsia="zh-CN" w:bidi="ar"/>
                    </w:rPr>
                    <w:t>4</w:t>
                  </w:r>
                  <w:r w:rsidRPr="00230008">
                    <w:rPr>
                      <w:rFonts w:eastAsia="宋体"/>
                      <w:color w:val="000000"/>
                      <w:sz w:val="16"/>
                      <w:szCs w:val="16"/>
                      <w:lang w:eastAsia="zh-CN" w:bidi="ar"/>
                    </w:rPr>
                    <w:t>月</w:t>
                  </w:r>
                  <w:r w:rsidRPr="00230008">
                    <w:rPr>
                      <w:rFonts w:eastAsia="宋体"/>
                      <w:color w:val="000000"/>
                      <w:sz w:val="16"/>
                      <w:szCs w:val="16"/>
                      <w:lang w:eastAsia="zh-CN" w:bidi="ar"/>
                    </w:rPr>
                    <w:t>5</w:t>
                  </w:r>
                  <w:r w:rsidRPr="00230008">
                    <w:rPr>
                      <w:rFonts w:eastAsia="宋体"/>
                      <w:color w:val="000000"/>
                      <w:sz w:val="16"/>
                      <w:szCs w:val="16"/>
                      <w:lang w:eastAsia="zh-CN" w:bidi="ar"/>
                    </w:rPr>
                    <w:t>日起对几乎所有国家的进口商品征收</w:t>
                  </w:r>
                  <w:r w:rsidRPr="00230008">
                    <w:rPr>
                      <w:rFonts w:eastAsia="宋体"/>
                      <w:color w:val="000000"/>
                      <w:sz w:val="16"/>
                      <w:szCs w:val="16"/>
                      <w:lang w:eastAsia="zh-CN" w:bidi="ar"/>
                    </w:rPr>
                    <w:t>10%</w:t>
                  </w:r>
                  <w:r w:rsidRPr="00230008">
                    <w:rPr>
                      <w:rFonts w:eastAsia="宋体"/>
                      <w:color w:val="000000"/>
                      <w:sz w:val="16"/>
                      <w:szCs w:val="16"/>
                      <w:lang w:eastAsia="zh-CN" w:bidi="ar"/>
                    </w:rPr>
                    <w:t>的基础从价关税，自</w:t>
                  </w:r>
                  <w:r w:rsidRPr="00230008">
                    <w:rPr>
                      <w:rFonts w:eastAsia="宋体"/>
                      <w:color w:val="000000"/>
                      <w:sz w:val="16"/>
                      <w:szCs w:val="16"/>
                      <w:lang w:eastAsia="zh-CN" w:bidi="ar"/>
                    </w:rPr>
                    <w:t>4</w:t>
                  </w:r>
                  <w:r w:rsidRPr="00230008">
                    <w:rPr>
                      <w:rFonts w:eastAsia="宋体"/>
                      <w:color w:val="000000"/>
                      <w:sz w:val="16"/>
                      <w:szCs w:val="16"/>
                      <w:lang w:eastAsia="zh-CN" w:bidi="ar"/>
                    </w:rPr>
                    <w:t>月</w:t>
                  </w:r>
                  <w:r w:rsidRPr="00230008">
                    <w:rPr>
                      <w:rFonts w:eastAsia="宋体"/>
                      <w:color w:val="000000"/>
                      <w:sz w:val="16"/>
                      <w:szCs w:val="16"/>
                      <w:lang w:eastAsia="zh-CN" w:bidi="ar"/>
                    </w:rPr>
                    <w:t>9</w:t>
                  </w:r>
                  <w:r w:rsidRPr="00230008">
                    <w:rPr>
                      <w:rFonts w:eastAsia="宋体"/>
                      <w:color w:val="000000"/>
                      <w:sz w:val="16"/>
                      <w:szCs w:val="16"/>
                      <w:lang w:eastAsia="zh-CN" w:bidi="ar"/>
                    </w:rPr>
                    <w:t>日起对包括欧盟在内的特定国家加征更高的</w:t>
                  </w:r>
                  <w:r w:rsidRPr="00230008">
                    <w:rPr>
                      <w:rFonts w:eastAsia="宋体"/>
                      <w:color w:val="000000"/>
                      <w:sz w:val="16"/>
                      <w:szCs w:val="16"/>
                      <w:lang w:eastAsia="zh-CN" w:bidi="ar"/>
                    </w:rPr>
                    <w:t>“</w:t>
                  </w:r>
                  <w:r w:rsidRPr="00230008">
                    <w:rPr>
                      <w:rFonts w:eastAsia="宋体"/>
                      <w:color w:val="000000"/>
                      <w:sz w:val="16"/>
                      <w:szCs w:val="16"/>
                      <w:lang w:eastAsia="zh-CN" w:bidi="ar"/>
                    </w:rPr>
                    <w:t>对等关税</w:t>
                  </w:r>
                  <w:r w:rsidRPr="00230008">
                    <w:rPr>
                      <w:rFonts w:eastAsia="宋体"/>
                      <w:color w:val="000000"/>
                      <w:sz w:val="16"/>
                      <w:szCs w:val="16"/>
                      <w:lang w:eastAsia="zh-CN" w:bidi="ar"/>
                    </w:rPr>
                    <w:t>”</w:t>
                  </w:r>
                  <w:r w:rsidRPr="00230008">
                    <w:rPr>
                      <w:rFonts w:eastAsia="宋体"/>
                      <w:color w:val="000000"/>
                      <w:sz w:val="16"/>
                      <w:szCs w:val="16"/>
                      <w:lang w:eastAsia="zh-CN" w:bidi="ar"/>
                    </w:rPr>
                    <w:t>，其中欧盟的税率为</w:t>
                  </w:r>
                  <w:r w:rsidRPr="00230008">
                    <w:rPr>
                      <w:rFonts w:eastAsia="宋体"/>
                      <w:color w:val="000000"/>
                      <w:sz w:val="16"/>
                      <w:szCs w:val="16"/>
                      <w:lang w:eastAsia="zh-CN" w:bidi="ar"/>
                    </w:rPr>
                    <w:t>20%</w:t>
                  </w:r>
                  <w:r w:rsidRPr="00230008">
                    <w:rPr>
                      <w:rFonts w:eastAsia="宋体"/>
                      <w:color w:val="000000"/>
                      <w:sz w:val="16"/>
                      <w:szCs w:val="16"/>
                      <w:lang w:eastAsia="zh-CN" w:bidi="ar"/>
                    </w:rPr>
                    <w:t>。（</w:t>
                  </w:r>
                  <w:r w:rsidRPr="00230008">
                    <w:rPr>
                      <w:rFonts w:eastAsia="宋体"/>
                      <w:color w:val="000000"/>
                      <w:sz w:val="16"/>
                      <w:szCs w:val="16"/>
                      <w:lang w:eastAsia="zh-CN" w:bidi="ar"/>
                    </w:rPr>
                    <w:t>2</w:t>
                  </w:r>
                  <w:r w:rsidRPr="00230008">
                    <w:rPr>
                      <w:rFonts w:eastAsia="宋体"/>
                      <w:color w:val="000000"/>
                      <w:sz w:val="16"/>
                      <w:szCs w:val="16"/>
                      <w:lang w:eastAsia="zh-CN" w:bidi="ar"/>
                    </w:rPr>
                    <w:t>）</w:t>
                  </w:r>
                  <w:r w:rsidRPr="00230008">
                    <w:rPr>
                      <w:rFonts w:eastAsia="宋体"/>
                      <w:color w:val="000000"/>
                      <w:sz w:val="16"/>
                      <w:szCs w:val="16"/>
                      <w:lang w:eastAsia="zh-CN" w:bidi="ar"/>
                    </w:rPr>
                    <w:t>4</w:t>
                  </w:r>
                  <w:r w:rsidRPr="00230008">
                    <w:rPr>
                      <w:rFonts w:eastAsia="宋体"/>
                      <w:color w:val="000000"/>
                      <w:sz w:val="16"/>
                      <w:szCs w:val="16"/>
                      <w:lang w:eastAsia="zh-CN" w:bidi="ar"/>
                    </w:rPr>
                    <w:t>月</w:t>
                  </w:r>
                  <w:r w:rsidRPr="00230008">
                    <w:rPr>
                      <w:rFonts w:eastAsia="宋体"/>
                      <w:color w:val="000000"/>
                      <w:sz w:val="16"/>
                      <w:szCs w:val="16"/>
                      <w:lang w:eastAsia="zh-CN" w:bidi="ar"/>
                    </w:rPr>
                    <w:t>10</w:t>
                  </w:r>
                  <w:r w:rsidRPr="00230008">
                    <w:rPr>
                      <w:rFonts w:eastAsia="宋体"/>
                      <w:color w:val="000000"/>
                      <w:sz w:val="16"/>
                      <w:szCs w:val="16"/>
                      <w:lang w:eastAsia="zh-CN" w:bidi="ar"/>
                    </w:rPr>
                    <w:t>日，美国宣布实施</w:t>
                  </w:r>
                  <w:r w:rsidRPr="00230008">
                    <w:rPr>
                      <w:rFonts w:eastAsia="宋体"/>
                      <w:color w:val="000000"/>
                      <w:sz w:val="16"/>
                      <w:szCs w:val="16"/>
                      <w:lang w:eastAsia="zh-CN" w:bidi="ar"/>
                    </w:rPr>
                    <w:t>90</w:t>
                  </w:r>
                  <w:r w:rsidRPr="00230008">
                    <w:rPr>
                      <w:rFonts w:eastAsia="宋体"/>
                      <w:color w:val="000000"/>
                      <w:sz w:val="16"/>
                      <w:szCs w:val="16"/>
                      <w:lang w:eastAsia="zh-CN" w:bidi="ar"/>
                    </w:rPr>
                    <w:t>天的关税暂停，仅保留了</w:t>
                  </w:r>
                  <w:r w:rsidRPr="00230008">
                    <w:rPr>
                      <w:rFonts w:eastAsia="宋体"/>
                      <w:color w:val="000000"/>
                      <w:sz w:val="16"/>
                      <w:szCs w:val="16"/>
                      <w:lang w:eastAsia="zh-CN" w:bidi="ar"/>
                    </w:rPr>
                    <w:t>10%</w:t>
                  </w:r>
                  <w:r w:rsidRPr="00230008">
                    <w:rPr>
                      <w:rFonts w:eastAsia="宋体"/>
                      <w:color w:val="000000"/>
                      <w:sz w:val="16"/>
                      <w:szCs w:val="16"/>
                      <w:lang w:eastAsia="zh-CN" w:bidi="ar"/>
                    </w:rPr>
                    <w:t>的基础从价关税，尚未实施原定于</w:t>
                  </w:r>
                  <w:r w:rsidRPr="00230008">
                    <w:rPr>
                      <w:rFonts w:eastAsia="宋体"/>
                      <w:color w:val="000000"/>
                      <w:sz w:val="16"/>
                      <w:szCs w:val="16"/>
                      <w:lang w:eastAsia="zh-CN" w:bidi="ar"/>
                    </w:rPr>
                    <w:t>4</w:t>
                  </w:r>
                  <w:r w:rsidRPr="00230008">
                    <w:rPr>
                      <w:rFonts w:eastAsia="宋体"/>
                      <w:color w:val="000000"/>
                      <w:sz w:val="16"/>
                      <w:szCs w:val="16"/>
                      <w:lang w:eastAsia="zh-CN" w:bidi="ar"/>
                    </w:rPr>
                    <w:t>月</w:t>
                  </w:r>
                  <w:r w:rsidRPr="00230008">
                    <w:rPr>
                      <w:rFonts w:eastAsia="宋体"/>
                      <w:color w:val="000000"/>
                      <w:sz w:val="16"/>
                      <w:szCs w:val="16"/>
                      <w:lang w:eastAsia="zh-CN" w:bidi="ar"/>
                    </w:rPr>
                    <w:t>9</w:t>
                  </w:r>
                  <w:r w:rsidRPr="00230008">
                    <w:rPr>
                      <w:rFonts w:eastAsia="宋体"/>
                      <w:color w:val="000000"/>
                      <w:sz w:val="16"/>
                      <w:szCs w:val="16"/>
                      <w:lang w:eastAsia="zh-CN" w:bidi="ar"/>
                    </w:rPr>
                    <w:t>日生效的针对欧盟</w:t>
                  </w:r>
                  <w:r w:rsidRPr="00230008">
                    <w:rPr>
                      <w:rFonts w:eastAsia="宋体"/>
                      <w:color w:val="000000"/>
                      <w:sz w:val="16"/>
                      <w:szCs w:val="16"/>
                      <w:lang w:eastAsia="zh-CN" w:bidi="ar"/>
                    </w:rPr>
                    <w:lastRenderedPageBreak/>
                    <w:t>的</w:t>
                  </w:r>
                  <w:r w:rsidRPr="00230008">
                    <w:rPr>
                      <w:rFonts w:eastAsia="宋体"/>
                      <w:color w:val="000000"/>
                      <w:sz w:val="16"/>
                      <w:szCs w:val="16"/>
                      <w:lang w:eastAsia="zh-CN" w:bidi="ar"/>
                    </w:rPr>
                    <w:t>20%“</w:t>
                  </w:r>
                  <w:r w:rsidRPr="00230008">
                    <w:rPr>
                      <w:rFonts w:eastAsia="宋体"/>
                      <w:color w:val="000000"/>
                      <w:sz w:val="16"/>
                      <w:szCs w:val="16"/>
                      <w:lang w:eastAsia="zh-CN" w:bidi="ar"/>
                    </w:rPr>
                    <w:t>对等关税</w:t>
                  </w:r>
                  <w:r w:rsidRPr="00230008">
                    <w:rPr>
                      <w:rFonts w:eastAsia="宋体"/>
                      <w:color w:val="000000"/>
                      <w:sz w:val="16"/>
                      <w:szCs w:val="16"/>
                      <w:lang w:eastAsia="zh-CN" w:bidi="ar"/>
                    </w:rPr>
                    <w:t>”</w:t>
                  </w:r>
                  <w:r w:rsidRPr="00230008">
                    <w:rPr>
                      <w:rFonts w:eastAsia="宋体"/>
                      <w:color w:val="000000"/>
                      <w:sz w:val="16"/>
                      <w:szCs w:val="16"/>
                      <w:lang w:eastAsia="zh-CN" w:bidi="ar"/>
                    </w:rPr>
                    <w:t>。</w:t>
                  </w:r>
                  <w:r w:rsidRPr="00230008">
                    <w:rPr>
                      <w:rFonts w:eastAsia="宋体"/>
                      <w:color w:val="000000"/>
                      <w:sz w:val="16"/>
                      <w:szCs w:val="16"/>
                      <w:lang w:eastAsia="zh-CN" w:bidi="ar"/>
                    </w:rPr>
                    <w:t>​</w:t>
                  </w:r>
                </w:p>
              </w:tc>
              <w:tc>
                <w:tcPr>
                  <w:tcW w:w="2288" w:type="dxa"/>
                  <w:vMerge/>
                  <w:tcBorders>
                    <w:top w:val="nil"/>
                    <w:left w:val="single" w:sz="4" w:space="0" w:color="auto"/>
                    <w:bottom w:val="single" w:sz="4" w:space="0" w:color="auto"/>
                    <w:right w:val="single" w:sz="4" w:space="0" w:color="auto"/>
                  </w:tcBorders>
                  <w:shd w:val="clear" w:color="000000" w:fill="FFFFFF"/>
                  <w:vAlign w:val="center"/>
                </w:tcPr>
                <w:p w14:paraId="3DF888DC" w14:textId="77777777" w:rsidR="00230008" w:rsidRPr="00230008" w:rsidRDefault="00230008" w:rsidP="00230008">
                  <w:pPr>
                    <w:ind w:firstLineChars="0" w:firstLine="0"/>
                    <w:jc w:val="center"/>
                    <w:rPr>
                      <w:rFonts w:eastAsia="宋体"/>
                      <w:color w:val="000000"/>
                      <w:sz w:val="16"/>
                      <w:szCs w:val="16"/>
                      <w:lang w:eastAsia="zh-CN" w:bidi="ar-SA"/>
                    </w:rPr>
                  </w:pPr>
                </w:p>
              </w:tc>
              <w:tc>
                <w:tcPr>
                  <w:tcW w:w="3478" w:type="dxa"/>
                  <w:tcBorders>
                    <w:top w:val="nil"/>
                    <w:left w:val="nil"/>
                    <w:bottom w:val="single" w:sz="4" w:space="0" w:color="auto"/>
                    <w:right w:val="nil"/>
                  </w:tcBorders>
                  <w:shd w:val="clear" w:color="000000" w:fill="FFFFFF"/>
                  <w:vAlign w:val="center"/>
                </w:tcPr>
                <w:p w14:paraId="02A739EA" w14:textId="77777777" w:rsidR="00230008" w:rsidRPr="00230008" w:rsidRDefault="00230008" w:rsidP="00230008">
                  <w:pPr>
                    <w:ind w:firstLineChars="0" w:firstLine="0"/>
                    <w:textAlignment w:val="center"/>
                    <w:rPr>
                      <w:rFonts w:eastAsia="宋体"/>
                      <w:color w:val="000000"/>
                      <w:sz w:val="16"/>
                      <w:szCs w:val="16"/>
                      <w:lang w:eastAsia="zh-CN" w:bidi="ar-SA"/>
                    </w:rPr>
                  </w:pPr>
                  <w:r w:rsidRPr="00230008">
                    <w:rPr>
                      <w:rFonts w:eastAsia="宋体" w:hint="eastAsia"/>
                      <w:color w:val="000000"/>
                      <w:kern w:val="0"/>
                      <w:sz w:val="16"/>
                      <w:szCs w:val="16"/>
                      <w:lang w:eastAsia="zh-CN" w:bidi="ar"/>
                    </w:rPr>
                    <w:t>（</w:t>
                  </w:r>
                  <w:r w:rsidRPr="00230008">
                    <w:rPr>
                      <w:rFonts w:eastAsia="宋体" w:hint="eastAsia"/>
                      <w:color w:val="000000"/>
                      <w:kern w:val="0"/>
                      <w:sz w:val="16"/>
                      <w:szCs w:val="16"/>
                      <w:lang w:eastAsia="zh-CN" w:bidi="ar"/>
                    </w:rPr>
                    <w:t>1</w:t>
                  </w:r>
                  <w:r w:rsidRPr="00230008">
                    <w:rPr>
                      <w:rFonts w:eastAsia="宋体" w:hint="eastAsia"/>
                      <w:color w:val="000000"/>
                      <w:kern w:val="0"/>
                      <w:sz w:val="16"/>
                      <w:szCs w:val="16"/>
                      <w:lang w:eastAsia="zh-CN" w:bidi="ar"/>
                    </w:rPr>
                    <w:t>）</w:t>
                  </w:r>
                  <w:r w:rsidRPr="00230008">
                    <w:rPr>
                      <w:rFonts w:eastAsia="宋体"/>
                      <w:color w:val="000000"/>
                      <w:sz w:val="16"/>
                      <w:szCs w:val="16"/>
                      <w:lang w:eastAsia="zh-CN" w:bidi="ar"/>
                    </w:rPr>
                    <w:t>4</w:t>
                  </w:r>
                  <w:r w:rsidRPr="00230008">
                    <w:rPr>
                      <w:rFonts w:eastAsia="宋体"/>
                      <w:color w:val="000000"/>
                      <w:sz w:val="16"/>
                      <w:szCs w:val="16"/>
                      <w:lang w:eastAsia="zh-CN" w:bidi="ar"/>
                    </w:rPr>
                    <w:t>月</w:t>
                  </w:r>
                  <w:r w:rsidRPr="00230008">
                    <w:rPr>
                      <w:rFonts w:eastAsia="宋体"/>
                      <w:color w:val="000000"/>
                      <w:sz w:val="16"/>
                      <w:szCs w:val="16"/>
                      <w:lang w:eastAsia="zh-CN" w:bidi="ar"/>
                    </w:rPr>
                    <w:t>9</w:t>
                  </w:r>
                  <w:r w:rsidRPr="00230008">
                    <w:rPr>
                      <w:rFonts w:eastAsia="宋体"/>
                      <w:color w:val="000000"/>
                      <w:sz w:val="16"/>
                      <w:szCs w:val="16"/>
                      <w:lang w:eastAsia="zh-CN" w:bidi="ar"/>
                    </w:rPr>
                    <w:t>日，欧盟成员国投票通过首轮对美关税反制措施，将对价值约为</w:t>
                  </w:r>
                  <w:r w:rsidRPr="00230008">
                    <w:rPr>
                      <w:rFonts w:eastAsia="宋体"/>
                      <w:color w:val="000000"/>
                      <w:sz w:val="16"/>
                      <w:szCs w:val="16"/>
                      <w:lang w:eastAsia="zh-CN" w:bidi="ar"/>
                    </w:rPr>
                    <w:t>210</w:t>
                  </w:r>
                  <w:r w:rsidRPr="00230008">
                    <w:rPr>
                      <w:rFonts w:eastAsia="宋体"/>
                      <w:color w:val="000000"/>
                      <w:sz w:val="16"/>
                      <w:szCs w:val="16"/>
                      <w:lang w:eastAsia="zh-CN" w:bidi="ar"/>
                    </w:rPr>
                    <w:t>亿欧元的美国产品加征</w:t>
                  </w:r>
                  <w:r w:rsidRPr="00230008">
                    <w:rPr>
                      <w:rFonts w:eastAsia="宋体"/>
                      <w:color w:val="000000"/>
                      <w:sz w:val="16"/>
                      <w:szCs w:val="16"/>
                      <w:lang w:eastAsia="zh-CN" w:bidi="ar"/>
                    </w:rPr>
                    <w:t>25%</w:t>
                  </w:r>
                  <w:r w:rsidRPr="00230008">
                    <w:rPr>
                      <w:rFonts w:eastAsia="宋体"/>
                      <w:color w:val="000000"/>
                      <w:sz w:val="16"/>
                      <w:szCs w:val="16"/>
                      <w:lang w:eastAsia="zh-CN" w:bidi="ar"/>
                    </w:rPr>
                    <w:t>关税，以回应美国的钢铝关税政策。第一批：</w:t>
                  </w:r>
                  <w:r w:rsidRPr="00230008">
                    <w:rPr>
                      <w:rFonts w:eastAsia="宋体"/>
                      <w:color w:val="000000"/>
                      <w:sz w:val="16"/>
                      <w:szCs w:val="16"/>
                      <w:lang w:eastAsia="zh-CN" w:bidi="ar"/>
                    </w:rPr>
                    <w:t>2025</w:t>
                  </w:r>
                  <w:r w:rsidRPr="00230008">
                    <w:rPr>
                      <w:rFonts w:eastAsia="宋体"/>
                      <w:color w:val="000000"/>
                      <w:sz w:val="16"/>
                      <w:szCs w:val="16"/>
                      <w:lang w:eastAsia="zh-CN" w:bidi="ar"/>
                    </w:rPr>
                    <w:t>年</w:t>
                  </w:r>
                  <w:r w:rsidRPr="00230008">
                    <w:rPr>
                      <w:rFonts w:eastAsia="宋体"/>
                      <w:color w:val="000000"/>
                      <w:sz w:val="16"/>
                      <w:szCs w:val="16"/>
                      <w:lang w:eastAsia="zh-CN" w:bidi="ar"/>
                    </w:rPr>
                    <w:t>4</w:t>
                  </w:r>
                  <w:r w:rsidRPr="00230008">
                    <w:rPr>
                      <w:rFonts w:eastAsia="宋体"/>
                      <w:color w:val="000000"/>
                      <w:sz w:val="16"/>
                      <w:szCs w:val="16"/>
                      <w:lang w:eastAsia="zh-CN" w:bidi="ar"/>
                    </w:rPr>
                    <w:t>月</w:t>
                  </w:r>
                  <w:r w:rsidRPr="00230008">
                    <w:rPr>
                      <w:rFonts w:eastAsia="宋体"/>
                      <w:color w:val="000000"/>
                      <w:sz w:val="16"/>
                      <w:szCs w:val="16"/>
                      <w:lang w:eastAsia="zh-CN" w:bidi="ar"/>
                    </w:rPr>
                    <w:t>15</w:t>
                  </w:r>
                  <w:r w:rsidRPr="00230008">
                    <w:rPr>
                      <w:rFonts w:eastAsia="宋体"/>
                      <w:color w:val="000000"/>
                      <w:sz w:val="16"/>
                      <w:szCs w:val="16"/>
                      <w:lang w:eastAsia="zh-CN" w:bidi="ar"/>
                    </w:rPr>
                    <w:t>日生效，涵盖大豆、家禽、摩托车、钻石等。第二批：</w:t>
                  </w:r>
                  <w:r w:rsidRPr="00230008">
                    <w:rPr>
                      <w:rFonts w:eastAsia="宋体"/>
                      <w:color w:val="000000"/>
                      <w:sz w:val="16"/>
                      <w:szCs w:val="16"/>
                      <w:lang w:eastAsia="zh-CN" w:bidi="ar"/>
                    </w:rPr>
                    <w:t>2025</w:t>
                  </w:r>
                  <w:r w:rsidRPr="00230008">
                    <w:rPr>
                      <w:rFonts w:eastAsia="宋体"/>
                      <w:color w:val="000000"/>
                      <w:sz w:val="16"/>
                      <w:szCs w:val="16"/>
                      <w:lang w:eastAsia="zh-CN" w:bidi="ar"/>
                    </w:rPr>
                    <w:t>年</w:t>
                  </w:r>
                  <w:r w:rsidRPr="00230008">
                    <w:rPr>
                      <w:rFonts w:eastAsia="宋体"/>
                      <w:color w:val="000000"/>
                      <w:sz w:val="16"/>
                      <w:szCs w:val="16"/>
                      <w:lang w:eastAsia="zh-CN" w:bidi="ar"/>
                    </w:rPr>
                    <w:t>5</w:t>
                  </w:r>
                  <w:r w:rsidRPr="00230008">
                    <w:rPr>
                      <w:rFonts w:eastAsia="宋体"/>
                      <w:color w:val="000000"/>
                      <w:sz w:val="16"/>
                      <w:szCs w:val="16"/>
                      <w:lang w:eastAsia="zh-CN" w:bidi="ar"/>
                    </w:rPr>
                    <w:t>月</w:t>
                  </w:r>
                  <w:r w:rsidRPr="00230008">
                    <w:rPr>
                      <w:rFonts w:eastAsia="宋体"/>
                      <w:color w:val="000000"/>
                      <w:sz w:val="16"/>
                      <w:szCs w:val="16"/>
                      <w:lang w:eastAsia="zh-CN" w:bidi="ar"/>
                    </w:rPr>
                    <w:t>15</w:t>
                  </w:r>
                  <w:r w:rsidRPr="00230008">
                    <w:rPr>
                      <w:rFonts w:eastAsia="宋体"/>
                      <w:color w:val="000000"/>
                      <w:sz w:val="16"/>
                      <w:szCs w:val="16"/>
                      <w:lang w:eastAsia="zh-CN" w:bidi="ar"/>
                    </w:rPr>
                    <w:t>日生效，涉及农产品、钢铁制品等。第三批：</w:t>
                  </w:r>
                  <w:r w:rsidRPr="00230008">
                    <w:rPr>
                      <w:rFonts w:eastAsia="宋体"/>
                      <w:color w:val="000000"/>
                      <w:sz w:val="16"/>
                      <w:szCs w:val="16"/>
                      <w:lang w:eastAsia="zh-CN" w:bidi="ar"/>
                    </w:rPr>
                    <w:t>2025</w:t>
                  </w:r>
                  <w:r w:rsidRPr="00230008">
                    <w:rPr>
                      <w:rFonts w:eastAsia="宋体"/>
                      <w:color w:val="000000"/>
                      <w:sz w:val="16"/>
                      <w:szCs w:val="16"/>
                      <w:lang w:eastAsia="zh-CN" w:bidi="ar"/>
                    </w:rPr>
                    <w:t>年</w:t>
                  </w:r>
                  <w:r w:rsidRPr="00230008">
                    <w:rPr>
                      <w:rFonts w:eastAsia="宋体"/>
                      <w:color w:val="000000"/>
                      <w:sz w:val="16"/>
                      <w:szCs w:val="16"/>
                      <w:lang w:eastAsia="zh-CN" w:bidi="ar"/>
                    </w:rPr>
                    <w:t>12</w:t>
                  </w:r>
                  <w:r w:rsidRPr="00230008">
                    <w:rPr>
                      <w:rFonts w:eastAsia="宋体"/>
                      <w:color w:val="000000"/>
                      <w:sz w:val="16"/>
                      <w:szCs w:val="16"/>
                      <w:lang w:eastAsia="zh-CN" w:bidi="ar"/>
                    </w:rPr>
                    <w:t>月</w:t>
                  </w:r>
                  <w:r w:rsidRPr="00230008">
                    <w:rPr>
                      <w:rFonts w:eastAsia="宋体"/>
                      <w:color w:val="000000"/>
                      <w:sz w:val="16"/>
                      <w:szCs w:val="16"/>
                      <w:lang w:eastAsia="zh-CN" w:bidi="ar"/>
                    </w:rPr>
                    <w:t>1</w:t>
                  </w:r>
                  <w:r w:rsidRPr="00230008">
                    <w:rPr>
                      <w:rFonts w:eastAsia="宋体"/>
                      <w:color w:val="000000"/>
                      <w:sz w:val="16"/>
                      <w:szCs w:val="16"/>
                      <w:lang w:eastAsia="zh-CN" w:bidi="ar"/>
                    </w:rPr>
                    <w:t>日生效，针对大豆、坚果类产品及部分工业品。（</w:t>
                  </w:r>
                  <w:r w:rsidRPr="00230008">
                    <w:rPr>
                      <w:rFonts w:eastAsia="宋体"/>
                      <w:color w:val="000000"/>
                      <w:sz w:val="16"/>
                      <w:szCs w:val="16"/>
                      <w:lang w:eastAsia="zh-CN" w:bidi="ar"/>
                    </w:rPr>
                    <w:t>2</w:t>
                  </w:r>
                  <w:r w:rsidRPr="00230008">
                    <w:rPr>
                      <w:rFonts w:eastAsia="宋体"/>
                      <w:color w:val="000000"/>
                      <w:sz w:val="16"/>
                      <w:szCs w:val="16"/>
                      <w:lang w:eastAsia="zh-CN" w:bidi="ar"/>
                    </w:rPr>
                    <w:t>）</w:t>
                  </w:r>
                  <w:r w:rsidRPr="00230008">
                    <w:rPr>
                      <w:rFonts w:eastAsia="宋体"/>
                      <w:color w:val="000000"/>
                      <w:sz w:val="16"/>
                      <w:szCs w:val="16"/>
                      <w:lang w:eastAsia="zh-CN" w:bidi="ar"/>
                    </w:rPr>
                    <w:t>4</w:t>
                  </w:r>
                  <w:r w:rsidRPr="00230008">
                    <w:rPr>
                      <w:rFonts w:eastAsia="宋体"/>
                      <w:color w:val="000000"/>
                      <w:sz w:val="16"/>
                      <w:szCs w:val="16"/>
                      <w:lang w:eastAsia="zh-CN" w:bidi="ar"/>
                    </w:rPr>
                    <w:t>月</w:t>
                  </w:r>
                  <w:r w:rsidRPr="00230008">
                    <w:rPr>
                      <w:rFonts w:eastAsia="宋体"/>
                      <w:color w:val="000000"/>
                      <w:sz w:val="16"/>
                      <w:szCs w:val="16"/>
                      <w:lang w:eastAsia="zh-CN" w:bidi="ar"/>
                    </w:rPr>
                    <w:t>10</w:t>
                  </w:r>
                  <w:r w:rsidRPr="00230008">
                    <w:rPr>
                      <w:rFonts w:eastAsia="宋体"/>
                      <w:color w:val="000000"/>
                      <w:sz w:val="16"/>
                      <w:szCs w:val="16"/>
                      <w:lang w:eastAsia="zh-CN" w:bidi="ar"/>
                    </w:rPr>
                    <w:t>日，欧盟同意将原定于</w:t>
                  </w:r>
                  <w:r w:rsidRPr="00230008">
                    <w:rPr>
                      <w:rFonts w:eastAsia="宋体"/>
                      <w:color w:val="000000"/>
                      <w:sz w:val="16"/>
                      <w:szCs w:val="16"/>
                      <w:lang w:eastAsia="zh-CN" w:bidi="ar"/>
                    </w:rPr>
                    <w:t>4</w:t>
                  </w:r>
                  <w:r w:rsidRPr="00230008">
                    <w:rPr>
                      <w:rFonts w:eastAsia="宋体"/>
                      <w:color w:val="000000"/>
                      <w:sz w:val="16"/>
                      <w:szCs w:val="16"/>
                      <w:lang w:eastAsia="zh-CN" w:bidi="ar"/>
                    </w:rPr>
                    <w:t>月</w:t>
                  </w:r>
                  <w:r w:rsidRPr="00230008">
                    <w:rPr>
                      <w:rFonts w:eastAsia="宋体"/>
                      <w:color w:val="000000"/>
                      <w:sz w:val="16"/>
                      <w:szCs w:val="16"/>
                      <w:lang w:eastAsia="zh-CN" w:bidi="ar"/>
                    </w:rPr>
                    <w:t>15</w:t>
                  </w:r>
                  <w:r w:rsidRPr="00230008">
                    <w:rPr>
                      <w:rFonts w:eastAsia="宋体"/>
                      <w:color w:val="000000"/>
                      <w:sz w:val="16"/>
                      <w:szCs w:val="16"/>
                      <w:lang w:eastAsia="zh-CN" w:bidi="ar"/>
                    </w:rPr>
                    <w:t>日针对美国关</w:t>
                  </w:r>
                  <w:r w:rsidRPr="00230008">
                    <w:rPr>
                      <w:rFonts w:eastAsia="宋体"/>
                      <w:color w:val="000000"/>
                      <w:sz w:val="16"/>
                      <w:szCs w:val="16"/>
                      <w:lang w:eastAsia="zh-CN" w:bidi="ar"/>
                    </w:rPr>
                    <w:lastRenderedPageBreak/>
                    <w:t>税的反制措施暂停</w:t>
                  </w:r>
                  <w:r w:rsidRPr="00230008">
                    <w:rPr>
                      <w:rFonts w:eastAsia="宋体"/>
                      <w:color w:val="000000"/>
                      <w:sz w:val="16"/>
                      <w:szCs w:val="16"/>
                      <w:lang w:eastAsia="zh-CN" w:bidi="ar"/>
                    </w:rPr>
                    <w:t>90</w:t>
                  </w:r>
                  <w:r w:rsidRPr="00230008">
                    <w:rPr>
                      <w:rFonts w:eastAsia="宋体"/>
                      <w:color w:val="000000"/>
                      <w:sz w:val="16"/>
                      <w:szCs w:val="16"/>
                      <w:lang w:eastAsia="zh-CN" w:bidi="ar"/>
                    </w:rPr>
                    <w:t>天；进一步反制措施的准备工作仍在继续，如果谈判不能令人满意，将采取反制措施。</w:t>
                  </w:r>
                  <w:r w:rsidRPr="00230008">
                    <w:rPr>
                      <w:rFonts w:eastAsia="宋体" w:hint="eastAsia"/>
                      <w:color w:val="000000"/>
                      <w:sz w:val="16"/>
                      <w:szCs w:val="16"/>
                      <w:lang w:eastAsia="zh-CN" w:bidi="ar"/>
                    </w:rPr>
                    <w:t>（</w:t>
                  </w:r>
                  <w:r w:rsidRPr="00230008">
                    <w:rPr>
                      <w:rFonts w:eastAsia="宋体" w:hint="eastAsia"/>
                      <w:color w:val="000000"/>
                      <w:sz w:val="16"/>
                      <w:szCs w:val="16"/>
                      <w:lang w:eastAsia="zh-CN" w:bidi="ar"/>
                    </w:rPr>
                    <w:t>3</w:t>
                  </w:r>
                  <w:r w:rsidRPr="00230008">
                    <w:rPr>
                      <w:rFonts w:eastAsia="宋体" w:hint="eastAsia"/>
                      <w:color w:val="000000"/>
                      <w:sz w:val="16"/>
                      <w:szCs w:val="16"/>
                      <w:lang w:eastAsia="zh-CN" w:bidi="ar"/>
                    </w:rPr>
                    <w:t>）</w:t>
                  </w:r>
                  <w:r w:rsidRPr="00230008">
                    <w:rPr>
                      <w:rFonts w:eastAsia="宋体"/>
                      <w:color w:val="000000"/>
                      <w:sz w:val="16"/>
                      <w:szCs w:val="16"/>
                      <w:lang w:eastAsia="zh-CN" w:bidi="ar"/>
                    </w:rPr>
                    <w:t>从成员国看，仅德法立场相对强硬，西班牙和意大利表示将对国内企业和产业提供支持，意大利政府表示将以</w:t>
                  </w:r>
                  <w:r w:rsidRPr="00230008">
                    <w:rPr>
                      <w:rFonts w:eastAsia="宋体"/>
                      <w:color w:val="000000"/>
                      <w:sz w:val="16"/>
                      <w:szCs w:val="16"/>
                      <w:lang w:eastAsia="zh-CN" w:bidi="ar"/>
                    </w:rPr>
                    <w:t>“</w:t>
                  </w:r>
                  <w:r w:rsidRPr="00230008">
                    <w:rPr>
                      <w:rFonts w:eastAsia="宋体"/>
                      <w:color w:val="000000"/>
                      <w:sz w:val="16"/>
                      <w:szCs w:val="16"/>
                      <w:lang w:eastAsia="zh-CN" w:bidi="ar"/>
                    </w:rPr>
                    <w:t>坚定和务实的态度</w:t>
                  </w:r>
                  <w:r w:rsidRPr="00230008">
                    <w:rPr>
                      <w:rFonts w:eastAsia="宋体"/>
                      <w:color w:val="000000"/>
                      <w:sz w:val="16"/>
                      <w:szCs w:val="16"/>
                      <w:lang w:eastAsia="zh-CN" w:bidi="ar"/>
                    </w:rPr>
                    <w:t>”</w:t>
                  </w:r>
                  <w:r w:rsidRPr="00230008">
                    <w:rPr>
                      <w:rFonts w:eastAsia="宋体"/>
                      <w:color w:val="000000"/>
                      <w:sz w:val="16"/>
                      <w:szCs w:val="16"/>
                      <w:lang w:eastAsia="zh-CN" w:bidi="ar"/>
                    </w:rPr>
                    <w:t>应对美国加征关税问题。</w:t>
                  </w:r>
                </w:p>
              </w:tc>
            </w:tr>
            <w:tr w:rsidR="00230008" w:rsidRPr="00230008" w14:paraId="1E12CAD9" w14:textId="77777777" w:rsidTr="00230008">
              <w:trPr>
                <w:trHeight w:val="3351"/>
                <w:jc w:val="center"/>
              </w:trPr>
              <w:tc>
                <w:tcPr>
                  <w:tcW w:w="813" w:type="dxa"/>
                  <w:tcBorders>
                    <w:top w:val="nil"/>
                    <w:left w:val="nil"/>
                    <w:bottom w:val="single" w:sz="4" w:space="0" w:color="auto"/>
                    <w:right w:val="single" w:sz="4" w:space="0" w:color="auto"/>
                  </w:tcBorders>
                  <w:shd w:val="clear" w:color="000000" w:fill="FFFFFF"/>
                  <w:vAlign w:val="center"/>
                </w:tcPr>
                <w:p w14:paraId="24CFB1C4" w14:textId="77777777" w:rsidR="00230008" w:rsidRPr="00230008" w:rsidRDefault="00230008" w:rsidP="00230008">
                  <w:pPr>
                    <w:spacing w:line="240" w:lineRule="auto"/>
                    <w:ind w:firstLineChars="0" w:firstLine="0"/>
                    <w:textAlignment w:val="center"/>
                    <w:rPr>
                      <w:rFonts w:eastAsia="宋体"/>
                      <w:color w:val="000000"/>
                      <w:sz w:val="16"/>
                      <w:szCs w:val="16"/>
                      <w:lang w:eastAsia="zh-CN" w:bidi="ar-SA"/>
                    </w:rPr>
                  </w:pPr>
                  <w:r w:rsidRPr="00230008">
                    <w:rPr>
                      <w:rFonts w:eastAsia="宋体"/>
                      <w:b/>
                      <w:bCs/>
                      <w:color w:val="000000"/>
                      <w:sz w:val="16"/>
                      <w:szCs w:val="16"/>
                      <w:lang w:eastAsia="zh-CN" w:bidi="ar"/>
                    </w:rPr>
                    <w:lastRenderedPageBreak/>
                    <w:t>其他</w:t>
                  </w:r>
                  <w:r w:rsidRPr="00230008">
                    <w:rPr>
                      <w:rFonts w:eastAsia="宋体"/>
                      <w:b/>
                      <w:bCs/>
                      <w:color w:val="000000"/>
                      <w:sz w:val="16"/>
                      <w:szCs w:val="16"/>
                      <w:lang w:eastAsia="zh-CN" w:bidi="ar"/>
                    </w:rPr>
                    <w:t>57</w:t>
                  </w:r>
                  <w:r w:rsidRPr="00230008">
                    <w:rPr>
                      <w:rFonts w:eastAsia="宋体"/>
                      <w:b/>
                      <w:bCs/>
                      <w:color w:val="000000"/>
                      <w:sz w:val="16"/>
                      <w:szCs w:val="16"/>
                      <w:lang w:eastAsia="zh-CN" w:bidi="ar"/>
                    </w:rPr>
                    <w:t>国</w:t>
                  </w:r>
                  <w:r w:rsidRPr="00230008">
                    <w:rPr>
                      <w:rFonts w:eastAsia="宋体"/>
                      <w:b/>
                      <w:bCs/>
                      <w:color w:val="000000"/>
                      <w:sz w:val="16"/>
                      <w:szCs w:val="16"/>
                      <w:lang w:eastAsia="zh-CN" w:bidi="ar"/>
                    </w:rPr>
                    <w:t>(</w:t>
                  </w:r>
                  <w:r w:rsidRPr="00230008">
                    <w:rPr>
                      <w:rFonts w:eastAsia="宋体"/>
                      <w:b/>
                      <w:bCs/>
                      <w:color w:val="000000"/>
                      <w:sz w:val="16"/>
                      <w:szCs w:val="16"/>
                      <w:lang w:eastAsia="zh-CN" w:bidi="ar"/>
                    </w:rPr>
                    <w:t>包括印度、巴西、韩国</w:t>
                  </w:r>
                  <w:r w:rsidRPr="00230008">
                    <w:rPr>
                      <w:rFonts w:eastAsia="宋体" w:hint="eastAsia"/>
                      <w:b/>
                      <w:bCs/>
                      <w:color w:val="000000"/>
                      <w:sz w:val="16"/>
                      <w:szCs w:val="16"/>
                      <w:lang w:eastAsia="zh-CN" w:bidi="ar"/>
                    </w:rPr>
                    <w:t>、越南</w:t>
                  </w:r>
                  <w:r w:rsidRPr="00230008">
                    <w:rPr>
                      <w:rFonts w:eastAsia="宋体"/>
                      <w:b/>
                      <w:bCs/>
                      <w:color w:val="000000"/>
                      <w:sz w:val="16"/>
                      <w:szCs w:val="16"/>
                      <w:lang w:eastAsia="zh-CN" w:bidi="ar"/>
                    </w:rPr>
                    <w:t>等</w:t>
                  </w:r>
                  <w:r w:rsidRPr="00230008">
                    <w:rPr>
                      <w:rFonts w:eastAsia="宋体" w:hint="eastAsia"/>
                      <w:b/>
                      <w:bCs/>
                      <w:color w:val="000000"/>
                      <w:sz w:val="16"/>
                      <w:szCs w:val="16"/>
                      <w:lang w:eastAsia="zh-CN" w:bidi="ar"/>
                    </w:rPr>
                    <w:t>）</w:t>
                  </w:r>
                  <w:r w:rsidRPr="00230008">
                    <w:rPr>
                      <w:rFonts w:eastAsia="宋体"/>
                      <w:color w:val="000000"/>
                      <w:sz w:val="16"/>
                      <w:szCs w:val="16"/>
                      <w:lang w:eastAsia="zh-CN" w:bidi="ar"/>
                    </w:rPr>
                    <w:t>​</w:t>
                  </w:r>
                </w:p>
              </w:tc>
              <w:tc>
                <w:tcPr>
                  <w:tcW w:w="2954" w:type="dxa"/>
                  <w:tcBorders>
                    <w:top w:val="nil"/>
                    <w:left w:val="nil"/>
                    <w:bottom w:val="single" w:sz="4" w:space="0" w:color="auto"/>
                    <w:right w:val="single" w:sz="4" w:space="0" w:color="auto"/>
                  </w:tcBorders>
                  <w:shd w:val="clear" w:color="000000" w:fill="FFFFFF"/>
                  <w:vAlign w:val="center"/>
                </w:tcPr>
                <w:p w14:paraId="4EE36BD1" w14:textId="77777777" w:rsidR="00230008" w:rsidRPr="00230008" w:rsidRDefault="00230008" w:rsidP="00230008">
                  <w:pPr>
                    <w:ind w:firstLineChars="0" w:firstLine="0"/>
                    <w:textAlignment w:val="center"/>
                    <w:rPr>
                      <w:rFonts w:eastAsia="宋体"/>
                      <w:color w:val="000000"/>
                      <w:sz w:val="16"/>
                      <w:szCs w:val="16"/>
                      <w:lang w:eastAsia="zh-CN" w:bidi="ar-SA"/>
                    </w:rPr>
                  </w:pPr>
                  <w:r w:rsidRPr="00230008">
                    <w:rPr>
                      <w:rFonts w:eastAsia="宋体" w:hint="eastAsia"/>
                      <w:color w:val="000000"/>
                      <w:kern w:val="0"/>
                      <w:sz w:val="16"/>
                      <w:szCs w:val="16"/>
                      <w:lang w:eastAsia="zh-CN" w:bidi="ar"/>
                    </w:rPr>
                    <w:t>（</w:t>
                  </w:r>
                  <w:r w:rsidRPr="00230008">
                    <w:rPr>
                      <w:rFonts w:eastAsia="宋体" w:hint="eastAsia"/>
                      <w:color w:val="000000"/>
                      <w:kern w:val="0"/>
                      <w:sz w:val="16"/>
                      <w:szCs w:val="16"/>
                      <w:lang w:eastAsia="zh-CN" w:bidi="ar"/>
                    </w:rPr>
                    <w:t>1</w:t>
                  </w:r>
                  <w:r w:rsidRPr="00230008">
                    <w:rPr>
                      <w:rFonts w:eastAsia="宋体" w:hint="eastAsia"/>
                      <w:color w:val="000000"/>
                      <w:kern w:val="0"/>
                      <w:sz w:val="16"/>
                      <w:szCs w:val="16"/>
                      <w:lang w:eastAsia="zh-CN" w:bidi="ar"/>
                    </w:rPr>
                    <w:t>）</w:t>
                  </w:r>
                  <w:r w:rsidRPr="00230008">
                    <w:rPr>
                      <w:rFonts w:eastAsia="宋体"/>
                      <w:color w:val="000000"/>
                      <w:sz w:val="16"/>
                      <w:szCs w:val="16"/>
                      <w:lang w:eastAsia="zh-CN" w:bidi="ar"/>
                    </w:rPr>
                    <w:t>根据</w:t>
                  </w:r>
                  <w:r w:rsidRPr="00230008">
                    <w:rPr>
                      <w:rFonts w:eastAsia="宋体"/>
                      <w:color w:val="000000"/>
                      <w:sz w:val="16"/>
                      <w:szCs w:val="16"/>
                      <w:lang w:eastAsia="zh-CN" w:bidi="ar"/>
                    </w:rPr>
                    <w:t>4</w:t>
                  </w:r>
                  <w:r w:rsidRPr="00230008">
                    <w:rPr>
                      <w:rFonts w:eastAsia="宋体"/>
                      <w:color w:val="000000"/>
                      <w:sz w:val="16"/>
                      <w:szCs w:val="16"/>
                      <w:lang w:eastAsia="zh-CN" w:bidi="ar"/>
                    </w:rPr>
                    <w:t>月</w:t>
                  </w:r>
                  <w:r w:rsidRPr="00230008">
                    <w:rPr>
                      <w:rFonts w:eastAsia="宋体"/>
                      <w:color w:val="000000"/>
                      <w:sz w:val="16"/>
                      <w:szCs w:val="16"/>
                      <w:lang w:eastAsia="zh-CN" w:bidi="ar"/>
                    </w:rPr>
                    <w:t>2</w:t>
                  </w:r>
                  <w:r w:rsidRPr="00230008">
                    <w:rPr>
                      <w:rFonts w:eastAsia="宋体"/>
                      <w:color w:val="000000"/>
                      <w:sz w:val="16"/>
                      <w:szCs w:val="16"/>
                      <w:lang w:eastAsia="zh-CN" w:bidi="ar"/>
                    </w:rPr>
                    <w:t>日美国总统特朗普签署的</w:t>
                  </w:r>
                  <w:r w:rsidRPr="00230008">
                    <w:rPr>
                      <w:rFonts w:eastAsia="宋体"/>
                      <w:color w:val="000000"/>
                      <w:sz w:val="16"/>
                      <w:szCs w:val="16"/>
                      <w:lang w:eastAsia="zh-CN" w:bidi="ar"/>
                    </w:rPr>
                    <w:t>“</w:t>
                  </w:r>
                  <w:r w:rsidRPr="00230008">
                    <w:rPr>
                      <w:rFonts w:eastAsia="宋体"/>
                      <w:color w:val="000000"/>
                      <w:sz w:val="16"/>
                      <w:szCs w:val="16"/>
                      <w:lang w:eastAsia="zh-CN" w:bidi="ar"/>
                    </w:rPr>
                    <w:t>解放日</w:t>
                  </w:r>
                  <w:r w:rsidRPr="00230008">
                    <w:rPr>
                      <w:rFonts w:eastAsia="宋体"/>
                      <w:color w:val="000000"/>
                      <w:sz w:val="16"/>
                      <w:szCs w:val="16"/>
                      <w:lang w:eastAsia="zh-CN" w:bidi="ar"/>
                    </w:rPr>
                    <w:t>”</w:t>
                  </w:r>
                  <w:r w:rsidRPr="00230008">
                    <w:rPr>
                      <w:rFonts w:eastAsia="宋体"/>
                      <w:color w:val="000000"/>
                      <w:sz w:val="16"/>
                      <w:szCs w:val="16"/>
                      <w:lang w:eastAsia="zh-CN" w:bidi="ar"/>
                    </w:rPr>
                    <w:t>行政命令，自</w:t>
                  </w:r>
                  <w:r w:rsidRPr="00230008">
                    <w:rPr>
                      <w:rFonts w:eastAsia="宋体"/>
                      <w:color w:val="000000"/>
                      <w:sz w:val="16"/>
                      <w:szCs w:val="16"/>
                      <w:lang w:eastAsia="zh-CN" w:bidi="ar"/>
                    </w:rPr>
                    <w:t>4</w:t>
                  </w:r>
                  <w:r w:rsidRPr="00230008">
                    <w:rPr>
                      <w:rFonts w:eastAsia="宋体"/>
                      <w:color w:val="000000"/>
                      <w:sz w:val="16"/>
                      <w:szCs w:val="16"/>
                      <w:lang w:eastAsia="zh-CN" w:bidi="ar"/>
                    </w:rPr>
                    <w:t>月</w:t>
                  </w:r>
                  <w:r w:rsidRPr="00230008">
                    <w:rPr>
                      <w:rFonts w:eastAsia="宋体"/>
                      <w:color w:val="000000"/>
                      <w:sz w:val="16"/>
                      <w:szCs w:val="16"/>
                      <w:lang w:eastAsia="zh-CN" w:bidi="ar"/>
                    </w:rPr>
                    <w:t>5</w:t>
                  </w:r>
                  <w:r w:rsidRPr="00230008">
                    <w:rPr>
                      <w:rFonts w:eastAsia="宋体"/>
                      <w:color w:val="000000"/>
                      <w:sz w:val="16"/>
                      <w:szCs w:val="16"/>
                      <w:lang w:eastAsia="zh-CN" w:bidi="ar"/>
                    </w:rPr>
                    <w:t>日起征收</w:t>
                  </w:r>
                  <w:r w:rsidRPr="00230008">
                    <w:rPr>
                      <w:rFonts w:eastAsia="宋体"/>
                      <w:color w:val="000000"/>
                      <w:sz w:val="16"/>
                      <w:szCs w:val="16"/>
                      <w:lang w:eastAsia="zh-CN" w:bidi="ar"/>
                    </w:rPr>
                    <w:t>10%</w:t>
                  </w:r>
                  <w:r w:rsidRPr="00230008">
                    <w:rPr>
                      <w:rFonts w:eastAsia="宋体"/>
                      <w:color w:val="000000"/>
                      <w:sz w:val="16"/>
                      <w:szCs w:val="16"/>
                      <w:lang w:eastAsia="zh-CN" w:bidi="ar"/>
                    </w:rPr>
                    <w:t>的基础从价关税，自</w:t>
                  </w:r>
                  <w:r w:rsidRPr="00230008">
                    <w:rPr>
                      <w:rFonts w:eastAsia="宋体"/>
                      <w:color w:val="000000"/>
                      <w:sz w:val="16"/>
                      <w:szCs w:val="16"/>
                      <w:lang w:eastAsia="zh-CN" w:bidi="ar"/>
                    </w:rPr>
                    <w:t>4</w:t>
                  </w:r>
                  <w:r w:rsidRPr="00230008">
                    <w:rPr>
                      <w:rFonts w:eastAsia="宋体"/>
                      <w:color w:val="000000"/>
                      <w:sz w:val="16"/>
                      <w:szCs w:val="16"/>
                      <w:lang w:eastAsia="zh-CN" w:bidi="ar"/>
                    </w:rPr>
                    <w:t>月</w:t>
                  </w:r>
                  <w:r w:rsidRPr="00230008">
                    <w:rPr>
                      <w:rFonts w:eastAsia="宋体"/>
                      <w:color w:val="000000"/>
                      <w:sz w:val="16"/>
                      <w:szCs w:val="16"/>
                      <w:lang w:eastAsia="zh-CN" w:bidi="ar"/>
                    </w:rPr>
                    <w:t>9</w:t>
                  </w:r>
                  <w:r w:rsidRPr="00230008">
                    <w:rPr>
                      <w:rFonts w:eastAsia="宋体"/>
                      <w:color w:val="000000"/>
                      <w:sz w:val="16"/>
                      <w:szCs w:val="16"/>
                      <w:lang w:eastAsia="zh-CN" w:bidi="ar"/>
                    </w:rPr>
                    <w:t>日起加征</w:t>
                  </w:r>
                  <w:r w:rsidRPr="00230008">
                    <w:rPr>
                      <w:rFonts w:eastAsia="宋体"/>
                      <w:color w:val="000000"/>
                      <w:sz w:val="16"/>
                      <w:szCs w:val="16"/>
                      <w:lang w:eastAsia="zh-CN" w:bidi="ar"/>
                    </w:rPr>
                    <w:t>11%-50%</w:t>
                  </w:r>
                  <w:r w:rsidRPr="00230008">
                    <w:rPr>
                      <w:rFonts w:eastAsia="宋体"/>
                      <w:color w:val="000000"/>
                      <w:sz w:val="16"/>
                      <w:szCs w:val="16"/>
                      <w:lang w:eastAsia="zh-CN" w:bidi="ar"/>
                    </w:rPr>
                    <w:t>不等的</w:t>
                  </w:r>
                  <w:r w:rsidRPr="00230008">
                    <w:rPr>
                      <w:rFonts w:eastAsia="宋体"/>
                      <w:color w:val="000000"/>
                      <w:sz w:val="16"/>
                      <w:szCs w:val="16"/>
                      <w:lang w:eastAsia="zh-CN" w:bidi="ar"/>
                    </w:rPr>
                    <w:t>“</w:t>
                  </w:r>
                  <w:r w:rsidRPr="00230008">
                    <w:rPr>
                      <w:rFonts w:eastAsia="宋体"/>
                      <w:color w:val="000000"/>
                      <w:sz w:val="16"/>
                      <w:szCs w:val="16"/>
                      <w:lang w:eastAsia="zh-CN" w:bidi="ar"/>
                    </w:rPr>
                    <w:t>对等关税</w:t>
                  </w:r>
                  <w:r w:rsidRPr="00230008">
                    <w:rPr>
                      <w:rFonts w:eastAsia="宋体"/>
                      <w:color w:val="000000"/>
                      <w:sz w:val="16"/>
                      <w:szCs w:val="16"/>
                      <w:lang w:eastAsia="zh-CN" w:bidi="ar"/>
                    </w:rPr>
                    <w:t>”</w:t>
                  </w:r>
                  <w:r w:rsidRPr="00230008">
                    <w:rPr>
                      <w:rFonts w:eastAsia="宋体"/>
                      <w:color w:val="000000"/>
                      <w:sz w:val="16"/>
                      <w:szCs w:val="16"/>
                      <w:lang w:eastAsia="zh-CN" w:bidi="ar"/>
                    </w:rPr>
                    <w:t>。</w:t>
                  </w:r>
                  <w:r w:rsidRPr="00230008">
                    <w:rPr>
                      <w:rFonts w:eastAsia="宋体" w:hint="eastAsia"/>
                      <w:color w:val="000000"/>
                      <w:sz w:val="16"/>
                      <w:szCs w:val="16"/>
                      <w:lang w:eastAsia="zh-CN" w:bidi="ar"/>
                    </w:rPr>
                    <w:t>（</w:t>
                  </w:r>
                  <w:r w:rsidRPr="00230008">
                    <w:rPr>
                      <w:rFonts w:eastAsia="宋体" w:hint="eastAsia"/>
                      <w:color w:val="000000"/>
                      <w:sz w:val="16"/>
                      <w:szCs w:val="16"/>
                      <w:lang w:eastAsia="zh-CN" w:bidi="ar"/>
                    </w:rPr>
                    <w:t>2</w:t>
                  </w:r>
                  <w:r w:rsidRPr="00230008">
                    <w:rPr>
                      <w:rFonts w:eastAsia="宋体" w:hint="eastAsia"/>
                      <w:color w:val="000000"/>
                      <w:sz w:val="16"/>
                      <w:szCs w:val="16"/>
                      <w:lang w:eastAsia="zh-CN" w:bidi="ar"/>
                    </w:rPr>
                    <w:t>）</w:t>
                  </w:r>
                  <w:r w:rsidRPr="00230008">
                    <w:rPr>
                      <w:rFonts w:eastAsia="宋体"/>
                      <w:color w:val="000000"/>
                      <w:sz w:val="16"/>
                      <w:szCs w:val="16"/>
                      <w:lang w:eastAsia="zh-CN" w:bidi="ar"/>
                    </w:rPr>
                    <w:t>4</w:t>
                  </w:r>
                  <w:r w:rsidRPr="00230008">
                    <w:rPr>
                      <w:rFonts w:eastAsia="宋体"/>
                      <w:color w:val="000000"/>
                      <w:sz w:val="16"/>
                      <w:szCs w:val="16"/>
                      <w:lang w:eastAsia="zh-CN" w:bidi="ar"/>
                    </w:rPr>
                    <w:t>月</w:t>
                  </w:r>
                  <w:r w:rsidRPr="00230008">
                    <w:rPr>
                      <w:rFonts w:eastAsia="宋体"/>
                      <w:color w:val="000000"/>
                      <w:sz w:val="16"/>
                      <w:szCs w:val="16"/>
                      <w:lang w:eastAsia="zh-CN" w:bidi="ar"/>
                    </w:rPr>
                    <w:t>10</w:t>
                  </w:r>
                  <w:r w:rsidRPr="00230008">
                    <w:rPr>
                      <w:rFonts w:eastAsia="宋体"/>
                      <w:color w:val="000000"/>
                      <w:sz w:val="16"/>
                      <w:szCs w:val="16"/>
                      <w:lang w:eastAsia="zh-CN" w:bidi="ar"/>
                    </w:rPr>
                    <w:t>日，美国宣布实施</w:t>
                  </w:r>
                  <w:r w:rsidRPr="00230008">
                    <w:rPr>
                      <w:rFonts w:eastAsia="宋体"/>
                      <w:color w:val="000000"/>
                      <w:sz w:val="16"/>
                      <w:szCs w:val="16"/>
                      <w:lang w:eastAsia="zh-CN" w:bidi="ar"/>
                    </w:rPr>
                    <w:t>90</w:t>
                  </w:r>
                  <w:r w:rsidRPr="00230008">
                    <w:rPr>
                      <w:rFonts w:eastAsia="宋体"/>
                      <w:color w:val="000000"/>
                      <w:sz w:val="16"/>
                      <w:szCs w:val="16"/>
                      <w:lang w:eastAsia="zh-CN" w:bidi="ar"/>
                    </w:rPr>
                    <w:t>天的关税暂停，且仅保留了</w:t>
                  </w:r>
                  <w:r w:rsidRPr="00230008">
                    <w:rPr>
                      <w:rFonts w:eastAsia="宋体"/>
                      <w:color w:val="000000"/>
                      <w:sz w:val="16"/>
                      <w:szCs w:val="16"/>
                      <w:lang w:eastAsia="zh-CN" w:bidi="ar"/>
                    </w:rPr>
                    <w:t>10%</w:t>
                  </w:r>
                  <w:r w:rsidRPr="00230008">
                    <w:rPr>
                      <w:rFonts w:eastAsia="宋体"/>
                      <w:color w:val="000000"/>
                      <w:sz w:val="16"/>
                      <w:szCs w:val="16"/>
                      <w:lang w:eastAsia="zh-CN" w:bidi="ar"/>
                    </w:rPr>
                    <w:t>的基础从价关税；</w:t>
                  </w:r>
                </w:p>
              </w:tc>
              <w:tc>
                <w:tcPr>
                  <w:tcW w:w="2288" w:type="dxa"/>
                  <w:vMerge/>
                  <w:tcBorders>
                    <w:top w:val="nil"/>
                    <w:left w:val="single" w:sz="4" w:space="0" w:color="auto"/>
                    <w:bottom w:val="single" w:sz="4" w:space="0" w:color="auto"/>
                    <w:right w:val="single" w:sz="4" w:space="0" w:color="auto"/>
                  </w:tcBorders>
                  <w:shd w:val="clear" w:color="000000" w:fill="FFFFFF"/>
                  <w:vAlign w:val="center"/>
                </w:tcPr>
                <w:p w14:paraId="05AC12F0" w14:textId="77777777" w:rsidR="00230008" w:rsidRPr="00230008" w:rsidRDefault="00230008" w:rsidP="00230008">
                  <w:pPr>
                    <w:ind w:firstLineChars="0" w:firstLine="0"/>
                    <w:jc w:val="center"/>
                    <w:rPr>
                      <w:rFonts w:eastAsia="宋体"/>
                      <w:color w:val="000000"/>
                      <w:sz w:val="16"/>
                      <w:szCs w:val="16"/>
                      <w:lang w:eastAsia="zh-CN" w:bidi="ar-SA"/>
                    </w:rPr>
                  </w:pPr>
                </w:p>
              </w:tc>
              <w:tc>
                <w:tcPr>
                  <w:tcW w:w="3478" w:type="dxa"/>
                  <w:tcBorders>
                    <w:top w:val="nil"/>
                    <w:left w:val="nil"/>
                    <w:bottom w:val="single" w:sz="4" w:space="0" w:color="auto"/>
                    <w:right w:val="nil"/>
                  </w:tcBorders>
                  <w:shd w:val="clear" w:color="000000" w:fill="FFFFFF"/>
                  <w:vAlign w:val="center"/>
                </w:tcPr>
                <w:p w14:paraId="355F24C8" w14:textId="77777777" w:rsidR="00230008" w:rsidRPr="00230008" w:rsidRDefault="00230008" w:rsidP="00230008">
                  <w:pPr>
                    <w:ind w:firstLineChars="0" w:firstLine="0"/>
                    <w:textAlignment w:val="center"/>
                    <w:rPr>
                      <w:rFonts w:eastAsia="宋体"/>
                      <w:color w:val="000000"/>
                      <w:sz w:val="16"/>
                      <w:szCs w:val="16"/>
                      <w:lang w:eastAsia="zh-CN" w:bidi="ar-SA"/>
                    </w:rPr>
                  </w:pPr>
                  <w:r w:rsidRPr="00230008">
                    <w:rPr>
                      <w:rFonts w:eastAsia="宋体" w:hint="eastAsia"/>
                      <w:color w:val="000000"/>
                      <w:kern w:val="0"/>
                      <w:sz w:val="16"/>
                      <w:szCs w:val="16"/>
                      <w:lang w:eastAsia="zh-CN" w:bidi="ar"/>
                    </w:rPr>
                    <w:t>（</w:t>
                  </w:r>
                  <w:r w:rsidRPr="00230008">
                    <w:rPr>
                      <w:rFonts w:eastAsia="宋体" w:hint="eastAsia"/>
                      <w:color w:val="000000"/>
                      <w:kern w:val="0"/>
                      <w:sz w:val="16"/>
                      <w:szCs w:val="16"/>
                      <w:lang w:eastAsia="zh-CN" w:bidi="ar"/>
                    </w:rPr>
                    <w:t>1</w:t>
                  </w:r>
                  <w:r w:rsidRPr="00230008">
                    <w:rPr>
                      <w:rFonts w:eastAsia="宋体" w:hint="eastAsia"/>
                      <w:color w:val="000000"/>
                      <w:kern w:val="0"/>
                      <w:sz w:val="16"/>
                      <w:szCs w:val="16"/>
                      <w:lang w:eastAsia="zh-CN" w:bidi="ar"/>
                    </w:rPr>
                    <w:t>）</w:t>
                  </w:r>
                  <w:r w:rsidRPr="00230008">
                    <w:rPr>
                      <w:rFonts w:eastAsia="宋体"/>
                      <w:color w:val="000000"/>
                      <w:sz w:val="16"/>
                      <w:szCs w:val="16"/>
                      <w:lang w:eastAsia="zh-CN" w:bidi="ar"/>
                    </w:rPr>
                    <w:t>大部分国家仅表示遗憾和失望，并没有采取实质性反制措施，澳大利亚、新西兰等一些国家甚至明确表示不寻求对美国产品征收对等关税，东盟国家希望加强区域协调。（</w:t>
                  </w:r>
                  <w:r w:rsidRPr="00230008">
                    <w:rPr>
                      <w:rFonts w:eastAsia="宋体"/>
                      <w:color w:val="000000"/>
                      <w:sz w:val="16"/>
                      <w:szCs w:val="16"/>
                      <w:lang w:eastAsia="zh-CN" w:bidi="ar"/>
                    </w:rPr>
                    <w:t>2</w:t>
                  </w:r>
                  <w:r w:rsidRPr="00230008">
                    <w:rPr>
                      <w:rFonts w:eastAsia="宋体"/>
                      <w:color w:val="000000"/>
                      <w:sz w:val="16"/>
                      <w:szCs w:val="16"/>
                      <w:lang w:eastAsia="zh-CN" w:bidi="ar"/>
                    </w:rPr>
                    <w:t>）一些国家主动寻求与美国进行谈判协商，甚至愿意降低对美国进口商品的关税以避免美国的高额关税，比如越南、印度等。（</w:t>
                  </w:r>
                  <w:r w:rsidRPr="00230008">
                    <w:rPr>
                      <w:rFonts w:eastAsia="宋体"/>
                      <w:color w:val="000000"/>
                      <w:sz w:val="16"/>
                      <w:szCs w:val="16"/>
                      <w:lang w:eastAsia="zh-CN" w:bidi="ar"/>
                    </w:rPr>
                    <w:t>3</w:t>
                  </w:r>
                  <w:r w:rsidRPr="00230008">
                    <w:rPr>
                      <w:rFonts w:eastAsia="宋体"/>
                      <w:color w:val="000000"/>
                      <w:sz w:val="16"/>
                      <w:szCs w:val="16"/>
                      <w:lang w:eastAsia="zh-CN" w:bidi="ar"/>
                    </w:rPr>
                    <w:t>）韩国、英国、澳大利亚等计划出台国内政策以应对美国关税政策的影响。（</w:t>
                  </w:r>
                  <w:r w:rsidRPr="00230008">
                    <w:rPr>
                      <w:rFonts w:eastAsia="宋体"/>
                      <w:color w:val="000000"/>
                      <w:sz w:val="16"/>
                      <w:szCs w:val="16"/>
                      <w:lang w:eastAsia="zh-CN" w:bidi="ar"/>
                    </w:rPr>
                    <w:t>4</w:t>
                  </w:r>
                  <w:r w:rsidRPr="00230008">
                    <w:rPr>
                      <w:rFonts w:eastAsia="宋体"/>
                      <w:color w:val="000000"/>
                      <w:sz w:val="16"/>
                      <w:szCs w:val="16"/>
                      <w:lang w:eastAsia="zh-CN" w:bidi="ar"/>
                    </w:rPr>
                    <w:t>）巴西通过《经济对等法案》，为对美国商品实施报复性关税提供了法律依据，并表示将向世界贸易组织提出申诉。</w:t>
                  </w:r>
                </w:p>
              </w:tc>
            </w:tr>
            <w:tr w:rsidR="00230008" w:rsidRPr="00230008" w14:paraId="240C2C1B" w14:textId="77777777" w:rsidTr="00230008">
              <w:trPr>
                <w:trHeight w:val="942"/>
                <w:jc w:val="center"/>
              </w:trPr>
              <w:tc>
                <w:tcPr>
                  <w:tcW w:w="813" w:type="dxa"/>
                  <w:tcBorders>
                    <w:top w:val="nil"/>
                    <w:left w:val="nil"/>
                    <w:bottom w:val="single" w:sz="4" w:space="0" w:color="auto"/>
                    <w:right w:val="single" w:sz="4" w:space="0" w:color="auto"/>
                  </w:tcBorders>
                  <w:shd w:val="clear" w:color="000000" w:fill="FFFFFF"/>
                  <w:vAlign w:val="center"/>
                </w:tcPr>
                <w:p w14:paraId="51FCB787" w14:textId="77777777" w:rsidR="00230008" w:rsidRPr="00230008" w:rsidRDefault="00230008" w:rsidP="00230008">
                  <w:pPr>
                    <w:spacing w:line="240" w:lineRule="auto"/>
                    <w:ind w:firstLineChars="0" w:firstLine="0"/>
                    <w:textAlignment w:val="center"/>
                    <w:rPr>
                      <w:rFonts w:eastAsia="宋体"/>
                      <w:color w:val="000000"/>
                      <w:sz w:val="16"/>
                      <w:szCs w:val="16"/>
                      <w:lang w:eastAsia="zh-CN" w:bidi="ar-SA"/>
                    </w:rPr>
                  </w:pPr>
                  <w:r w:rsidRPr="00230008">
                    <w:rPr>
                      <w:rFonts w:eastAsia="宋体"/>
                      <w:b/>
                      <w:bCs/>
                      <w:color w:val="000000"/>
                      <w:sz w:val="16"/>
                      <w:szCs w:val="16"/>
                      <w:lang w:eastAsia="zh-CN" w:bidi="ar"/>
                    </w:rPr>
                    <w:t>其他国家</w:t>
                  </w:r>
                </w:p>
              </w:tc>
              <w:tc>
                <w:tcPr>
                  <w:tcW w:w="2954" w:type="dxa"/>
                  <w:tcBorders>
                    <w:top w:val="nil"/>
                    <w:left w:val="nil"/>
                    <w:bottom w:val="single" w:sz="4" w:space="0" w:color="auto"/>
                    <w:right w:val="single" w:sz="4" w:space="0" w:color="auto"/>
                  </w:tcBorders>
                  <w:shd w:val="clear" w:color="000000" w:fill="FFFFFF"/>
                  <w:vAlign w:val="center"/>
                </w:tcPr>
                <w:p w14:paraId="6719A7EF" w14:textId="77777777" w:rsidR="00230008" w:rsidRPr="00230008" w:rsidRDefault="00230008" w:rsidP="00230008">
                  <w:pPr>
                    <w:ind w:firstLineChars="0" w:firstLine="0"/>
                    <w:jc w:val="center"/>
                    <w:textAlignment w:val="center"/>
                    <w:rPr>
                      <w:rFonts w:eastAsia="宋体"/>
                      <w:color w:val="000000"/>
                      <w:sz w:val="16"/>
                      <w:szCs w:val="16"/>
                      <w:lang w:eastAsia="zh-CN" w:bidi="ar-SA"/>
                    </w:rPr>
                  </w:pPr>
                  <w:r w:rsidRPr="00230008">
                    <w:rPr>
                      <w:rFonts w:eastAsia="宋体" w:hint="eastAsia"/>
                      <w:color w:val="000000"/>
                      <w:kern w:val="0"/>
                      <w:sz w:val="16"/>
                      <w:szCs w:val="16"/>
                      <w:lang w:eastAsia="zh-CN" w:bidi="ar"/>
                    </w:rPr>
                    <w:t>（</w:t>
                  </w:r>
                  <w:r w:rsidRPr="00230008">
                    <w:rPr>
                      <w:rFonts w:eastAsia="宋体" w:hint="eastAsia"/>
                      <w:color w:val="000000"/>
                      <w:kern w:val="0"/>
                      <w:sz w:val="16"/>
                      <w:szCs w:val="16"/>
                      <w:lang w:eastAsia="zh-CN" w:bidi="ar"/>
                    </w:rPr>
                    <w:t>1</w:t>
                  </w:r>
                  <w:r w:rsidRPr="00230008">
                    <w:rPr>
                      <w:rFonts w:eastAsia="宋体" w:hint="eastAsia"/>
                      <w:color w:val="000000"/>
                      <w:kern w:val="0"/>
                      <w:sz w:val="16"/>
                      <w:szCs w:val="16"/>
                      <w:lang w:eastAsia="zh-CN" w:bidi="ar"/>
                    </w:rPr>
                    <w:t>）</w:t>
                  </w:r>
                  <w:r w:rsidRPr="00230008">
                    <w:rPr>
                      <w:rFonts w:eastAsia="宋体"/>
                      <w:color w:val="000000"/>
                      <w:sz w:val="16"/>
                      <w:szCs w:val="16"/>
                      <w:lang w:eastAsia="zh-CN" w:bidi="ar"/>
                    </w:rPr>
                    <w:t>根据</w:t>
                  </w:r>
                  <w:r w:rsidRPr="00230008">
                    <w:rPr>
                      <w:rFonts w:eastAsia="宋体"/>
                      <w:color w:val="000000"/>
                      <w:sz w:val="16"/>
                      <w:szCs w:val="16"/>
                      <w:lang w:eastAsia="zh-CN" w:bidi="ar"/>
                    </w:rPr>
                    <w:t>2025</w:t>
                  </w:r>
                  <w:r w:rsidRPr="00230008">
                    <w:rPr>
                      <w:rFonts w:eastAsia="宋体"/>
                      <w:color w:val="000000"/>
                      <w:sz w:val="16"/>
                      <w:szCs w:val="16"/>
                      <w:lang w:eastAsia="zh-CN" w:bidi="ar"/>
                    </w:rPr>
                    <w:t>年</w:t>
                  </w:r>
                  <w:r w:rsidRPr="00230008">
                    <w:rPr>
                      <w:rFonts w:eastAsia="宋体"/>
                      <w:color w:val="000000"/>
                      <w:sz w:val="16"/>
                      <w:szCs w:val="16"/>
                      <w:lang w:eastAsia="zh-CN" w:bidi="ar"/>
                    </w:rPr>
                    <w:t>4</w:t>
                  </w:r>
                  <w:r w:rsidRPr="00230008">
                    <w:rPr>
                      <w:rFonts w:eastAsia="宋体"/>
                      <w:color w:val="000000"/>
                      <w:sz w:val="16"/>
                      <w:szCs w:val="16"/>
                      <w:lang w:eastAsia="zh-CN" w:bidi="ar"/>
                    </w:rPr>
                    <w:t>月</w:t>
                  </w:r>
                  <w:r w:rsidRPr="00230008">
                    <w:rPr>
                      <w:rFonts w:eastAsia="宋体"/>
                      <w:color w:val="000000"/>
                      <w:sz w:val="16"/>
                      <w:szCs w:val="16"/>
                      <w:lang w:eastAsia="zh-CN" w:bidi="ar"/>
                    </w:rPr>
                    <w:t>2</w:t>
                  </w:r>
                  <w:r w:rsidRPr="00230008">
                    <w:rPr>
                      <w:rFonts w:eastAsia="宋体"/>
                      <w:color w:val="000000"/>
                      <w:sz w:val="16"/>
                      <w:szCs w:val="16"/>
                      <w:lang w:eastAsia="zh-CN" w:bidi="ar"/>
                    </w:rPr>
                    <w:t>日特朗普总统签署的</w:t>
                  </w:r>
                  <w:r w:rsidRPr="00230008">
                    <w:rPr>
                      <w:rFonts w:eastAsia="宋体"/>
                      <w:color w:val="000000"/>
                      <w:sz w:val="16"/>
                      <w:szCs w:val="16"/>
                      <w:lang w:eastAsia="zh-CN" w:bidi="ar"/>
                    </w:rPr>
                    <w:t>“</w:t>
                  </w:r>
                  <w:r w:rsidRPr="00230008">
                    <w:rPr>
                      <w:rFonts w:eastAsia="宋体"/>
                      <w:color w:val="000000"/>
                      <w:sz w:val="16"/>
                      <w:szCs w:val="16"/>
                      <w:lang w:eastAsia="zh-CN" w:bidi="ar"/>
                    </w:rPr>
                    <w:t>解放日</w:t>
                  </w:r>
                  <w:r w:rsidRPr="00230008">
                    <w:rPr>
                      <w:rFonts w:eastAsia="宋体"/>
                      <w:color w:val="000000"/>
                      <w:sz w:val="16"/>
                      <w:szCs w:val="16"/>
                      <w:lang w:eastAsia="zh-CN" w:bidi="ar"/>
                    </w:rPr>
                    <w:t>”</w:t>
                  </w:r>
                  <w:r w:rsidRPr="00230008">
                    <w:rPr>
                      <w:rFonts w:eastAsia="宋体"/>
                      <w:color w:val="000000"/>
                      <w:sz w:val="16"/>
                      <w:szCs w:val="16"/>
                      <w:lang w:eastAsia="zh-CN" w:bidi="ar"/>
                    </w:rPr>
                    <w:t>行政命令，对几乎所有国家的进口商品征收</w:t>
                  </w:r>
                  <w:r w:rsidRPr="00230008">
                    <w:rPr>
                      <w:rFonts w:eastAsia="宋体"/>
                      <w:color w:val="000000"/>
                      <w:sz w:val="16"/>
                      <w:szCs w:val="16"/>
                      <w:lang w:eastAsia="zh-CN" w:bidi="ar"/>
                    </w:rPr>
                    <w:t>10%</w:t>
                  </w:r>
                  <w:r w:rsidRPr="00230008">
                    <w:rPr>
                      <w:rFonts w:eastAsia="宋体"/>
                      <w:color w:val="000000"/>
                      <w:sz w:val="16"/>
                      <w:szCs w:val="16"/>
                      <w:lang w:eastAsia="zh-CN" w:bidi="ar"/>
                    </w:rPr>
                    <w:t>的基础从价关税；</w:t>
                  </w:r>
                </w:p>
              </w:tc>
              <w:tc>
                <w:tcPr>
                  <w:tcW w:w="2288" w:type="dxa"/>
                  <w:vMerge/>
                  <w:tcBorders>
                    <w:top w:val="nil"/>
                    <w:left w:val="single" w:sz="4" w:space="0" w:color="auto"/>
                    <w:bottom w:val="single" w:sz="4" w:space="0" w:color="auto"/>
                    <w:right w:val="single" w:sz="4" w:space="0" w:color="auto"/>
                  </w:tcBorders>
                  <w:shd w:val="clear" w:color="000000" w:fill="FFFFFF"/>
                  <w:vAlign w:val="center"/>
                </w:tcPr>
                <w:p w14:paraId="5E4C5942" w14:textId="77777777" w:rsidR="00230008" w:rsidRPr="00230008" w:rsidRDefault="00230008" w:rsidP="00230008">
                  <w:pPr>
                    <w:ind w:firstLineChars="0" w:firstLine="0"/>
                    <w:jc w:val="center"/>
                    <w:rPr>
                      <w:rFonts w:eastAsia="宋体"/>
                      <w:color w:val="000000"/>
                      <w:sz w:val="16"/>
                      <w:szCs w:val="16"/>
                      <w:lang w:eastAsia="zh-CN" w:bidi="ar-SA"/>
                    </w:rPr>
                  </w:pPr>
                </w:p>
              </w:tc>
              <w:tc>
                <w:tcPr>
                  <w:tcW w:w="3478" w:type="dxa"/>
                  <w:tcBorders>
                    <w:top w:val="nil"/>
                    <w:left w:val="nil"/>
                    <w:bottom w:val="single" w:sz="4" w:space="0" w:color="auto"/>
                    <w:right w:val="nil"/>
                  </w:tcBorders>
                  <w:shd w:val="clear" w:color="000000" w:fill="FFFFFF"/>
                  <w:vAlign w:val="center"/>
                </w:tcPr>
                <w:p w14:paraId="32092639" w14:textId="77777777" w:rsidR="00230008" w:rsidRPr="00230008" w:rsidRDefault="00230008" w:rsidP="00230008">
                  <w:pPr>
                    <w:ind w:firstLineChars="0" w:firstLine="0"/>
                    <w:jc w:val="center"/>
                    <w:textAlignment w:val="center"/>
                    <w:rPr>
                      <w:rFonts w:eastAsia="宋体"/>
                      <w:color w:val="000000"/>
                      <w:sz w:val="16"/>
                      <w:szCs w:val="16"/>
                      <w:lang w:eastAsia="zh-CN" w:bidi="ar-SA"/>
                    </w:rPr>
                  </w:pPr>
                </w:p>
              </w:tc>
            </w:tr>
          </w:tbl>
          <w:p w14:paraId="0204C1A8" w14:textId="77777777" w:rsidR="00230008" w:rsidRPr="00230008" w:rsidRDefault="00230008" w:rsidP="00230008">
            <w:pPr>
              <w:ind w:firstLineChars="0" w:firstLine="0"/>
              <w:jc w:val="left"/>
              <w:rPr>
                <w:rFonts w:eastAsia="楷体"/>
                <w:b/>
                <w:bCs/>
                <w:sz w:val="21"/>
                <w:szCs w:val="18"/>
                <w:lang w:eastAsia="zh-CN"/>
              </w:rPr>
            </w:pPr>
            <w:r w:rsidRPr="00230008">
              <w:rPr>
                <w:rFonts w:eastAsia="楷体" w:hint="eastAsia"/>
                <w:b/>
                <w:bCs/>
                <w:sz w:val="21"/>
                <w:szCs w:val="18"/>
                <w:lang w:eastAsia="zh-CN"/>
              </w:rPr>
              <w:t xml:space="preserve">    </w:t>
            </w:r>
            <w:r w:rsidRPr="00230008">
              <w:rPr>
                <w:rFonts w:eastAsia="楷体" w:hint="eastAsia"/>
                <w:bCs/>
                <w:sz w:val="18"/>
                <w:szCs w:val="18"/>
                <w:lang w:eastAsia="zh-CN"/>
              </w:rPr>
              <w:t>注：笔者根据新闻整理，相关信息截至</w:t>
            </w:r>
            <w:r w:rsidRPr="00230008">
              <w:rPr>
                <w:rFonts w:eastAsia="楷体" w:hint="eastAsia"/>
                <w:bCs/>
                <w:sz w:val="18"/>
                <w:szCs w:val="18"/>
                <w:lang w:eastAsia="zh-CN"/>
              </w:rPr>
              <w:t>2025</w:t>
            </w:r>
            <w:r w:rsidRPr="00230008">
              <w:rPr>
                <w:rFonts w:eastAsia="楷体" w:hint="eastAsia"/>
                <w:bCs/>
                <w:sz w:val="18"/>
                <w:szCs w:val="18"/>
                <w:lang w:eastAsia="zh-CN"/>
              </w:rPr>
              <w:t>年</w:t>
            </w:r>
            <w:r w:rsidRPr="00230008">
              <w:rPr>
                <w:rFonts w:eastAsia="楷体" w:hint="eastAsia"/>
                <w:bCs/>
                <w:sz w:val="18"/>
                <w:szCs w:val="18"/>
                <w:lang w:eastAsia="zh-CN"/>
              </w:rPr>
              <w:t>4</w:t>
            </w:r>
            <w:r w:rsidRPr="00230008">
              <w:rPr>
                <w:rFonts w:eastAsia="楷体" w:hint="eastAsia"/>
                <w:bCs/>
                <w:sz w:val="18"/>
                <w:szCs w:val="18"/>
                <w:lang w:eastAsia="zh-CN"/>
              </w:rPr>
              <w:t>月</w:t>
            </w:r>
            <w:r w:rsidRPr="00230008">
              <w:rPr>
                <w:rFonts w:eastAsia="楷体" w:hint="eastAsia"/>
                <w:bCs/>
                <w:sz w:val="18"/>
                <w:szCs w:val="18"/>
                <w:lang w:eastAsia="zh-CN"/>
              </w:rPr>
              <w:t>20</w:t>
            </w:r>
            <w:r w:rsidRPr="00230008">
              <w:rPr>
                <w:rFonts w:eastAsia="楷体" w:hint="eastAsia"/>
                <w:bCs/>
                <w:sz w:val="18"/>
                <w:szCs w:val="18"/>
                <w:lang w:eastAsia="zh-CN"/>
              </w:rPr>
              <w:t>日。</w:t>
            </w:r>
          </w:p>
        </w:tc>
      </w:tr>
      <w:tr w:rsidR="00230008" w:rsidRPr="00230008" w14:paraId="7417A440" w14:textId="77777777" w:rsidTr="00230008">
        <w:trPr>
          <w:trHeight w:val="150"/>
          <w:jc w:val="center"/>
        </w:trPr>
        <w:tc>
          <w:tcPr>
            <w:tcW w:w="9893" w:type="dxa"/>
            <w:gridSpan w:val="6"/>
          </w:tcPr>
          <w:p w14:paraId="493CBBD0" w14:textId="77777777" w:rsidR="00000FFC" w:rsidRDefault="00000FFC" w:rsidP="00230008">
            <w:pPr>
              <w:ind w:firstLine="482"/>
              <w:rPr>
                <w:rFonts w:eastAsia="楷体"/>
                <w:b/>
                <w:bCs/>
                <w:color w:val="000000"/>
                <w:lang w:eastAsia="zh-CN"/>
              </w:rPr>
            </w:pPr>
          </w:p>
          <w:p w14:paraId="2FA8A6E6" w14:textId="6203DCDC" w:rsidR="00230008" w:rsidRPr="00000FFC" w:rsidRDefault="00230008" w:rsidP="00230008">
            <w:pPr>
              <w:ind w:firstLine="482"/>
              <w:rPr>
                <w:rFonts w:asciiTheme="minorEastAsia" w:hAnsiTheme="minorEastAsia"/>
                <w:b/>
                <w:bCs/>
                <w:sz w:val="21"/>
                <w:szCs w:val="18"/>
                <w:lang w:eastAsia="zh-CN"/>
              </w:rPr>
            </w:pPr>
            <w:r w:rsidRPr="00000FFC">
              <w:rPr>
                <w:rFonts w:asciiTheme="minorEastAsia" w:hAnsiTheme="minorEastAsia" w:hint="eastAsia"/>
                <w:b/>
                <w:bCs/>
                <w:color w:val="000000"/>
                <w:lang w:eastAsia="zh-CN"/>
              </w:rPr>
              <w:t>美国关税政策的经济影响。</w:t>
            </w:r>
            <w:r w:rsidRPr="00000FFC">
              <w:rPr>
                <w:rFonts w:asciiTheme="minorEastAsia" w:hAnsiTheme="minorEastAsia" w:hint="eastAsia"/>
                <w:color w:val="000000"/>
                <w:lang w:eastAsia="zh-CN"/>
              </w:rPr>
              <w:t>国际机构、市场分析机构普遍认为美国关税政策将对世界经济、特别是美国和中国宏观经济产生显著负面影响。美国激进的关税政策将大幅提高全球产业链运行成本，导致全球货物贸易急剧萎缩。</w:t>
            </w:r>
            <w:r w:rsidRPr="00000FFC">
              <w:rPr>
                <w:rFonts w:asciiTheme="minorEastAsia" w:hAnsiTheme="minorEastAsia" w:hint="eastAsia"/>
                <w:lang w:eastAsia="zh-CN"/>
              </w:rPr>
              <w:t>世界贸易组织4月16日最新报告预测，在目前关税形势下，2025年全球货物贸易量预计将下降0.2%，较2024年10月预测值大幅下调3.2个百分点。通胀上行和贸易萎缩将进一步拖累企业利润和宏观经济增长，造成金融市场波动，同时制约美联储降息空间（详见金融市场专题）。根据图表8中各类研究机构的预测，美国关税政策及其招致的反制，将使得美国实际GDP下降0.5-1.5个百分点，通胀上升1.9-2.9个百分点；中国实际GDP下降0.2-0.9个百分点，物价通缩压力加大；欧盟和英国等亦面临不同程度的负面影响，全球经济增长预期下调、衰退风险上升。需要说明的是，当前各国的关税政策变动较快、幅度较大，图表8中估算大多仅针对早期的关税政策，未考虑后续关税政策变动以及各国国内政策的对冲。</w:t>
            </w:r>
          </w:p>
        </w:tc>
      </w:tr>
      <w:tr w:rsidR="00230008" w:rsidRPr="00230008" w14:paraId="63808160" w14:textId="77777777" w:rsidTr="00230008">
        <w:trPr>
          <w:trHeight w:val="2967"/>
          <w:jc w:val="center"/>
        </w:trPr>
        <w:tc>
          <w:tcPr>
            <w:tcW w:w="9893" w:type="dxa"/>
            <w:gridSpan w:val="6"/>
            <w:vAlign w:val="center"/>
          </w:tcPr>
          <w:p w14:paraId="4A0532FB" w14:textId="3D3A866A" w:rsidR="00230008" w:rsidRPr="00230008" w:rsidRDefault="00D37774" w:rsidP="00D37774">
            <w:pPr>
              <w:pStyle w:val="a4"/>
            </w:pPr>
            <w:bookmarkStart w:id="132" w:name="_Toc196399467"/>
            <w:r>
              <w:rPr>
                <w:rFonts w:hint="eastAsia"/>
              </w:rPr>
              <w:lastRenderedPageBreak/>
              <w:t xml:space="preserve">图表 </w:t>
            </w:r>
            <w:r>
              <w:rPr>
                <w:rFonts w:hint="eastAsia"/>
              </w:rPr>
              <w:fldChar w:fldCharType="begin"/>
            </w:r>
            <w:r>
              <w:rPr>
                <w:rFonts w:hint="eastAsia"/>
              </w:rPr>
              <w:instrText xml:space="preserve"> SEQ 图表 \* ARABIC </w:instrText>
            </w:r>
            <w:r>
              <w:rPr>
                <w:rFonts w:hint="eastAsia"/>
              </w:rPr>
              <w:fldChar w:fldCharType="separate"/>
            </w:r>
            <w:r w:rsidR="00530ED7">
              <w:rPr>
                <w:rFonts w:hint="eastAsia"/>
                <w:noProof/>
              </w:rPr>
              <w:t>56</w:t>
            </w:r>
            <w:r>
              <w:rPr>
                <w:rFonts w:hint="eastAsia"/>
              </w:rPr>
              <w:fldChar w:fldCharType="end"/>
            </w:r>
            <w:r w:rsidRPr="00D37774">
              <w:t xml:space="preserve">  </w:t>
            </w:r>
            <w:r w:rsidR="00230008" w:rsidRPr="00230008">
              <w:rPr>
                <w:rFonts w:hint="eastAsia"/>
              </w:rPr>
              <w:t>美国关税政策的经济影响分析</w:t>
            </w:r>
            <w:bookmarkEnd w:id="132"/>
          </w:p>
          <w:tbl>
            <w:tblPr>
              <w:tblW w:w="9677" w:type="dxa"/>
              <w:jc w:val="center"/>
              <w:tblLayout w:type="fixed"/>
              <w:tblLook w:val="04A0" w:firstRow="1" w:lastRow="0" w:firstColumn="1" w:lastColumn="0" w:noHBand="0" w:noVBand="1"/>
            </w:tblPr>
            <w:tblGrid>
              <w:gridCol w:w="719"/>
              <w:gridCol w:w="7030"/>
              <w:gridCol w:w="1928"/>
            </w:tblGrid>
            <w:tr w:rsidR="00230008" w:rsidRPr="00230008" w14:paraId="07532917" w14:textId="77777777" w:rsidTr="00D72849">
              <w:trPr>
                <w:trHeight w:val="501"/>
                <w:jc w:val="center"/>
              </w:trPr>
              <w:tc>
                <w:tcPr>
                  <w:tcW w:w="719" w:type="dxa"/>
                  <w:tcBorders>
                    <w:top w:val="single" w:sz="4" w:space="0" w:color="auto"/>
                    <w:left w:val="nil"/>
                    <w:bottom w:val="single" w:sz="4" w:space="0" w:color="auto"/>
                    <w:right w:val="single" w:sz="4" w:space="0" w:color="auto"/>
                  </w:tcBorders>
                  <w:shd w:val="clear" w:color="auto" w:fill="EDEDED"/>
                  <w:vAlign w:val="center"/>
                </w:tcPr>
                <w:p w14:paraId="4481B5DA" w14:textId="77777777" w:rsidR="00230008" w:rsidRPr="00230008" w:rsidRDefault="00230008" w:rsidP="00230008">
                  <w:pPr>
                    <w:ind w:firstLineChars="0" w:firstLine="0"/>
                    <w:textAlignment w:val="center"/>
                    <w:rPr>
                      <w:rFonts w:eastAsia="宋体"/>
                      <w:b/>
                      <w:bCs/>
                      <w:color w:val="000000"/>
                      <w:sz w:val="18"/>
                      <w:szCs w:val="18"/>
                      <w:lang w:eastAsia="zh-CN" w:bidi="ar-SA"/>
                    </w:rPr>
                  </w:pPr>
                  <w:r w:rsidRPr="00230008">
                    <w:rPr>
                      <w:rFonts w:eastAsia="宋体"/>
                      <w:b/>
                      <w:bCs/>
                      <w:color w:val="000000"/>
                      <w:kern w:val="0"/>
                      <w:sz w:val="18"/>
                      <w:szCs w:val="18"/>
                      <w:lang w:eastAsia="zh-CN" w:bidi="ar"/>
                    </w:rPr>
                    <w:t>国别</w:t>
                  </w:r>
                  <w:r w:rsidRPr="00230008">
                    <w:rPr>
                      <w:rFonts w:eastAsia="宋体"/>
                      <w:b/>
                      <w:bCs/>
                      <w:color w:val="000000"/>
                      <w:kern w:val="0"/>
                      <w:sz w:val="18"/>
                      <w:szCs w:val="18"/>
                      <w:lang w:eastAsia="zh-CN" w:bidi="ar"/>
                    </w:rPr>
                    <w:t>/</w:t>
                  </w:r>
                  <w:r w:rsidRPr="00230008">
                    <w:rPr>
                      <w:rFonts w:eastAsia="宋体"/>
                      <w:b/>
                      <w:bCs/>
                      <w:color w:val="000000"/>
                      <w:kern w:val="0"/>
                      <w:sz w:val="18"/>
                      <w:szCs w:val="18"/>
                      <w:lang w:eastAsia="zh-CN" w:bidi="ar"/>
                    </w:rPr>
                    <w:t>地区</w:t>
                  </w:r>
                </w:p>
              </w:tc>
              <w:tc>
                <w:tcPr>
                  <w:tcW w:w="7030" w:type="dxa"/>
                  <w:tcBorders>
                    <w:top w:val="single" w:sz="4" w:space="0" w:color="auto"/>
                    <w:left w:val="nil"/>
                    <w:bottom w:val="single" w:sz="4" w:space="0" w:color="auto"/>
                    <w:right w:val="single" w:sz="4" w:space="0" w:color="auto"/>
                  </w:tcBorders>
                  <w:shd w:val="clear" w:color="auto" w:fill="EDEDED"/>
                  <w:vAlign w:val="center"/>
                </w:tcPr>
                <w:p w14:paraId="3F2A50E6" w14:textId="77777777" w:rsidR="00230008" w:rsidRPr="00230008" w:rsidRDefault="00230008" w:rsidP="00230008">
                  <w:pPr>
                    <w:ind w:firstLineChars="0" w:firstLine="0"/>
                    <w:textAlignment w:val="center"/>
                    <w:rPr>
                      <w:rFonts w:eastAsia="宋体"/>
                      <w:b/>
                      <w:bCs/>
                      <w:color w:val="000000"/>
                      <w:sz w:val="18"/>
                      <w:szCs w:val="18"/>
                      <w:lang w:eastAsia="zh-CN" w:bidi="ar-SA"/>
                    </w:rPr>
                  </w:pPr>
                  <w:r w:rsidRPr="00230008">
                    <w:rPr>
                      <w:rFonts w:eastAsia="宋体"/>
                      <w:b/>
                      <w:bCs/>
                      <w:color w:val="000000"/>
                      <w:kern w:val="0"/>
                      <w:sz w:val="18"/>
                      <w:szCs w:val="18"/>
                      <w:lang w:eastAsia="zh-CN" w:bidi="ar"/>
                    </w:rPr>
                    <w:t>经济影响</w:t>
                  </w:r>
                </w:p>
              </w:tc>
              <w:tc>
                <w:tcPr>
                  <w:tcW w:w="1928" w:type="dxa"/>
                  <w:tcBorders>
                    <w:top w:val="single" w:sz="4" w:space="0" w:color="auto"/>
                    <w:left w:val="nil"/>
                    <w:bottom w:val="single" w:sz="4" w:space="0" w:color="auto"/>
                    <w:right w:val="nil"/>
                  </w:tcBorders>
                  <w:shd w:val="clear" w:color="auto" w:fill="EDEDED"/>
                  <w:vAlign w:val="center"/>
                </w:tcPr>
                <w:p w14:paraId="556E6630" w14:textId="77777777" w:rsidR="00230008" w:rsidRPr="00230008" w:rsidRDefault="00230008" w:rsidP="00230008">
                  <w:pPr>
                    <w:ind w:firstLineChars="0" w:firstLine="0"/>
                    <w:textAlignment w:val="center"/>
                    <w:rPr>
                      <w:rFonts w:eastAsia="宋体"/>
                      <w:b/>
                      <w:bCs/>
                      <w:color w:val="000000"/>
                      <w:sz w:val="18"/>
                      <w:szCs w:val="18"/>
                      <w:lang w:eastAsia="zh-CN" w:bidi="ar-SA"/>
                    </w:rPr>
                  </w:pPr>
                  <w:r w:rsidRPr="00230008">
                    <w:rPr>
                      <w:rFonts w:eastAsia="宋体"/>
                      <w:b/>
                      <w:bCs/>
                      <w:color w:val="000000"/>
                      <w:kern w:val="0"/>
                      <w:sz w:val="18"/>
                      <w:szCs w:val="18"/>
                      <w:lang w:eastAsia="zh-CN" w:bidi="ar"/>
                    </w:rPr>
                    <w:t>预测机构或信息来源</w:t>
                  </w:r>
                </w:p>
              </w:tc>
            </w:tr>
            <w:tr w:rsidR="00230008" w:rsidRPr="00230008" w14:paraId="75490585" w14:textId="77777777" w:rsidTr="00D72849">
              <w:trPr>
                <w:trHeight w:val="576"/>
                <w:jc w:val="center"/>
              </w:trPr>
              <w:tc>
                <w:tcPr>
                  <w:tcW w:w="719" w:type="dxa"/>
                  <w:vMerge w:val="restart"/>
                  <w:tcBorders>
                    <w:top w:val="nil"/>
                    <w:left w:val="nil"/>
                    <w:right w:val="single" w:sz="4" w:space="0" w:color="auto"/>
                  </w:tcBorders>
                  <w:shd w:val="clear" w:color="auto" w:fill="auto"/>
                  <w:vAlign w:val="center"/>
                </w:tcPr>
                <w:p w14:paraId="1C5C0F2E" w14:textId="77777777" w:rsidR="00230008" w:rsidRPr="00230008" w:rsidRDefault="00230008" w:rsidP="00230008">
                  <w:pPr>
                    <w:ind w:firstLineChars="0" w:firstLine="0"/>
                    <w:textAlignment w:val="center"/>
                    <w:rPr>
                      <w:rFonts w:eastAsia="宋体"/>
                      <w:color w:val="000000"/>
                      <w:sz w:val="18"/>
                      <w:szCs w:val="18"/>
                      <w:lang w:eastAsia="zh-CN" w:bidi="ar-SA"/>
                    </w:rPr>
                  </w:pPr>
                  <w:r w:rsidRPr="00230008">
                    <w:rPr>
                      <w:rFonts w:eastAsia="宋体"/>
                      <w:color w:val="000000"/>
                      <w:kern w:val="0"/>
                      <w:sz w:val="18"/>
                      <w:szCs w:val="18"/>
                      <w:lang w:eastAsia="zh-CN" w:bidi="ar"/>
                    </w:rPr>
                    <w:t>全球影响</w:t>
                  </w:r>
                </w:p>
              </w:tc>
              <w:tc>
                <w:tcPr>
                  <w:tcW w:w="7030" w:type="dxa"/>
                  <w:tcBorders>
                    <w:top w:val="nil"/>
                    <w:left w:val="nil"/>
                    <w:bottom w:val="single" w:sz="4" w:space="0" w:color="auto"/>
                    <w:right w:val="single" w:sz="4" w:space="0" w:color="auto"/>
                  </w:tcBorders>
                  <w:shd w:val="clear" w:color="auto" w:fill="auto"/>
                  <w:vAlign w:val="center"/>
                </w:tcPr>
                <w:p w14:paraId="12BF178E" w14:textId="77777777" w:rsidR="00230008" w:rsidRPr="00230008" w:rsidRDefault="00230008" w:rsidP="00230008">
                  <w:pPr>
                    <w:ind w:firstLineChars="0" w:firstLine="0"/>
                    <w:textAlignment w:val="center"/>
                    <w:rPr>
                      <w:rFonts w:eastAsia="宋体"/>
                      <w:color w:val="000000"/>
                      <w:sz w:val="18"/>
                      <w:szCs w:val="18"/>
                      <w:lang w:eastAsia="zh-CN" w:bidi="ar-SA"/>
                    </w:rPr>
                  </w:pPr>
                  <w:r w:rsidRPr="00230008">
                    <w:rPr>
                      <w:rFonts w:eastAsia="宋体"/>
                      <w:color w:val="000000"/>
                      <w:kern w:val="0"/>
                      <w:sz w:val="18"/>
                      <w:szCs w:val="18"/>
                      <w:lang w:eastAsia="zh-CN" w:bidi="ar"/>
                    </w:rPr>
                    <w:t>受美国不确定的关税政策影响，全球经济增长将进一步放缓，分别下调</w:t>
                  </w:r>
                  <w:r w:rsidRPr="00230008">
                    <w:rPr>
                      <w:rFonts w:eastAsia="宋体"/>
                      <w:color w:val="000000"/>
                      <w:kern w:val="0"/>
                      <w:sz w:val="18"/>
                      <w:szCs w:val="18"/>
                      <w:lang w:eastAsia="zh-CN" w:bidi="ar"/>
                    </w:rPr>
                    <w:t>2025</w:t>
                  </w:r>
                  <w:r w:rsidRPr="00230008">
                    <w:rPr>
                      <w:rFonts w:eastAsia="宋体"/>
                      <w:color w:val="000000"/>
                      <w:kern w:val="0"/>
                      <w:sz w:val="18"/>
                      <w:szCs w:val="18"/>
                      <w:lang w:eastAsia="zh-CN" w:bidi="ar"/>
                    </w:rPr>
                    <w:t>年和</w:t>
                  </w:r>
                  <w:r w:rsidRPr="00230008">
                    <w:rPr>
                      <w:rFonts w:eastAsia="宋体"/>
                      <w:color w:val="000000"/>
                      <w:kern w:val="0"/>
                      <w:sz w:val="18"/>
                      <w:szCs w:val="18"/>
                      <w:lang w:eastAsia="zh-CN" w:bidi="ar"/>
                    </w:rPr>
                    <w:t>2026</w:t>
                  </w:r>
                  <w:r w:rsidRPr="00230008">
                    <w:rPr>
                      <w:rFonts w:eastAsia="宋体"/>
                      <w:color w:val="000000"/>
                      <w:kern w:val="0"/>
                      <w:sz w:val="18"/>
                      <w:szCs w:val="18"/>
                      <w:lang w:eastAsia="zh-CN" w:bidi="ar"/>
                    </w:rPr>
                    <w:t>年全球经济增长率</w:t>
                  </w:r>
                  <w:r w:rsidRPr="00230008">
                    <w:rPr>
                      <w:rFonts w:eastAsia="宋体"/>
                      <w:color w:val="000000"/>
                      <w:kern w:val="0"/>
                      <w:sz w:val="18"/>
                      <w:szCs w:val="18"/>
                      <w:lang w:eastAsia="zh-CN" w:bidi="ar"/>
                    </w:rPr>
                    <w:t>0.2</w:t>
                  </w:r>
                  <w:r w:rsidRPr="00230008">
                    <w:rPr>
                      <w:rFonts w:eastAsia="宋体"/>
                      <w:color w:val="000000"/>
                      <w:kern w:val="0"/>
                      <w:sz w:val="18"/>
                      <w:szCs w:val="18"/>
                      <w:lang w:eastAsia="zh-CN" w:bidi="ar"/>
                    </w:rPr>
                    <w:t>和</w:t>
                  </w:r>
                  <w:r w:rsidRPr="00230008">
                    <w:rPr>
                      <w:rFonts w:eastAsia="宋体"/>
                      <w:color w:val="000000"/>
                      <w:kern w:val="0"/>
                      <w:sz w:val="18"/>
                      <w:szCs w:val="18"/>
                      <w:lang w:eastAsia="zh-CN" w:bidi="ar"/>
                    </w:rPr>
                    <w:t>0.3</w:t>
                  </w:r>
                  <w:r w:rsidRPr="00230008">
                    <w:rPr>
                      <w:rFonts w:eastAsia="宋体"/>
                      <w:color w:val="000000"/>
                      <w:kern w:val="0"/>
                      <w:sz w:val="18"/>
                      <w:szCs w:val="18"/>
                      <w:lang w:eastAsia="zh-CN" w:bidi="ar"/>
                    </w:rPr>
                    <w:t>个百分点至</w:t>
                  </w:r>
                  <w:r w:rsidRPr="00230008">
                    <w:rPr>
                      <w:rFonts w:eastAsia="宋体"/>
                      <w:color w:val="000000"/>
                      <w:kern w:val="0"/>
                      <w:sz w:val="18"/>
                      <w:szCs w:val="18"/>
                      <w:lang w:eastAsia="zh-CN" w:bidi="ar"/>
                    </w:rPr>
                    <w:t>3.1%</w:t>
                  </w:r>
                  <w:r w:rsidRPr="00230008">
                    <w:rPr>
                      <w:rFonts w:eastAsia="宋体"/>
                      <w:color w:val="000000"/>
                      <w:kern w:val="0"/>
                      <w:sz w:val="18"/>
                      <w:szCs w:val="18"/>
                      <w:lang w:eastAsia="zh-CN" w:bidi="ar"/>
                    </w:rPr>
                    <w:t>和</w:t>
                  </w:r>
                  <w:r w:rsidRPr="00230008">
                    <w:rPr>
                      <w:rFonts w:eastAsia="宋体"/>
                      <w:color w:val="000000"/>
                      <w:kern w:val="0"/>
                      <w:sz w:val="18"/>
                      <w:szCs w:val="18"/>
                      <w:lang w:eastAsia="zh-CN" w:bidi="ar"/>
                    </w:rPr>
                    <w:t>3.0%</w:t>
                  </w:r>
                  <w:r w:rsidRPr="00230008">
                    <w:rPr>
                      <w:rFonts w:eastAsia="宋体"/>
                      <w:color w:val="000000"/>
                      <w:kern w:val="0"/>
                      <w:sz w:val="18"/>
                      <w:szCs w:val="18"/>
                      <w:lang w:eastAsia="zh-CN" w:bidi="ar"/>
                    </w:rPr>
                    <w:t>。</w:t>
                  </w:r>
                </w:p>
              </w:tc>
              <w:tc>
                <w:tcPr>
                  <w:tcW w:w="1928" w:type="dxa"/>
                  <w:tcBorders>
                    <w:top w:val="nil"/>
                    <w:left w:val="nil"/>
                    <w:bottom w:val="single" w:sz="4" w:space="0" w:color="auto"/>
                    <w:right w:val="nil"/>
                  </w:tcBorders>
                  <w:shd w:val="clear" w:color="auto" w:fill="auto"/>
                  <w:vAlign w:val="center"/>
                </w:tcPr>
                <w:p w14:paraId="47F74CC5" w14:textId="77777777" w:rsidR="00230008" w:rsidRPr="00230008" w:rsidRDefault="00230008" w:rsidP="00230008">
                  <w:pPr>
                    <w:ind w:firstLineChars="0" w:firstLine="0"/>
                    <w:textAlignment w:val="center"/>
                    <w:rPr>
                      <w:rFonts w:eastAsia="宋体"/>
                      <w:color w:val="000000"/>
                      <w:sz w:val="18"/>
                      <w:szCs w:val="18"/>
                      <w:lang w:eastAsia="zh-CN" w:bidi="ar-SA"/>
                    </w:rPr>
                  </w:pPr>
                  <w:r w:rsidRPr="00230008">
                    <w:rPr>
                      <w:rFonts w:eastAsia="宋体"/>
                      <w:color w:val="000000"/>
                      <w:sz w:val="18"/>
                      <w:szCs w:val="18"/>
                      <w:lang w:eastAsia="zh-CN" w:bidi="ar-SA"/>
                    </w:rPr>
                    <w:t>OECD Economic Outlook</w:t>
                  </w:r>
                  <w:r w:rsidRPr="00230008">
                    <w:rPr>
                      <w:rFonts w:eastAsia="宋体"/>
                      <w:color w:val="000000"/>
                      <w:sz w:val="18"/>
                      <w:szCs w:val="18"/>
                      <w:lang w:eastAsia="zh-CN" w:bidi="ar-SA"/>
                    </w:rPr>
                    <w:t>，</w:t>
                  </w:r>
                  <w:r w:rsidRPr="00230008">
                    <w:rPr>
                      <w:rFonts w:eastAsia="宋体"/>
                      <w:color w:val="000000"/>
                      <w:sz w:val="18"/>
                      <w:szCs w:val="18"/>
                      <w:lang w:eastAsia="zh-CN" w:bidi="ar-SA"/>
                    </w:rPr>
                    <w:t>2025.3.17</w:t>
                  </w:r>
                </w:p>
              </w:tc>
            </w:tr>
            <w:tr w:rsidR="00230008" w:rsidRPr="00230008" w14:paraId="0C286350" w14:textId="77777777" w:rsidTr="00D72849">
              <w:trPr>
                <w:trHeight w:val="609"/>
                <w:jc w:val="center"/>
              </w:trPr>
              <w:tc>
                <w:tcPr>
                  <w:tcW w:w="719" w:type="dxa"/>
                  <w:vMerge/>
                  <w:tcBorders>
                    <w:left w:val="nil"/>
                    <w:right w:val="single" w:sz="4" w:space="0" w:color="auto"/>
                  </w:tcBorders>
                  <w:shd w:val="clear" w:color="auto" w:fill="auto"/>
                  <w:vAlign w:val="center"/>
                </w:tcPr>
                <w:p w14:paraId="0D65A4FF" w14:textId="77777777" w:rsidR="00230008" w:rsidRPr="00230008" w:rsidRDefault="00230008" w:rsidP="00230008">
                  <w:pPr>
                    <w:widowControl w:val="0"/>
                    <w:ind w:firstLineChars="0" w:firstLine="0"/>
                    <w:rPr>
                      <w:rFonts w:eastAsia="宋体"/>
                      <w:color w:val="000000"/>
                      <w:sz w:val="18"/>
                      <w:szCs w:val="18"/>
                      <w:lang w:eastAsia="zh-CN" w:bidi="ar-SA"/>
                    </w:rPr>
                  </w:pPr>
                </w:p>
              </w:tc>
              <w:tc>
                <w:tcPr>
                  <w:tcW w:w="7030" w:type="dxa"/>
                  <w:tcBorders>
                    <w:top w:val="nil"/>
                    <w:left w:val="nil"/>
                    <w:bottom w:val="single" w:sz="4" w:space="0" w:color="auto"/>
                    <w:right w:val="single" w:sz="4" w:space="0" w:color="auto"/>
                  </w:tcBorders>
                  <w:shd w:val="clear" w:color="auto" w:fill="auto"/>
                  <w:vAlign w:val="center"/>
                </w:tcPr>
                <w:p w14:paraId="0F7790D9" w14:textId="77777777" w:rsidR="00230008" w:rsidRPr="00230008" w:rsidRDefault="00230008" w:rsidP="00230008">
                  <w:pPr>
                    <w:ind w:firstLineChars="0" w:firstLine="0"/>
                    <w:textAlignment w:val="center"/>
                    <w:rPr>
                      <w:rFonts w:eastAsia="宋体"/>
                      <w:color w:val="000000"/>
                      <w:sz w:val="18"/>
                      <w:szCs w:val="18"/>
                      <w:lang w:eastAsia="zh-CN" w:bidi="ar-SA"/>
                    </w:rPr>
                  </w:pPr>
                  <w:r w:rsidRPr="00230008">
                    <w:rPr>
                      <w:rFonts w:eastAsia="宋体"/>
                      <w:color w:val="000000"/>
                      <w:kern w:val="0"/>
                      <w:sz w:val="18"/>
                      <w:szCs w:val="18"/>
                      <w:lang w:eastAsia="zh-CN" w:bidi="ar"/>
                    </w:rPr>
                    <w:t>美国此次关税政策是自</w:t>
                  </w:r>
                  <w:r w:rsidRPr="00230008">
                    <w:rPr>
                      <w:rFonts w:eastAsia="宋体"/>
                      <w:color w:val="000000"/>
                      <w:kern w:val="0"/>
                      <w:sz w:val="18"/>
                      <w:szCs w:val="18"/>
                      <w:lang w:eastAsia="zh-CN" w:bidi="ar"/>
                    </w:rPr>
                    <w:t>1968</w:t>
                  </w:r>
                  <w:r w:rsidRPr="00230008">
                    <w:rPr>
                      <w:rFonts w:eastAsia="宋体"/>
                      <w:color w:val="000000"/>
                      <w:kern w:val="0"/>
                      <w:sz w:val="18"/>
                      <w:szCs w:val="18"/>
                      <w:lang w:eastAsia="zh-CN" w:bidi="ar"/>
                    </w:rPr>
                    <w:t>年以来对美国家庭和企业最大规模的加税行动。报告指出，全球经济衰退风险已从</w:t>
                  </w:r>
                  <w:r w:rsidRPr="00230008">
                    <w:rPr>
                      <w:rFonts w:eastAsia="宋体"/>
                      <w:color w:val="000000"/>
                      <w:kern w:val="0"/>
                      <w:sz w:val="18"/>
                      <w:szCs w:val="18"/>
                      <w:lang w:eastAsia="zh-CN" w:bidi="ar"/>
                    </w:rPr>
                    <w:t>40%</w:t>
                  </w:r>
                  <w:r w:rsidRPr="00230008">
                    <w:rPr>
                      <w:rFonts w:eastAsia="宋体"/>
                      <w:color w:val="000000"/>
                      <w:kern w:val="0"/>
                      <w:sz w:val="18"/>
                      <w:szCs w:val="18"/>
                      <w:lang w:eastAsia="zh-CN" w:bidi="ar"/>
                    </w:rPr>
                    <w:t>激增至</w:t>
                  </w:r>
                  <w:r w:rsidRPr="00230008">
                    <w:rPr>
                      <w:rFonts w:eastAsia="宋体"/>
                      <w:color w:val="000000"/>
                      <w:kern w:val="0"/>
                      <w:sz w:val="18"/>
                      <w:szCs w:val="18"/>
                      <w:lang w:eastAsia="zh-CN" w:bidi="ar"/>
                    </w:rPr>
                    <w:t>60%</w:t>
                  </w:r>
                  <w:r w:rsidRPr="00230008">
                    <w:rPr>
                      <w:rFonts w:eastAsia="宋体" w:hint="eastAsia"/>
                      <w:color w:val="000000"/>
                      <w:kern w:val="0"/>
                      <w:sz w:val="18"/>
                      <w:szCs w:val="18"/>
                      <w:lang w:eastAsia="zh-CN" w:bidi="ar"/>
                    </w:rPr>
                    <w:t>。</w:t>
                  </w:r>
                </w:p>
              </w:tc>
              <w:tc>
                <w:tcPr>
                  <w:tcW w:w="1928" w:type="dxa"/>
                  <w:tcBorders>
                    <w:top w:val="nil"/>
                    <w:left w:val="nil"/>
                    <w:bottom w:val="single" w:sz="4" w:space="0" w:color="auto"/>
                    <w:right w:val="nil"/>
                  </w:tcBorders>
                  <w:shd w:val="clear" w:color="auto" w:fill="auto"/>
                  <w:vAlign w:val="center"/>
                </w:tcPr>
                <w:p w14:paraId="78FC8FDF" w14:textId="77777777" w:rsidR="00230008" w:rsidRPr="00230008" w:rsidRDefault="00230008" w:rsidP="00230008">
                  <w:pPr>
                    <w:ind w:firstLineChars="0" w:firstLine="0"/>
                    <w:textAlignment w:val="center"/>
                    <w:rPr>
                      <w:rFonts w:eastAsia="宋体"/>
                      <w:color w:val="000000"/>
                      <w:sz w:val="18"/>
                      <w:szCs w:val="18"/>
                      <w:lang w:eastAsia="zh-CN" w:bidi="ar-SA"/>
                    </w:rPr>
                  </w:pPr>
                  <w:r w:rsidRPr="00230008">
                    <w:rPr>
                      <w:rFonts w:eastAsia="宋体"/>
                      <w:color w:val="000000"/>
                      <w:kern w:val="0"/>
                      <w:sz w:val="18"/>
                      <w:szCs w:val="18"/>
                      <w:lang w:eastAsia="zh-CN" w:bidi="ar"/>
                    </w:rPr>
                    <w:t>摩根大通</w:t>
                  </w:r>
                  <w:r w:rsidRPr="00230008">
                    <w:rPr>
                      <w:rFonts w:eastAsia="宋体" w:hint="eastAsia"/>
                      <w:color w:val="000000"/>
                      <w:kern w:val="0"/>
                      <w:sz w:val="18"/>
                      <w:szCs w:val="18"/>
                      <w:lang w:eastAsia="zh-CN" w:bidi="ar"/>
                    </w:rPr>
                    <w:t>，</w:t>
                  </w:r>
                  <w:r w:rsidRPr="00230008">
                    <w:rPr>
                      <w:rFonts w:eastAsia="宋体" w:hint="eastAsia"/>
                      <w:color w:val="000000"/>
                      <w:kern w:val="0"/>
                      <w:sz w:val="18"/>
                      <w:szCs w:val="18"/>
                      <w:lang w:eastAsia="zh-CN" w:bidi="ar"/>
                    </w:rPr>
                    <w:t>2025.4.3</w:t>
                  </w:r>
                </w:p>
              </w:tc>
            </w:tr>
            <w:tr w:rsidR="00230008" w:rsidRPr="00230008" w14:paraId="1B96DFE6" w14:textId="77777777" w:rsidTr="00D72849">
              <w:trPr>
                <w:trHeight w:val="864"/>
                <w:jc w:val="center"/>
              </w:trPr>
              <w:tc>
                <w:tcPr>
                  <w:tcW w:w="719" w:type="dxa"/>
                  <w:vMerge/>
                  <w:tcBorders>
                    <w:left w:val="nil"/>
                    <w:right w:val="single" w:sz="4" w:space="0" w:color="auto"/>
                  </w:tcBorders>
                  <w:shd w:val="clear" w:color="auto" w:fill="auto"/>
                  <w:vAlign w:val="center"/>
                </w:tcPr>
                <w:p w14:paraId="0476ACF0" w14:textId="77777777" w:rsidR="00230008" w:rsidRPr="00230008" w:rsidRDefault="00230008" w:rsidP="00230008">
                  <w:pPr>
                    <w:widowControl w:val="0"/>
                    <w:ind w:firstLineChars="0" w:firstLine="0"/>
                    <w:rPr>
                      <w:rFonts w:eastAsia="宋体"/>
                      <w:color w:val="000000"/>
                      <w:sz w:val="18"/>
                      <w:szCs w:val="18"/>
                      <w:lang w:eastAsia="zh-CN" w:bidi="ar-SA"/>
                    </w:rPr>
                  </w:pPr>
                </w:p>
              </w:tc>
              <w:tc>
                <w:tcPr>
                  <w:tcW w:w="7030" w:type="dxa"/>
                  <w:tcBorders>
                    <w:top w:val="nil"/>
                    <w:left w:val="nil"/>
                    <w:bottom w:val="single" w:sz="4" w:space="0" w:color="auto"/>
                    <w:right w:val="single" w:sz="4" w:space="0" w:color="auto"/>
                  </w:tcBorders>
                  <w:shd w:val="clear" w:color="auto" w:fill="auto"/>
                  <w:vAlign w:val="center"/>
                </w:tcPr>
                <w:p w14:paraId="57D5217E" w14:textId="77777777" w:rsidR="00230008" w:rsidRPr="00230008" w:rsidRDefault="00230008" w:rsidP="00230008">
                  <w:pPr>
                    <w:ind w:firstLineChars="0" w:firstLine="0"/>
                    <w:textAlignment w:val="center"/>
                    <w:rPr>
                      <w:rFonts w:eastAsia="宋体"/>
                      <w:color w:val="000000"/>
                      <w:sz w:val="18"/>
                      <w:szCs w:val="18"/>
                      <w:lang w:eastAsia="zh-CN" w:bidi="ar-SA"/>
                    </w:rPr>
                  </w:pPr>
                  <w:r w:rsidRPr="00230008">
                    <w:rPr>
                      <w:rFonts w:eastAsia="宋体"/>
                      <w:color w:val="000000"/>
                      <w:kern w:val="0"/>
                      <w:sz w:val="18"/>
                      <w:szCs w:val="18"/>
                      <w:lang w:eastAsia="zh-CN" w:bidi="ar"/>
                    </w:rPr>
                    <w:t>4</w:t>
                  </w:r>
                  <w:r w:rsidRPr="00230008">
                    <w:rPr>
                      <w:rFonts w:eastAsia="宋体"/>
                      <w:color w:val="000000"/>
                      <w:kern w:val="0"/>
                      <w:sz w:val="18"/>
                      <w:szCs w:val="18"/>
                      <w:lang w:eastAsia="zh-CN" w:bidi="ar"/>
                    </w:rPr>
                    <w:t>月</w:t>
                  </w:r>
                  <w:r w:rsidRPr="00230008">
                    <w:rPr>
                      <w:rFonts w:eastAsia="宋体"/>
                      <w:color w:val="000000"/>
                      <w:kern w:val="0"/>
                      <w:sz w:val="18"/>
                      <w:szCs w:val="18"/>
                      <w:lang w:eastAsia="zh-CN" w:bidi="ar"/>
                    </w:rPr>
                    <w:t>2</w:t>
                  </w:r>
                  <w:r w:rsidRPr="00230008">
                    <w:rPr>
                      <w:rFonts w:eastAsia="宋体"/>
                      <w:color w:val="000000"/>
                      <w:kern w:val="0"/>
                      <w:sz w:val="18"/>
                      <w:szCs w:val="18"/>
                      <w:lang w:eastAsia="zh-CN" w:bidi="ar"/>
                    </w:rPr>
                    <w:t>日美国对等关税将导致全球贸易下降</w:t>
                  </w:r>
                  <w:r w:rsidRPr="00230008">
                    <w:rPr>
                      <w:rFonts w:eastAsia="宋体"/>
                      <w:color w:val="000000"/>
                      <w:kern w:val="0"/>
                      <w:sz w:val="18"/>
                      <w:szCs w:val="18"/>
                      <w:lang w:eastAsia="zh-CN" w:bidi="ar"/>
                    </w:rPr>
                    <w:t>8.2%</w:t>
                  </w:r>
                  <w:r w:rsidRPr="00230008">
                    <w:rPr>
                      <w:rFonts w:eastAsia="宋体"/>
                      <w:color w:val="000000"/>
                      <w:kern w:val="0"/>
                      <w:sz w:val="18"/>
                      <w:szCs w:val="18"/>
                      <w:lang w:eastAsia="zh-CN" w:bidi="ar"/>
                    </w:rPr>
                    <w:t>；美国实际</w:t>
                  </w:r>
                  <w:r w:rsidRPr="00230008">
                    <w:rPr>
                      <w:rFonts w:eastAsia="宋体"/>
                      <w:color w:val="000000"/>
                      <w:kern w:val="0"/>
                      <w:sz w:val="18"/>
                      <w:szCs w:val="18"/>
                      <w:lang w:eastAsia="zh-CN" w:bidi="ar"/>
                    </w:rPr>
                    <w:t>GDP</w:t>
                  </w:r>
                  <w:r w:rsidRPr="00230008">
                    <w:rPr>
                      <w:rFonts w:eastAsia="宋体"/>
                      <w:color w:val="000000"/>
                      <w:kern w:val="0"/>
                      <w:sz w:val="18"/>
                      <w:szCs w:val="18"/>
                      <w:lang w:eastAsia="zh-CN" w:bidi="ar"/>
                    </w:rPr>
                    <w:t>下降</w:t>
                  </w:r>
                  <w:r w:rsidRPr="00230008">
                    <w:rPr>
                      <w:rFonts w:eastAsia="宋体"/>
                      <w:color w:val="000000"/>
                      <w:kern w:val="0"/>
                      <w:sz w:val="18"/>
                      <w:szCs w:val="18"/>
                      <w:lang w:eastAsia="zh-CN" w:bidi="ar"/>
                    </w:rPr>
                    <w:t>0.7</w:t>
                  </w:r>
                  <w:r w:rsidRPr="00230008">
                    <w:rPr>
                      <w:rFonts w:eastAsia="宋体"/>
                      <w:color w:val="000000"/>
                      <w:kern w:val="0"/>
                      <w:sz w:val="18"/>
                      <w:szCs w:val="18"/>
                      <w:lang w:eastAsia="zh-CN" w:bidi="ar"/>
                    </w:rPr>
                    <w:t>个百分点，通胀上升</w:t>
                  </w:r>
                  <w:r w:rsidRPr="00230008">
                    <w:rPr>
                      <w:rFonts w:eastAsia="宋体"/>
                      <w:color w:val="000000"/>
                      <w:kern w:val="0"/>
                      <w:sz w:val="18"/>
                      <w:szCs w:val="18"/>
                      <w:lang w:eastAsia="zh-CN" w:bidi="ar"/>
                    </w:rPr>
                    <w:t>2.6</w:t>
                  </w:r>
                  <w:r w:rsidRPr="00230008">
                    <w:rPr>
                      <w:rFonts w:eastAsia="宋体"/>
                      <w:color w:val="000000"/>
                      <w:kern w:val="0"/>
                      <w:sz w:val="18"/>
                      <w:szCs w:val="18"/>
                      <w:lang w:eastAsia="zh-CN" w:bidi="ar"/>
                    </w:rPr>
                    <w:t>个百分点；中国</w:t>
                  </w:r>
                  <w:r w:rsidRPr="00230008">
                    <w:rPr>
                      <w:rFonts w:eastAsia="宋体" w:hint="eastAsia"/>
                      <w:color w:val="000000"/>
                      <w:kern w:val="0"/>
                      <w:sz w:val="18"/>
                      <w:szCs w:val="18"/>
                      <w:lang w:eastAsia="zh-CN" w:bidi="ar"/>
                    </w:rPr>
                    <w:t>商品出口下降</w:t>
                  </w:r>
                  <w:r w:rsidRPr="00230008">
                    <w:rPr>
                      <w:rFonts w:eastAsia="宋体" w:hint="eastAsia"/>
                      <w:color w:val="000000"/>
                      <w:kern w:val="0"/>
                      <w:sz w:val="18"/>
                      <w:szCs w:val="18"/>
                      <w:lang w:eastAsia="zh-CN" w:bidi="ar"/>
                    </w:rPr>
                    <w:t>13%</w:t>
                  </w:r>
                  <w:r w:rsidRPr="00230008">
                    <w:rPr>
                      <w:rFonts w:eastAsia="宋体" w:hint="eastAsia"/>
                      <w:color w:val="000000"/>
                      <w:kern w:val="0"/>
                      <w:sz w:val="18"/>
                      <w:szCs w:val="18"/>
                      <w:lang w:eastAsia="zh-CN" w:bidi="ar"/>
                    </w:rPr>
                    <w:t>、</w:t>
                  </w:r>
                  <w:r w:rsidRPr="00230008">
                    <w:rPr>
                      <w:rFonts w:eastAsia="宋体"/>
                      <w:color w:val="000000"/>
                      <w:kern w:val="0"/>
                      <w:sz w:val="18"/>
                      <w:szCs w:val="18"/>
                      <w:lang w:eastAsia="zh-CN" w:bidi="ar"/>
                    </w:rPr>
                    <w:t>实际</w:t>
                  </w:r>
                  <w:r w:rsidRPr="00230008">
                    <w:rPr>
                      <w:rFonts w:eastAsia="宋体"/>
                      <w:color w:val="000000"/>
                      <w:kern w:val="0"/>
                      <w:sz w:val="18"/>
                      <w:szCs w:val="18"/>
                      <w:lang w:eastAsia="zh-CN" w:bidi="ar"/>
                    </w:rPr>
                    <w:t>GDP</w:t>
                  </w:r>
                  <w:r w:rsidRPr="00230008">
                    <w:rPr>
                      <w:rFonts w:eastAsia="宋体"/>
                      <w:color w:val="000000"/>
                      <w:kern w:val="0"/>
                      <w:sz w:val="18"/>
                      <w:szCs w:val="18"/>
                      <w:lang w:eastAsia="zh-CN" w:bidi="ar"/>
                    </w:rPr>
                    <w:t>下降</w:t>
                  </w:r>
                  <w:r w:rsidRPr="00230008">
                    <w:rPr>
                      <w:rFonts w:eastAsia="宋体"/>
                      <w:color w:val="000000"/>
                      <w:kern w:val="0"/>
                      <w:sz w:val="18"/>
                      <w:szCs w:val="18"/>
                      <w:lang w:eastAsia="zh-CN" w:bidi="ar"/>
                    </w:rPr>
                    <w:t>0.2</w:t>
                  </w:r>
                  <w:r w:rsidRPr="00230008">
                    <w:rPr>
                      <w:rFonts w:eastAsia="宋体"/>
                      <w:color w:val="000000"/>
                      <w:kern w:val="0"/>
                      <w:sz w:val="18"/>
                      <w:szCs w:val="18"/>
                      <w:lang w:eastAsia="zh-CN" w:bidi="ar"/>
                    </w:rPr>
                    <w:t>个百分点，通胀下降</w:t>
                  </w:r>
                  <w:r w:rsidRPr="00230008">
                    <w:rPr>
                      <w:rFonts w:eastAsia="宋体"/>
                      <w:color w:val="000000"/>
                      <w:kern w:val="0"/>
                      <w:sz w:val="18"/>
                      <w:szCs w:val="18"/>
                      <w:lang w:eastAsia="zh-CN" w:bidi="ar"/>
                    </w:rPr>
                    <w:t>1.2</w:t>
                  </w:r>
                  <w:r w:rsidRPr="00230008">
                    <w:rPr>
                      <w:rFonts w:eastAsia="宋体"/>
                      <w:color w:val="000000"/>
                      <w:kern w:val="0"/>
                      <w:sz w:val="18"/>
                      <w:szCs w:val="18"/>
                      <w:lang w:eastAsia="zh-CN" w:bidi="ar"/>
                    </w:rPr>
                    <w:t>个百分点；欧盟</w:t>
                  </w:r>
                  <w:r w:rsidRPr="00230008">
                    <w:rPr>
                      <w:rFonts w:eastAsia="宋体"/>
                      <w:color w:val="000000"/>
                      <w:kern w:val="0"/>
                      <w:sz w:val="18"/>
                      <w:szCs w:val="18"/>
                      <w:lang w:eastAsia="zh-CN" w:bidi="ar"/>
                    </w:rPr>
                    <w:t>27</w:t>
                  </w:r>
                  <w:r w:rsidRPr="00230008">
                    <w:rPr>
                      <w:rFonts w:eastAsia="宋体"/>
                      <w:color w:val="000000"/>
                      <w:kern w:val="0"/>
                      <w:sz w:val="18"/>
                      <w:szCs w:val="18"/>
                      <w:lang w:eastAsia="zh-CN" w:bidi="ar"/>
                    </w:rPr>
                    <w:t>国实际</w:t>
                  </w:r>
                  <w:r w:rsidRPr="00230008">
                    <w:rPr>
                      <w:rFonts w:eastAsia="宋体"/>
                      <w:color w:val="000000"/>
                      <w:kern w:val="0"/>
                      <w:sz w:val="18"/>
                      <w:szCs w:val="18"/>
                      <w:lang w:eastAsia="zh-CN" w:bidi="ar"/>
                    </w:rPr>
                    <w:t>GDP</w:t>
                  </w:r>
                  <w:r w:rsidRPr="00230008">
                    <w:rPr>
                      <w:rFonts w:eastAsia="宋体"/>
                      <w:color w:val="000000"/>
                      <w:kern w:val="0"/>
                      <w:sz w:val="18"/>
                      <w:szCs w:val="18"/>
                      <w:lang w:eastAsia="zh-CN" w:bidi="ar"/>
                    </w:rPr>
                    <w:t>下降</w:t>
                  </w:r>
                  <w:r w:rsidRPr="00230008">
                    <w:rPr>
                      <w:rFonts w:eastAsia="宋体"/>
                      <w:color w:val="000000"/>
                      <w:kern w:val="0"/>
                      <w:sz w:val="18"/>
                      <w:szCs w:val="18"/>
                      <w:lang w:eastAsia="zh-CN" w:bidi="ar"/>
                    </w:rPr>
                    <w:t>0.1</w:t>
                  </w:r>
                  <w:r w:rsidRPr="00230008">
                    <w:rPr>
                      <w:rFonts w:eastAsia="宋体"/>
                      <w:color w:val="000000"/>
                      <w:kern w:val="0"/>
                      <w:sz w:val="18"/>
                      <w:szCs w:val="18"/>
                      <w:lang w:eastAsia="zh-CN" w:bidi="ar"/>
                    </w:rPr>
                    <w:t>个百分点，通胀下降</w:t>
                  </w:r>
                  <w:r w:rsidRPr="00230008">
                    <w:rPr>
                      <w:rFonts w:eastAsia="宋体"/>
                      <w:color w:val="000000"/>
                      <w:kern w:val="0"/>
                      <w:sz w:val="18"/>
                      <w:szCs w:val="18"/>
                      <w:lang w:eastAsia="zh-CN" w:bidi="ar"/>
                    </w:rPr>
                    <w:t>0.4</w:t>
                  </w:r>
                  <w:r w:rsidRPr="00230008">
                    <w:rPr>
                      <w:rFonts w:eastAsia="宋体"/>
                      <w:color w:val="000000"/>
                      <w:kern w:val="0"/>
                      <w:sz w:val="18"/>
                      <w:szCs w:val="18"/>
                      <w:lang w:eastAsia="zh-CN" w:bidi="ar"/>
                    </w:rPr>
                    <w:t>个百分点。</w:t>
                  </w:r>
                </w:p>
              </w:tc>
              <w:tc>
                <w:tcPr>
                  <w:tcW w:w="1928" w:type="dxa"/>
                  <w:tcBorders>
                    <w:top w:val="nil"/>
                    <w:left w:val="nil"/>
                    <w:bottom w:val="single" w:sz="4" w:space="0" w:color="auto"/>
                    <w:right w:val="nil"/>
                  </w:tcBorders>
                  <w:shd w:val="clear" w:color="auto" w:fill="auto"/>
                  <w:vAlign w:val="center"/>
                </w:tcPr>
                <w:p w14:paraId="2672C25B" w14:textId="77777777" w:rsidR="00230008" w:rsidRPr="00230008" w:rsidRDefault="00230008" w:rsidP="00230008">
                  <w:pPr>
                    <w:ind w:firstLineChars="0" w:firstLine="0"/>
                    <w:textAlignment w:val="center"/>
                    <w:rPr>
                      <w:rFonts w:eastAsia="宋体"/>
                      <w:color w:val="000000"/>
                      <w:sz w:val="18"/>
                      <w:szCs w:val="18"/>
                      <w:lang w:eastAsia="zh-CN" w:bidi="ar-SA"/>
                    </w:rPr>
                  </w:pPr>
                  <w:r w:rsidRPr="00230008">
                    <w:rPr>
                      <w:rFonts w:eastAsia="宋体"/>
                      <w:color w:val="000000"/>
                      <w:kern w:val="0"/>
                      <w:sz w:val="18"/>
                      <w:szCs w:val="18"/>
                      <w:lang w:eastAsia="zh-CN" w:bidi="ar"/>
                    </w:rPr>
                    <w:t>中国社会科学院世界经济预测与政策模拟实验室</w:t>
                  </w:r>
                  <w:r w:rsidRPr="00230008">
                    <w:rPr>
                      <w:rFonts w:eastAsia="宋体" w:hint="eastAsia"/>
                      <w:color w:val="000000"/>
                      <w:kern w:val="0"/>
                      <w:sz w:val="18"/>
                      <w:szCs w:val="18"/>
                      <w:lang w:eastAsia="zh-CN" w:bidi="ar"/>
                    </w:rPr>
                    <w:t>，</w:t>
                  </w:r>
                  <w:r w:rsidRPr="00230008">
                    <w:rPr>
                      <w:rFonts w:eastAsia="宋体" w:hint="eastAsia"/>
                      <w:color w:val="000000"/>
                      <w:kern w:val="0"/>
                      <w:sz w:val="18"/>
                      <w:szCs w:val="18"/>
                      <w:lang w:eastAsia="zh-CN" w:bidi="ar"/>
                    </w:rPr>
                    <w:t>2025.4.3</w:t>
                  </w:r>
                </w:p>
              </w:tc>
            </w:tr>
            <w:tr w:rsidR="00230008" w:rsidRPr="00230008" w14:paraId="50C82430" w14:textId="77777777" w:rsidTr="00D72849">
              <w:trPr>
                <w:trHeight w:val="864"/>
                <w:jc w:val="center"/>
              </w:trPr>
              <w:tc>
                <w:tcPr>
                  <w:tcW w:w="719" w:type="dxa"/>
                  <w:vMerge/>
                  <w:tcBorders>
                    <w:left w:val="nil"/>
                    <w:bottom w:val="single" w:sz="4" w:space="0" w:color="auto"/>
                    <w:right w:val="single" w:sz="4" w:space="0" w:color="auto"/>
                  </w:tcBorders>
                  <w:shd w:val="clear" w:color="auto" w:fill="auto"/>
                  <w:vAlign w:val="center"/>
                </w:tcPr>
                <w:p w14:paraId="06182EEF" w14:textId="77777777" w:rsidR="00230008" w:rsidRPr="00230008" w:rsidRDefault="00230008" w:rsidP="00230008">
                  <w:pPr>
                    <w:widowControl w:val="0"/>
                    <w:ind w:firstLineChars="0" w:firstLine="0"/>
                    <w:rPr>
                      <w:rFonts w:eastAsia="宋体"/>
                      <w:color w:val="000000"/>
                      <w:sz w:val="18"/>
                      <w:szCs w:val="18"/>
                      <w:lang w:eastAsia="zh-CN" w:bidi="ar-SA"/>
                    </w:rPr>
                  </w:pPr>
                </w:p>
              </w:tc>
              <w:tc>
                <w:tcPr>
                  <w:tcW w:w="7030" w:type="dxa"/>
                  <w:tcBorders>
                    <w:top w:val="nil"/>
                    <w:left w:val="nil"/>
                    <w:bottom w:val="single" w:sz="4" w:space="0" w:color="auto"/>
                    <w:right w:val="single" w:sz="4" w:space="0" w:color="auto"/>
                  </w:tcBorders>
                  <w:shd w:val="clear" w:color="auto" w:fill="auto"/>
                  <w:vAlign w:val="center"/>
                </w:tcPr>
                <w:p w14:paraId="68CD3906" w14:textId="77777777" w:rsidR="00230008" w:rsidRPr="00230008" w:rsidRDefault="00230008" w:rsidP="00230008">
                  <w:pPr>
                    <w:ind w:firstLineChars="0" w:firstLine="0"/>
                    <w:textAlignment w:val="center"/>
                    <w:rPr>
                      <w:rFonts w:eastAsia="宋体"/>
                      <w:color w:val="000000"/>
                      <w:kern w:val="0"/>
                      <w:sz w:val="18"/>
                      <w:szCs w:val="18"/>
                      <w:lang w:eastAsia="zh-CN" w:bidi="ar"/>
                    </w:rPr>
                  </w:pPr>
                  <w:r w:rsidRPr="00230008">
                    <w:rPr>
                      <w:rFonts w:eastAsia="宋体" w:hint="eastAsia"/>
                      <w:color w:val="000000"/>
                      <w:kern w:val="0"/>
                      <w:sz w:val="18"/>
                      <w:szCs w:val="18"/>
                      <w:lang w:eastAsia="zh-CN" w:bidi="ar"/>
                    </w:rPr>
                    <w:t>在基准情境下，全球经济增长预计将从</w:t>
                  </w:r>
                  <w:r w:rsidRPr="00230008">
                    <w:rPr>
                      <w:rFonts w:eastAsia="宋体" w:hint="eastAsia"/>
                      <w:color w:val="000000"/>
                      <w:kern w:val="0"/>
                      <w:sz w:val="18"/>
                      <w:szCs w:val="18"/>
                      <w:lang w:eastAsia="zh-CN" w:bidi="ar"/>
                    </w:rPr>
                    <w:t>2024</w:t>
                  </w:r>
                  <w:r w:rsidRPr="00230008">
                    <w:rPr>
                      <w:rFonts w:eastAsia="宋体" w:hint="eastAsia"/>
                      <w:color w:val="000000"/>
                      <w:kern w:val="0"/>
                      <w:sz w:val="18"/>
                      <w:szCs w:val="18"/>
                      <w:lang w:eastAsia="zh-CN" w:bidi="ar"/>
                    </w:rPr>
                    <w:t>年的</w:t>
                  </w:r>
                  <w:r w:rsidRPr="00230008">
                    <w:rPr>
                      <w:rFonts w:eastAsia="宋体" w:hint="eastAsia"/>
                      <w:color w:val="000000"/>
                      <w:kern w:val="0"/>
                      <w:sz w:val="18"/>
                      <w:szCs w:val="18"/>
                      <w:lang w:eastAsia="zh-CN" w:bidi="ar"/>
                    </w:rPr>
                    <w:t>3.3%</w:t>
                  </w:r>
                  <w:r w:rsidRPr="00230008">
                    <w:rPr>
                      <w:rFonts w:eastAsia="宋体" w:hint="eastAsia"/>
                      <w:color w:val="000000"/>
                      <w:kern w:val="0"/>
                      <w:sz w:val="18"/>
                      <w:szCs w:val="18"/>
                      <w:lang w:eastAsia="zh-CN" w:bidi="ar"/>
                    </w:rPr>
                    <w:t>降至</w:t>
                  </w:r>
                  <w:r w:rsidRPr="00230008">
                    <w:rPr>
                      <w:rFonts w:eastAsia="宋体" w:hint="eastAsia"/>
                      <w:color w:val="000000"/>
                      <w:kern w:val="0"/>
                      <w:sz w:val="18"/>
                      <w:szCs w:val="18"/>
                      <w:lang w:eastAsia="zh-CN" w:bidi="ar"/>
                    </w:rPr>
                    <w:t>2025</w:t>
                  </w:r>
                  <w:r w:rsidRPr="00230008">
                    <w:rPr>
                      <w:rFonts w:eastAsia="宋体" w:hint="eastAsia"/>
                      <w:color w:val="000000"/>
                      <w:kern w:val="0"/>
                      <w:sz w:val="18"/>
                      <w:szCs w:val="18"/>
                      <w:lang w:eastAsia="zh-CN" w:bidi="ar"/>
                    </w:rPr>
                    <w:t>年的</w:t>
                  </w:r>
                  <w:r w:rsidRPr="00230008">
                    <w:rPr>
                      <w:rFonts w:eastAsia="宋体" w:hint="eastAsia"/>
                      <w:color w:val="000000"/>
                      <w:kern w:val="0"/>
                      <w:sz w:val="18"/>
                      <w:szCs w:val="18"/>
                      <w:lang w:eastAsia="zh-CN" w:bidi="ar"/>
                    </w:rPr>
                    <w:t>2.8%</w:t>
                  </w:r>
                  <w:r w:rsidRPr="00230008">
                    <w:rPr>
                      <w:rFonts w:eastAsia="宋体" w:hint="eastAsia"/>
                      <w:color w:val="000000"/>
                      <w:kern w:val="0"/>
                      <w:sz w:val="18"/>
                      <w:szCs w:val="18"/>
                      <w:lang w:eastAsia="zh-CN" w:bidi="ar"/>
                    </w:rPr>
                    <w:t>，然后在</w:t>
                  </w:r>
                  <w:r w:rsidRPr="00230008">
                    <w:rPr>
                      <w:rFonts w:eastAsia="宋体" w:hint="eastAsia"/>
                      <w:color w:val="000000"/>
                      <w:kern w:val="0"/>
                      <w:sz w:val="18"/>
                      <w:szCs w:val="18"/>
                      <w:lang w:eastAsia="zh-CN" w:bidi="ar"/>
                    </w:rPr>
                    <w:t>2026</w:t>
                  </w:r>
                  <w:r w:rsidRPr="00230008">
                    <w:rPr>
                      <w:rFonts w:eastAsia="宋体" w:hint="eastAsia"/>
                      <w:color w:val="000000"/>
                      <w:kern w:val="0"/>
                      <w:sz w:val="18"/>
                      <w:szCs w:val="18"/>
                      <w:lang w:eastAsia="zh-CN" w:bidi="ar"/>
                    </w:rPr>
                    <w:t>年恢复到</w:t>
                  </w:r>
                  <w:r w:rsidRPr="00230008">
                    <w:rPr>
                      <w:rFonts w:eastAsia="宋体" w:hint="eastAsia"/>
                      <w:color w:val="000000"/>
                      <w:kern w:val="0"/>
                      <w:sz w:val="18"/>
                      <w:szCs w:val="18"/>
                      <w:lang w:eastAsia="zh-CN" w:bidi="ar"/>
                    </w:rPr>
                    <w:t>3%</w:t>
                  </w:r>
                  <w:r w:rsidRPr="00230008">
                    <w:rPr>
                      <w:rFonts w:eastAsia="宋体" w:hint="eastAsia"/>
                      <w:color w:val="000000"/>
                      <w:kern w:val="0"/>
                      <w:sz w:val="18"/>
                      <w:szCs w:val="18"/>
                      <w:lang w:eastAsia="zh-CN" w:bidi="ar"/>
                    </w:rPr>
                    <w:t>。这较</w:t>
                  </w:r>
                  <w:r w:rsidRPr="00230008">
                    <w:rPr>
                      <w:rFonts w:eastAsia="宋体" w:hint="eastAsia"/>
                      <w:color w:val="000000"/>
                      <w:kern w:val="0"/>
                      <w:sz w:val="18"/>
                      <w:szCs w:val="18"/>
                      <w:lang w:eastAsia="zh-CN" w:bidi="ar"/>
                    </w:rPr>
                    <w:t>2025</w:t>
                  </w:r>
                  <w:r w:rsidRPr="00230008">
                    <w:rPr>
                      <w:rFonts w:eastAsia="宋体" w:hint="eastAsia"/>
                      <w:color w:val="000000"/>
                      <w:kern w:val="0"/>
                      <w:sz w:val="18"/>
                      <w:szCs w:val="18"/>
                      <w:lang w:eastAsia="zh-CN" w:bidi="ar"/>
                    </w:rPr>
                    <w:t>年</w:t>
                  </w:r>
                  <w:r w:rsidRPr="00230008">
                    <w:rPr>
                      <w:rFonts w:eastAsia="宋体" w:hint="eastAsia"/>
                      <w:color w:val="000000"/>
                      <w:kern w:val="0"/>
                      <w:sz w:val="18"/>
                      <w:szCs w:val="18"/>
                      <w:lang w:eastAsia="zh-CN" w:bidi="ar"/>
                    </w:rPr>
                    <w:t>1</w:t>
                  </w:r>
                  <w:r w:rsidRPr="00230008">
                    <w:rPr>
                      <w:rFonts w:eastAsia="宋体" w:hint="eastAsia"/>
                      <w:color w:val="000000"/>
                      <w:kern w:val="0"/>
                      <w:sz w:val="18"/>
                      <w:szCs w:val="18"/>
                      <w:lang w:eastAsia="zh-CN" w:bidi="ar"/>
                    </w:rPr>
                    <w:t>月预测值分别低</w:t>
                  </w:r>
                  <w:r w:rsidRPr="00230008">
                    <w:rPr>
                      <w:rFonts w:eastAsia="宋体" w:hint="eastAsia"/>
                      <w:color w:val="000000"/>
                      <w:kern w:val="0"/>
                      <w:sz w:val="18"/>
                      <w:szCs w:val="18"/>
                      <w:lang w:eastAsia="zh-CN" w:bidi="ar"/>
                    </w:rPr>
                    <w:t>0.5</w:t>
                  </w:r>
                  <w:r w:rsidRPr="00230008">
                    <w:rPr>
                      <w:rFonts w:eastAsia="宋体" w:hint="eastAsia"/>
                      <w:color w:val="000000"/>
                      <w:kern w:val="0"/>
                      <w:sz w:val="18"/>
                      <w:szCs w:val="18"/>
                      <w:lang w:eastAsia="zh-CN" w:bidi="ar"/>
                    </w:rPr>
                    <w:t>个百分点（</w:t>
                  </w:r>
                  <w:r w:rsidRPr="00230008">
                    <w:rPr>
                      <w:rFonts w:eastAsia="宋体" w:hint="eastAsia"/>
                      <w:color w:val="000000"/>
                      <w:kern w:val="0"/>
                      <w:sz w:val="18"/>
                      <w:szCs w:val="18"/>
                      <w:lang w:eastAsia="zh-CN" w:bidi="ar"/>
                    </w:rPr>
                    <w:t>2025</w:t>
                  </w:r>
                  <w:r w:rsidRPr="00230008">
                    <w:rPr>
                      <w:rFonts w:eastAsia="宋体" w:hint="eastAsia"/>
                      <w:color w:val="000000"/>
                      <w:kern w:val="0"/>
                      <w:sz w:val="18"/>
                      <w:szCs w:val="18"/>
                      <w:lang w:eastAsia="zh-CN" w:bidi="ar"/>
                    </w:rPr>
                    <w:t>年）和</w:t>
                  </w:r>
                  <w:r w:rsidRPr="00230008">
                    <w:rPr>
                      <w:rFonts w:eastAsia="宋体" w:hint="eastAsia"/>
                      <w:color w:val="000000"/>
                      <w:kern w:val="0"/>
                      <w:sz w:val="18"/>
                      <w:szCs w:val="18"/>
                      <w:lang w:eastAsia="zh-CN" w:bidi="ar"/>
                    </w:rPr>
                    <w:t>0.3</w:t>
                  </w:r>
                  <w:r w:rsidRPr="00230008">
                    <w:rPr>
                      <w:rFonts w:eastAsia="宋体" w:hint="eastAsia"/>
                      <w:color w:val="000000"/>
                      <w:kern w:val="0"/>
                      <w:sz w:val="18"/>
                      <w:szCs w:val="18"/>
                      <w:lang w:eastAsia="zh-CN" w:bidi="ar"/>
                    </w:rPr>
                    <w:t>个百分点（</w:t>
                  </w:r>
                  <w:r w:rsidRPr="00230008">
                    <w:rPr>
                      <w:rFonts w:eastAsia="宋体" w:hint="eastAsia"/>
                      <w:color w:val="000000"/>
                      <w:kern w:val="0"/>
                      <w:sz w:val="18"/>
                      <w:szCs w:val="18"/>
                      <w:lang w:eastAsia="zh-CN" w:bidi="ar"/>
                    </w:rPr>
                    <w:t>2026</w:t>
                  </w:r>
                  <w:r w:rsidRPr="00230008">
                    <w:rPr>
                      <w:rFonts w:eastAsia="宋体" w:hint="eastAsia"/>
                      <w:color w:val="000000"/>
                      <w:kern w:val="0"/>
                      <w:sz w:val="18"/>
                      <w:szCs w:val="18"/>
                      <w:lang w:eastAsia="zh-CN" w:bidi="ar"/>
                    </w:rPr>
                    <w:t>年），几乎所有国家经济增速预测都被下调。其中，美国</w:t>
                  </w:r>
                  <w:r w:rsidRPr="00230008">
                    <w:rPr>
                      <w:rFonts w:eastAsia="宋体" w:hint="eastAsia"/>
                      <w:color w:val="000000"/>
                      <w:kern w:val="0"/>
                      <w:sz w:val="18"/>
                      <w:szCs w:val="18"/>
                      <w:lang w:eastAsia="zh-CN" w:bidi="ar"/>
                    </w:rPr>
                    <w:t>2025</w:t>
                  </w:r>
                  <w:r w:rsidRPr="00230008">
                    <w:rPr>
                      <w:rFonts w:eastAsia="宋体" w:hint="eastAsia"/>
                      <w:color w:val="000000"/>
                      <w:kern w:val="0"/>
                      <w:sz w:val="18"/>
                      <w:szCs w:val="18"/>
                      <w:lang w:eastAsia="zh-CN" w:bidi="ar"/>
                    </w:rPr>
                    <w:t>年的经济增速预计将降至</w:t>
                  </w:r>
                  <w:r w:rsidRPr="00230008">
                    <w:rPr>
                      <w:rFonts w:eastAsia="宋体" w:hint="eastAsia"/>
                      <w:color w:val="000000"/>
                      <w:kern w:val="0"/>
                      <w:sz w:val="18"/>
                      <w:szCs w:val="18"/>
                      <w:lang w:eastAsia="zh-CN" w:bidi="ar"/>
                    </w:rPr>
                    <w:t>1.8%</w:t>
                  </w:r>
                  <w:r w:rsidRPr="00230008">
                    <w:rPr>
                      <w:rFonts w:eastAsia="宋体" w:hint="eastAsia"/>
                      <w:color w:val="000000"/>
                      <w:kern w:val="0"/>
                      <w:sz w:val="18"/>
                      <w:szCs w:val="18"/>
                      <w:lang w:eastAsia="zh-CN" w:bidi="ar"/>
                    </w:rPr>
                    <w:t>，比</w:t>
                  </w:r>
                  <w:r w:rsidRPr="00230008">
                    <w:rPr>
                      <w:rFonts w:eastAsia="宋体" w:hint="eastAsia"/>
                      <w:color w:val="000000"/>
                      <w:kern w:val="0"/>
                      <w:sz w:val="18"/>
                      <w:szCs w:val="18"/>
                      <w:lang w:eastAsia="zh-CN" w:bidi="ar"/>
                    </w:rPr>
                    <w:t>2024</w:t>
                  </w:r>
                  <w:r w:rsidRPr="00230008">
                    <w:rPr>
                      <w:rFonts w:eastAsia="宋体" w:hint="eastAsia"/>
                      <w:color w:val="000000"/>
                      <w:kern w:val="0"/>
                      <w:sz w:val="18"/>
                      <w:szCs w:val="18"/>
                      <w:lang w:eastAsia="zh-CN" w:bidi="ar"/>
                    </w:rPr>
                    <w:t>年低</w:t>
                  </w:r>
                  <w:r w:rsidRPr="00230008">
                    <w:rPr>
                      <w:rFonts w:eastAsia="宋体" w:hint="eastAsia"/>
                      <w:color w:val="000000"/>
                      <w:kern w:val="0"/>
                      <w:sz w:val="18"/>
                      <w:szCs w:val="18"/>
                      <w:lang w:eastAsia="zh-CN" w:bidi="ar"/>
                    </w:rPr>
                    <w:t>1</w:t>
                  </w:r>
                  <w:r w:rsidRPr="00230008">
                    <w:rPr>
                      <w:rFonts w:eastAsia="宋体" w:hint="eastAsia"/>
                      <w:color w:val="000000"/>
                      <w:kern w:val="0"/>
                      <w:sz w:val="18"/>
                      <w:szCs w:val="18"/>
                      <w:lang w:eastAsia="zh-CN" w:bidi="ar"/>
                    </w:rPr>
                    <w:t>个百分点，比</w:t>
                  </w:r>
                  <w:r w:rsidRPr="00230008">
                    <w:rPr>
                      <w:rFonts w:eastAsia="宋体" w:hint="eastAsia"/>
                      <w:color w:val="000000"/>
                      <w:kern w:val="0"/>
                      <w:sz w:val="18"/>
                      <w:szCs w:val="18"/>
                      <w:lang w:eastAsia="zh-CN" w:bidi="ar"/>
                    </w:rPr>
                    <w:t>1</w:t>
                  </w:r>
                  <w:r w:rsidRPr="00230008">
                    <w:rPr>
                      <w:rFonts w:eastAsia="宋体" w:hint="eastAsia"/>
                      <w:color w:val="000000"/>
                      <w:kern w:val="0"/>
                      <w:sz w:val="18"/>
                      <w:szCs w:val="18"/>
                      <w:lang w:eastAsia="zh-CN" w:bidi="ar"/>
                    </w:rPr>
                    <w:t>月的预测低</w:t>
                  </w:r>
                  <w:r w:rsidRPr="00230008">
                    <w:rPr>
                      <w:rFonts w:eastAsia="宋体" w:hint="eastAsia"/>
                      <w:color w:val="000000"/>
                      <w:kern w:val="0"/>
                      <w:sz w:val="18"/>
                      <w:szCs w:val="18"/>
                      <w:lang w:eastAsia="zh-CN" w:bidi="ar"/>
                    </w:rPr>
                    <w:t>0.9</w:t>
                  </w:r>
                  <w:r w:rsidRPr="00230008">
                    <w:rPr>
                      <w:rFonts w:eastAsia="宋体" w:hint="eastAsia"/>
                      <w:color w:val="000000"/>
                      <w:kern w:val="0"/>
                      <w:sz w:val="18"/>
                      <w:szCs w:val="18"/>
                      <w:lang w:eastAsia="zh-CN" w:bidi="ar"/>
                    </w:rPr>
                    <w:t>个百分点。</w:t>
                  </w:r>
                </w:p>
              </w:tc>
              <w:tc>
                <w:tcPr>
                  <w:tcW w:w="1928" w:type="dxa"/>
                  <w:tcBorders>
                    <w:top w:val="nil"/>
                    <w:left w:val="nil"/>
                    <w:bottom w:val="single" w:sz="4" w:space="0" w:color="auto"/>
                    <w:right w:val="nil"/>
                  </w:tcBorders>
                  <w:shd w:val="clear" w:color="auto" w:fill="auto"/>
                  <w:vAlign w:val="center"/>
                </w:tcPr>
                <w:p w14:paraId="24118FD8" w14:textId="77777777" w:rsidR="00230008" w:rsidRPr="00230008" w:rsidRDefault="00230008" w:rsidP="00230008">
                  <w:pPr>
                    <w:ind w:firstLineChars="0" w:firstLine="0"/>
                    <w:textAlignment w:val="center"/>
                    <w:rPr>
                      <w:rFonts w:eastAsia="宋体"/>
                      <w:color w:val="000000"/>
                      <w:kern w:val="0"/>
                      <w:sz w:val="18"/>
                      <w:szCs w:val="18"/>
                      <w:lang w:eastAsia="zh-CN" w:bidi="ar"/>
                    </w:rPr>
                  </w:pPr>
                  <w:r w:rsidRPr="00230008">
                    <w:rPr>
                      <w:rFonts w:eastAsia="宋体" w:hint="eastAsia"/>
                      <w:color w:val="000000"/>
                      <w:kern w:val="0"/>
                      <w:sz w:val="18"/>
                      <w:szCs w:val="18"/>
                      <w:lang w:eastAsia="zh-CN" w:bidi="ar"/>
                    </w:rPr>
                    <w:t>IMF</w:t>
                  </w:r>
                  <w:r w:rsidRPr="00230008">
                    <w:rPr>
                      <w:rFonts w:eastAsia="宋体" w:hint="eastAsia"/>
                      <w:color w:val="000000"/>
                      <w:kern w:val="0"/>
                      <w:sz w:val="18"/>
                      <w:szCs w:val="18"/>
                      <w:lang w:eastAsia="zh-CN" w:bidi="ar"/>
                    </w:rPr>
                    <w:t>《世界经济展望报告》（</w:t>
                  </w:r>
                  <w:r w:rsidRPr="00230008">
                    <w:rPr>
                      <w:rFonts w:eastAsia="宋体" w:hint="eastAsia"/>
                      <w:color w:val="000000"/>
                      <w:kern w:val="0"/>
                      <w:sz w:val="18"/>
                      <w:szCs w:val="18"/>
                      <w:lang w:eastAsia="zh-CN" w:bidi="ar"/>
                    </w:rPr>
                    <w:t>WEO</w:t>
                  </w:r>
                  <w:r w:rsidRPr="00230008">
                    <w:rPr>
                      <w:rFonts w:eastAsia="宋体" w:hint="eastAsia"/>
                      <w:color w:val="000000"/>
                      <w:kern w:val="0"/>
                      <w:sz w:val="18"/>
                      <w:szCs w:val="18"/>
                      <w:lang w:eastAsia="zh-CN" w:bidi="ar"/>
                    </w:rPr>
                    <w:t>），</w:t>
                  </w:r>
                  <w:r w:rsidRPr="00230008">
                    <w:rPr>
                      <w:rFonts w:eastAsia="宋体" w:hint="eastAsia"/>
                      <w:color w:val="000000"/>
                      <w:kern w:val="0"/>
                      <w:sz w:val="18"/>
                      <w:szCs w:val="18"/>
                      <w:lang w:eastAsia="zh-CN" w:bidi="ar"/>
                    </w:rPr>
                    <w:t>2025.4.22</w:t>
                  </w:r>
                </w:p>
              </w:tc>
            </w:tr>
            <w:tr w:rsidR="00230008" w:rsidRPr="00230008" w14:paraId="20DC8737" w14:textId="77777777" w:rsidTr="00D72849">
              <w:trPr>
                <w:trHeight w:val="233"/>
                <w:jc w:val="center"/>
              </w:trPr>
              <w:tc>
                <w:tcPr>
                  <w:tcW w:w="719" w:type="dxa"/>
                  <w:vMerge w:val="restart"/>
                  <w:tcBorders>
                    <w:top w:val="nil"/>
                    <w:left w:val="nil"/>
                    <w:bottom w:val="single" w:sz="4" w:space="0" w:color="auto"/>
                    <w:right w:val="single" w:sz="4" w:space="0" w:color="auto"/>
                  </w:tcBorders>
                  <w:shd w:val="clear" w:color="auto" w:fill="auto"/>
                  <w:vAlign w:val="center"/>
                </w:tcPr>
                <w:p w14:paraId="292133A9" w14:textId="77777777" w:rsidR="00230008" w:rsidRPr="00230008" w:rsidRDefault="00230008" w:rsidP="00230008">
                  <w:pPr>
                    <w:ind w:firstLineChars="0" w:firstLine="0"/>
                    <w:textAlignment w:val="center"/>
                    <w:rPr>
                      <w:rFonts w:eastAsia="宋体"/>
                      <w:color w:val="000000"/>
                      <w:sz w:val="18"/>
                      <w:szCs w:val="18"/>
                      <w:lang w:eastAsia="zh-CN" w:bidi="ar-SA"/>
                    </w:rPr>
                  </w:pPr>
                  <w:r w:rsidRPr="00230008">
                    <w:rPr>
                      <w:rFonts w:eastAsia="宋体"/>
                      <w:color w:val="000000"/>
                      <w:kern w:val="0"/>
                      <w:sz w:val="18"/>
                      <w:szCs w:val="18"/>
                      <w:lang w:eastAsia="zh-CN" w:bidi="ar"/>
                    </w:rPr>
                    <w:t>对美国经济的影响</w:t>
                  </w:r>
                </w:p>
              </w:tc>
              <w:tc>
                <w:tcPr>
                  <w:tcW w:w="7030" w:type="dxa"/>
                  <w:tcBorders>
                    <w:top w:val="nil"/>
                    <w:left w:val="nil"/>
                    <w:bottom w:val="single" w:sz="4" w:space="0" w:color="auto"/>
                    <w:right w:val="single" w:sz="4" w:space="0" w:color="auto"/>
                  </w:tcBorders>
                  <w:shd w:val="clear" w:color="auto" w:fill="auto"/>
                  <w:vAlign w:val="center"/>
                </w:tcPr>
                <w:p w14:paraId="79C79549" w14:textId="77777777" w:rsidR="00230008" w:rsidRPr="00230008" w:rsidRDefault="00230008" w:rsidP="00230008">
                  <w:pPr>
                    <w:ind w:firstLineChars="0" w:firstLine="0"/>
                    <w:textAlignment w:val="center"/>
                    <w:rPr>
                      <w:rFonts w:eastAsia="宋体"/>
                      <w:color w:val="000000"/>
                      <w:sz w:val="18"/>
                      <w:szCs w:val="18"/>
                      <w:lang w:eastAsia="zh-CN" w:bidi="ar-SA"/>
                    </w:rPr>
                  </w:pPr>
                  <w:r w:rsidRPr="00230008">
                    <w:rPr>
                      <w:rFonts w:eastAsia="宋体"/>
                      <w:color w:val="000000"/>
                      <w:kern w:val="0"/>
                      <w:sz w:val="18"/>
                      <w:szCs w:val="18"/>
                      <w:lang w:eastAsia="zh-CN" w:bidi="ar"/>
                    </w:rPr>
                    <w:t>关税或使美国今年</w:t>
                  </w:r>
                  <w:r w:rsidRPr="00230008">
                    <w:rPr>
                      <w:rFonts w:eastAsia="宋体"/>
                      <w:color w:val="000000"/>
                      <w:kern w:val="0"/>
                      <w:sz w:val="18"/>
                      <w:szCs w:val="18"/>
                      <w:lang w:eastAsia="zh-CN" w:bidi="ar"/>
                    </w:rPr>
                    <w:t>GDP</w:t>
                  </w:r>
                  <w:r w:rsidRPr="00230008">
                    <w:rPr>
                      <w:rFonts w:eastAsia="宋体"/>
                      <w:color w:val="000000"/>
                      <w:kern w:val="0"/>
                      <w:sz w:val="18"/>
                      <w:szCs w:val="18"/>
                      <w:lang w:eastAsia="zh-CN" w:bidi="ar"/>
                    </w:rPr>
                    <w:t>增速减少</w:t>
                  </w:r>
                  <w:r w:rsidRPr="00230008">
                    <w:rPr>
                      <w:rFonts w:eastAsia="宋体"/>
                      <w:color w:val="000000"/>
                      <w:kern w:val="0"/>
                      <w:sz w:val="18"/>
                      <w:szCs w:val="18"/>
                      <w:lang w:eastAsia="zh-CN" w:bidi="ar"/>
                    </w:rPr>
                    <w:t>1%-1.5%</w:t>
                  </w:r>
                  <w:r w:rsidRPr="00230008">
                    <w:rPr>
                      <w:rFonts w:eastAsia="宋体"/>
                      <w:color w:val="000000"/>
                      <w:kern w:val="0"/>
                      <w:sz w:val="18"/>
                      <w:szCs w:val="18"/>
                      <w:lang w:eastAsia="zh-CN" w:bidi="ar"/>
                    </w:rPr>
                    <w:t>，通胀率可能突破</w:t>
                  </w:r>
                  <w:r w:rsidRPr="00230008">
                    <w:rPr>
                      <w:rFonts w:eastAsia="宋体"/>
                      <w:color w:val="000000"/>
                      <w:kern w:val="0"/>
                      <w:sz w:val="18"/>
                      <w:szCs w:val="18"/>
                      <w:lang w:eastAsia="zh-CN" w:bidi="ar"/>
                    </w:rPr>
                    <w:t>4%</w:t>
                  </w:r>
                  <w:r w:rsidRPr="00230008">
                    <w:rPr>
                      <w:rFonts w:eastAsia="宋体"/>
                      <w:color w:val="000000"/>
                      <w:kern w:val="0"/>
                      <w:sz w:val="18"/>
                      <w:szCs w:val="18"/>
                      <w:lang w:eastAsia="zh-CN" w:bidi="ar"/>
                    </w:rPr>
                    <w:t>。</w:t>
                  </w:r>
                </w:p>
              </w:tc>
              <w:tc>
                <w:tcPr>
                  <w:tcW w:w="1928" w:type="dxa"/>
                  <w:tcBorders>
                    <w:top w:val="nil"/>
                    <w:left w:val="nil"/>
                    <w:bottom w:val="single" w:sz="4" w:space="0" w:color="auto"/>
                    <w:right w:val="nil"/>
                  </w:tcBorders>
                  <w:shd w:val="clear" w:color="auto" w:fill="auto"/>
                  <w:vAlign w:val="center"/>
                </w:tcPr>
                <w:p w14:paraId="78B708E1" w14:textId="77777777" w:rsidR="00230008" w:rsidRPr="00230008" w:rsidRDefault="00230008" w:rsidP="00230008">
                  <w:pPr>
                    <w:ind w:firstLineChars="0" w:firstLine="0"/>
                    <w:textAlignment w:val="center"/>
                    <w:rPr>
                      <w:rFonts w:eastAsia="宋体"/>
                      <w:color w:val="000000"/>
                      <w:sz w:val="18"/>
                      <w:szCs w:val="18"/>
                      <w:lang w:eastAsia="zh-CN" w:bidi="ar-SA"/>
                    </w:rPr>
                  </w:pPr>
                  <w:r w:rsidRPr="00230008">
                    <w:rPr>
                      <w:rFonts w:eastAsia="宋体"/>
                      <w:color w:val="000000"/>
                      <w:kern w:val="0"/>
                      <w:sz w:val="18"/>
                      <w:szCs w:val="18"/>
                      <w:lang w:eastAsia="zh-CN" w:bidi="ar"/>
                    </w:rPr>
                    <w:t>德意志银行</w:t>
                  </w:r>
                  <w:r w:rsidRPr="00230008">
                    <w:rPr>
                      <w:rFonts w:eastAsia="宋体" w:hint="eastAsia"/>
                      <w:color w:val="000000"/>
                      <w:kern w:val="0"/>
                      <w:sz w:val="18"/>
                      <w:szCs w:val="18"/>
                      <w:lang w:eastAsia="zh-CN" w:bidi="ar"/>
                    </w:rPr>
                    <w:t>，</w:t>
                  </w:r>
                  <w:r w:rsidRPr="00230008">
                    <w:rPr>
                      <w:rFonts w:eastAsia="宋体" w:hint="eastAsia"/>
                      <w:color w:val="000000"/>
                      <w:kern w:val="0"/>
                      <w:sz w:val="18"/>
                      <w:szCs w:val="18"/>
                      <w:lang w:eastAsia="zh-CN" w:bidi="ar"/>
                    </w:rPr>
                    <w:t>2025.4.3</w:t>
                  </w:r>
                </w:p>
              </w:tc>
            </w:tr>
            <w:tr w:rsidR="00230008" w:rsidRPr="00230008" w14:paraId="3F6389E3" w14:textId="77777777" w:rsidTr="00D72849">
              <w:trPr>
                <w:trHeight w:val="576"/>
                <w:jc w:val="center"/>
              </w:trPr>
              <w:tc>
                <w:tcPr>
                  <w:tcW w:w="719" w:type="dxa"/>
                  <w:vMerge/>
                  <w:tcBorders>
                    <w:top w:val="nil"/>
                    <w:left w:val="nil"/>
                    <w:bottom w:val="single" w:sz="4" w:space="0" w:color="auto"/>
                    <w:right w:val="single" w:sz="4" w:space="0" w:color="auto"/>
                  </w:tcBorders>
                  <w:shd w:val="clear" w:color="auto" w:fill="auto"/>
                  <w:vAlign w:val="center"/>
                </w:tcPr>
                <w:p w14:paraId="473C1CFA" w14:textId="77777777" w:rsidR="00230008" w:rsidRPr="00230008" w:rsidRDefault="00230008" w:rsidP="00230008">
                  <w:pPr>
                    <w:widowControl w:val="0"/>
                    <w:ind w:firstLineChars="0" w:firstLine="0"/>
                    <w:rPr>
                      <w:rFonts w:eastAsia="宋体"/>
                      <w:color w:val="000000"/>
                      <w:sz w:val="18"/>
                      <w:szCs w:val="18"/>
                      <w:lang w:eastAsia="zh-CN" w:bidi="ar-SA"/>
                    </w:rPr>
                  </w:pPr>
                </w:p>
              </w:tc>
              <w:tc>
                <w:tcPr>
                  <w:tcW w:w="7030" w:type="dxa"/>
                  <w:tcBorders>
                    <w:top w:val="nil"/>
                    <w:left w:val="nil"/>
                    <w:bottom w:val="single" w:sz="4" w:space="0" w:color="auto"/>
                    <w:right w:val="single" w:sz="4" w:space="0" w:color="auto"/>
                  </w:tcBorders>
                  <w:shd w:val="clear" w:color="auto" w:fill="auto"/>
                  <w:vAlign w:val="center"/>
                </w:tcPr>
                <w:p w14:paraId="68306E0C" w14:textId="77777777" w:rsidR="00230008" w:rsidRPr="00230008" w:rsidRDefault="00230008" w:rsidP="00230008">
                  <w:pPr>
                    <w:ind w:firstLineChars="0" w:firstLine="0"/>
                    <w:textAlignment w:val="center"/>
                    <w:rPr>
                      <w:rFonts w:eastAsia="宋体"/>
                      <w:color w:val="000000"/>
                      <w:sz w:val="18"/>
                      <w:szCs w:val="18"/>
                      <w:lang w:eastAsia="zh-CN" w:bidi="ar-SA"/>
                    </w:rPr>
                  </w:pPr>
                  <w:r w:rsidRPr="00230008">
                    <w:rPr>
                      <w:rFonts w:eastAsia="宋体"/>
                      <w:color w:val="000000"/>
                      <w:kern w:val="0"/>
                      <w:sz w:val="18"/>
                      <w:szCs w:val="18"/>
                      <w:lang w:eastAsia="zh-CN" w:bidi="ar"/>
                    </w:rPr>
                    <w:t>在之前的关税基础上，再叠加对等关税，或将推高美国</w:t>
                  </w:r>
                  <w:r w:rsidRPr="00230008">
                    <w:rPr>
                      <w:rFonts w:eastAsia="宋体"/>
                      <w:color w:val="000000"/>
                      <w:kern w:val="0"/>
                      <w:sz w:val="18"/>
                      <w:szCs w:val="18"/>
                      <w:lang w:eastAsia="zh-CN" w:bidi="ar"/>
                    </w:rPr>
                    <w:t>PCE</w:t>
                  </w:r>
                  <w:r w:rsidRPr="00230008">
                    <w:rPr>
                      <w:rFonts w:eastAsia="宋体"/>
                      <w:color w:val="000000"/>
                      <w:kern w:val="0"/>
                      <w:sz w:val="18"/>
                      <w:szCs w:val="18"/>
                      <w:lang w:eastAsia="zh-CN" w:bidi="ar"/>
                    </w:rPr>
                    <w:t>通胀</w:t>
                  </w:r>
                  <w:r w:rsidRPr="00230008">
                    <w:rPr>
                      <w:rFonts w:eastAsia="宋体"/>
                      <w:color w:val="000000"/>
                      <w:kern w:val="0"/>
                      <w:sz w:val="18"/>
                      <w:szCs w:val="18"/>
                      <w:lang w:eastAsia="zh-CN" w:bidi="ar"/>
                    </w:rPr>
                    <w:t>1.9</w:t>
                  </w:r>
                  <w:r w:rsidRPr="00230008">
                    <w:rPr>
                      <w:rFonts w:eastAsia="宋体"/>
                      <w:color w:val="000000"/>
                      <w:kern w:val="0"/>
                      <w:sz w:val="18"/>
                      <w:szCs w:val="18"/>
                      <w:lang w:eastAsia="zh-CN" w:bidi="ar"/>
                    </w:rPr>
                    <w:t>个百分点，增加美国财政收入</w:t>
                  </w:r>
                  <w:r w:rsidRPr="00230008">
                    <w:rPr>
                      <w:rFonts w:eastAsia="宋体"/>
                      <w:color w:val="000000"/>
                      <w:kern w:val="0"/>
                      <w:sz w:val="18"/>
                      <w:szCs w:val="18"/>
                      <w:lang w:eastAsia="zh-CN" w:bidi="ar"/>
                    </w:rPr>
                    <w:t>7374</w:t>
                  </w:r>
                  <w:r w:rsidRPr="00230008">
                    <w:rPr>
                      <w:rFonts w:eastAsia="宋体"/>
                      <w:color w:val="000000"/>
                      <w:kern w:val="0"/>
                      <w:sz w:val="18"/>
                      <w:szCs w:val="18"/>
                      <w:lang w:eastAsia="zh-CN" w:bidi="ar"/>
                    </w:rPr>
                    <w:t>亿美元，降低美国实际</w:t>
                  </w:r>
                  <w:r w:rsidRPr="00230008">
                    <w:rPr>
                      <w:rFonts w:eastAsia="宋体"/>
                      <w:color w:val="000000"/>
                      <w:kern w:val="0"/>
                      <w:sz w:val="18"/>
                      <w:szCs w:val="18"/>
                      <w:lang w:eastAsia="zh-CN" w:bidi="ar"/>
                    </w:rPr>
                    <w:t>GDP</w:t>
                  </w:r>
                  <w:r w:rsidRPr="00230008">
                    <w:rPr>
                      <w:rFonts w:eastAsia="宋体"/>
                      <w:color w:val="000000"/>
                      <w:kern w:val="0"/>
                      <w:sz w:val="18"/>
                      <w:szCs w:val="18"/>
                      <w:lang w:eastAsia="zh-CN" w:bidi="ar"/>
                    </w:rPr>
                    <w:t>增速</w:t>
                  </w:r>
                  <w:r w:rsidRPr="00230008">
                    <w:rPr>
                      <w:rFonts w:eastAsia="宋体"/>
                      <w:color w:val="000000"/>
                      <w:kern w:val="0"/>
                      <w:sz w:val="18"/>
                      <w:szCs w:val="18"/>
                      <w:lang w:eastAsia="zh-CN" w:bidi="ar"/>
                    </w:rPr>
                    <w:t>1.3</w:t>
                  </w:r>
                  <w:r w:rsidRPr="00230008">
                    <w:rPr>
                      <w:rFonts w:eastAsia="宋体"/>
                      <w:color w:val="000000"/>
                      <w:kern w:val="0"/>
                      <w:sz w:val="18"/>
                      <w:szCs w:val="18"/>
                      <w:lang w:eastAsia="zh-CN" w:bidi="ar"/>
                    </w:rPr>
                    <w:t>个百分点。</w:t>
                  </w:r>
                </w:p>
              </w:tc>
              <w:tc>
                <w:tcPr>
                  <w:tcW w:w="1928" w:type="dxa"/>
                  <w:tcBorders>
                    <w:top w:val="nil"/>
                    <w:left w:val="nil"/>
                    <w:bottom w:val="single" w:sz="4" w:space="0" w:color="auto"/>
                    <w:right w:val="nil"/>
                  </w:tcBorders>
                  <w:shd w:val="clear" w:color="auto" w:fill="auto"/>
                  <w:vAlign w:val="center"/>
                </w:tcPr>
                <w:p w14:paraId="24FAAA49" w14:textId="77777777" w:rsidR="00230008" w:rsidRPr="00230008" w:rsidRDefault="00230008" w:rsidP="00230008">
                  <w:pPr>
                    <w:ind w:firstLineChars="0" w:firstLine="0"/>
                    <w:textAlignment w:val="center"/>
                    <w:rPr>
                      <w:rFonts w:eastAsia="宋体"/>
                      <w:color w:val="000000"/>
                      <w:sz w:val="18"/>
                      <w:szCs w:val="18"/>
                      <w:lang w:eastAsia="zh-CN" w:bidi="ar-SA"/>
                    </w:rPr>
                  </w:pPr>
                  <w:r w:rsidRPr="00230008">
                    <w:rPr>
                      <w:rFonts w:eastAsia="宋体"/>
                      <w:color w:val="000000"/>
                      <w:kern w:val="0"/>
                      <w:sz w:val="18"/>
                      <w:szCs w:val="18"/>
                      <w:lang w:eastAsia="zh-CN" w:bidi="ar"/>
                    </w:rPr>
                    <w:t>中金研究</w:t>
                  </w:r>
                  <w:r w:rsidRPr="00230008">
                    <w:rPr>
                      <w:rFonts w:eastAsia="宋体" w:hint="eastAsia"/>
                      <w:color w:val="000000"/>
                      <w:kern w:val="0"/>
                      <w:sz w:val="18"/>
                      <w:szCs w:val="18"/>
                      <w:lang w:eastAsia="zh-CN" w:bidi="ar"/>
                    </w:rPr>
                    <w:t>，</w:t>
                  </w:r>
                  <w:r w:rsidRPr="00230008">
                    <w:rPr>
                      <w:rFonts w:eastAsia="宋体" w:hint="eastAsia"/>
                      <w:color w:val="000000"/>
                      <w:kern w:val="0"/>
                      <w:sz w:val="18"/>
                      <w:szCs w:val="18"/>
                      <w:lang w:eastAsia="zh-CN" w:bidi="ar"/>
                    </w:rPr>
                    <w:t>2025.4.3</w:t>
                  </w:r>
                </w:p>
              </w:tc>
            </w:tr>
            <w:tr w:rsidR="00230008" w:rsidRPr="00230008" w14:paraId="6CD726A1" w14:textId="77777777" w:rsidTr="00D72849">
              <w:trPr>
                <w:trHeight w:val="275"/>
                <w:jc w:val="center"/>
              </w:trPr>
              <w:tc>
                <w:tcPr>
                  <w:tcW w:w="719" w:type="dxa"/>
                  <w:vMerge/>
                  <w:tcBorders>
                    <w:top w:val="nil"/>
                    <w:left w:val="nil"/>
                    <w:bottom w:val="single" w:sz="4" w:space="0" w:color="auto"/>
                    <w:right w:val="single" w:sz="4" w:space="0" w:color="auto"/>
                  </w:tcBorders>
                  <w:shd w:val="clear" w:color="auto" w:fill="auto"/>
                  <w:vAlign w:val="center"/>
                </w:tcPr>
                <w:p w14:paraId="68AD9B5C" w14:textId="77777777" w:rsidR="00230008" w:rsidRPr="00230008" w:rsidRDefault="00230008" w:rsidP="00230008">
                  <w:pPr>
                    <w:widowControl w:val="0"/>
                    <w:ind w:firstLineChars="0" w:firstLine="0"/>
                    <w:rPr>
                      <w:rFonts w:eastAsia="宋体"/>
                      <w:color w:val="000000"/>
                      <w:sz w:val="18"/>
                      <w:szCs w:val="18"/>
                      <w:lang w:eastAsia="zh-CN" w:bidi="ar-SA"/>
                    </w:rPr>
                  </w:pPr>
                </w:p>
              </w:tc>
              <w:tc>
                <w:tcPr>
                  <w:tcW w:w="7030" w:type="dxa"/>
                  <w:tcBorders>
                    <w:top w:val="nil"/>
                    <w:left w:val="nil"/>
                    <w:bottom w:val="single" w:sz="4" w:space="0" w:color="auto"/>
                    <w:right w:val="single" w:sz="4" w:space="0" w:color="auto"/>
                  </w:tcBorders>
                  <w:shd w:val="clear" w:color="auto" w:fill="auto"/>
                  <w:vAlign w:val="center"/>
                </w:tcPr>
                <w:p w14:paraId="672E06B7" w14:textId="77777777" w:rsidR="00230008" w:rsidRPr="00230008" w:rsidRDefault="00230008" w:rsidP="00230008">
                  <w:pPr>
                    <w:ind w:firstLineChars="0" w:firstLine="0"/>
                    <w:textAlignment w:val="center"/>
                    <w:rPr>
                      <w:rFonts w:eastAsia="宋体"/>
                      <w:color w:val="000000"/>
                      <w:sz w:val="18"/>
                      <w:szCs w:val="18"/>
                      <w:lang w:eastAsia="zh-CN" w:bidi="ar-SA"/>
                    </w:rPr>
                  </w:pPr>
                  <w:r w:rsidRPr="00230008">
                    <w:rPr>
                      <w:rFonts w:eastAsia="宋体"/>
                      <w:color w:val="000000"/>
                      <w:kern w:val="0"/>
                      <w:sz w:val="18"/>
                      <w:szCs w:val="18"/>
                      <w:lang w:eastAsia="zh-CN" w:bidi="ar"/>
                    </w:rPr>
                    <w:t>2025</w:t>
                  </w:r>
                  <w:r w:rsidRPr="00230008">
                    <w:rPr>
                      <w:rFonts w:eastAsia="宋体"/>
                      <w:color w:val="000000"/>
                      <w:kern w:val="0"/>
                      <w:sz w:val="18"/>
                      <w:szCs w:val="18"/>
                      <w:lang w:eastAsia="zh-CN" w:bidi="ar"/>
                    </w:rPr>
                    <w:t>年</w:t>
                  </w:r>
                  <w:r w:rsidRPr="00230008">
                    <w:rPr>
                      <w:rFonts w:eastAsia="宋体"/>
                      <w:color w:val="000000"/>
                      <w:kern w:val="0"/>
                      <w:sz w:val="18"/>
                      <w:szCs w:val="18"/>
                      <w:lang w:eastAsia="zh-CN" w:bidi="ar"/>
                    </w:rPr>
                    <w:t>4</w:t>
                  </w:r>
                  <w:r w:rsidRPr="00230008">
                    <w:rPr>
                      <w:rFonts w:eastAsia="宋体"/>
                      <w:color w:val="000000"/>
                      <w:kern w:val="0"/>
                      <w:sz w:val="18"/>
                      <w:szCs w:val="18"/>
                      <w:lang w:eastAsia="zh-CN" w:bidi="ar"/>
                    </w:rPr>
                    <w:t>月</w:t>
                  </w:r>
                  <w:r w:rsidRPr="00230008">
                    <w:rPr>
                      <w:rFonts w:eastAsia="宋体"/>
                      <w:color w:val="000000"/>
                      <w:kern w:val="0"/>
                      <w:sz w:val="18"/>
                      <w:szCs w:val="18"/>
                      <w:lang w:eastAsia="zh-CN" w:bidi="ar"/>
                    </w:rPr>
                    <w:t>4</w:t>
                  </w:r>
                  <w:r w:rsidRPr="00230008">
                    <w:rPr>
                      <w:rFonts w:eastAsia="宋体"/>
                      <w:color w:val="000000"/>
                      <w:kern w:val="0"/>
                      <w:sz w:val="18"/>
                      <w:szCs w:val="18"/>
                      <w:lang w:eastAsia="zh-CN" w:bidi="ar"/>
                    </w:rPr>
                    <w:t>日，花旗银行将对美国</w:t>
                  </w:r>
                  <w:r w:rsidRPr="00230008">
                    <w:rPr>
                      <w:rFonts w:eastAsia="宋体"/>
                      <w:color w:val="000000"/>
                      <w:kern w:val="0"/>
                      <w:sz w:val="18"/>
                      <w:szCs w:val="18"/>
                      <w:lang w:eastAsia="zh-CN" w:bidi="ar"/>
                    </w:rPr>
                    <w:t>2025</w:t>
                  </w:r>
                  <w:r w:rsidRPr="00230008">
                    <w:rPr>
                      <w:rFonts w:eastAsia="宋体"/>
                      <w:color w:val="000000"/>
                      <w:kern w:val="0"/>
                      <w:sz w:val="18"/>
                      <w:szCs w:val="18"/>
                      <w:lang w:eastAsia="zh-CN" w:bidi="ar"/>
                    </w:rPr>
                    <w:t>年的增长预期下调至</w:t>
                  </w:r>
                  <w:r w:rsidRPr="00230008">
                    <w:rPr>
                      <w:rFonts w:eastAsia="宋体"/>
                      <w:color w:val="000000"/>
                      <w:kern w:val="0"/>
                      <w:sz w:val="18"/>
                      <w:szCs w:val="18"/>
                      <w:lang w:eastAsia="zh-CN" w:bidi="ar"/>
                    </w:rPr>
                    <w:t>0.1%</w:t>
                  </w:r>
                  <w:r w:rsidRPr="00230008">
                    <w:rPr>
                      <w:rFonts w:eastAsia="宋体"/>
                      <w:color w:val="000000"/>
                      <w:kern w:val="0"/>
                      <w:sz w:val="18"/>
                      <w:szCs w:val="18"/>
                      <w:lang w:eastAsia="zh-CN" w:bidi="ar"/>
                    </w:rPr>
                    <w:t>。</w:t>
                  </w:r>
                </w:p>
              </w:tc>
              <w:tc>
                <w:tcPr>
                  <w:tcW w:w="1928" w:type="dxa"/>
                  <w:tcBorders>
                    <w:top w:val="nil"/>
                    <w:left w:val="nil"/>
                    <w:bottom w:val="single" w:sz="4" w:space="0" w:color="auto"/>
                    <w:right w:val="nil"/>
                  </w:tcBorders>
                  <w:shd w:val="clear" w:color="auto" w:fill="auto"/>
                  <w:vAlign w:val="center"/>
                </w:tcPr>
                <w:p w14:paraId="6BC482B4" w14:textId="77777777" w:rsidR="00230008" w:rsidRPr="00230008" w:rsidRDefault="00230008" w:rsidP="00230008">
                  <w:pPr>
                    <w:ind w:firstLineChars="0" w:firstLine="0"/>
                    <w:textAlignment w:val="center"/>
                    <w:rPr>
                      <w:rFonts w:eastAsia="宋体"/>
                      <w:color w:val="000000"/>
                      <w:sz w:val="18"/>
                      <w:szCs w:val="18"/>
                      <w:lang w:eastAsia="zh-CN" w:bidi="ar-SA"/>
                    </w:rPr>
                  </w:pPr>
                  <w:r w:rsidRPr="00230008">
                    <w:rPr>
                      <w:rFonts w:eastAsia="宋体"/>
                      <w:color w:val="000000"/>
                      <w:kern w:val="0"/>
                      <w:sz w:val="18"/>
                      <w:szCs w:val="18"/>
                      <w:lang w:eastAsia="zh-CN" w:bidi="ar"/>
                    </w:rPr>
                    <w:t>花旗银行</w:t>
                  </w:r>
                  <w:r w:rsidRPr="00230008">
                    <w:rPr>
                      <w:rFonts w:eastAsia="宋体" w:hint="eastAsia"/>
                      <w:color w:val="000000"/>
                      <w:kern w:val="0"/>
                      <w:sz w:val="18"/>
                      <w:szCs w:val="18"/>
                      <w:lang w:eastAsia="zh-CN" w:bidi="ar"/>
                    </w:rPr>
                    <w:t>，</w:t>
                  </w:r>
                  <w:r w:rsidRPr="00230008">
                    <w:rPr>
                      <w:rFonts w:eastAsia="宋体" w:hint="eastAsia"/>
                      <w:color w:val="000000"/>
                      <w:kern w:val="0"/>
                      <w:sz w:val="18"/>
                      <w:szCs w:val="18"/>
                      <w:lang w:eastAsia="zh-CN" w:bidi="ar"/>
                    </w:rPr>
                    <w:t>2025.4.4</w:t>
                  </w:r>
                </w:p>
              </w:tc>
            </w:tr>
            <w:tr w:rsidR="00230008" w:rsidRPr="00230008" w14:paraId="0AF51541" w14:textId="77777777" w:rsidTr="00D72849">
              <w:trPr>
                <w:trHeight w:val="576"/>
                <w:jc w:val="center"/>
              </w:trPr>
              <w:tc>
                <w:tcPr>
                  <w:tcW w:w="719" w:type="dxa"/>
                  <w:vMerge/>
                  <w:tcBorders>
                    <w:top w:val="nil"/>
                    <w:left w:val="nil"/>
                    <w:bottom w:val="single" w:sz="4" w:space="0" w:color="auto"/>
                    <w:right w:val="single" w:sz="4" w:space="0" w:color="auto"/>
                  </w:tcBorders>
                  <w:shd w:val="clear" w:color="auto" w:fill="auto"/>
                  <w:vAlign w:val="center"/>
                </w:tcPr>
                <w:p w14:paraId="14F1D66B" w14:textId="77777777" w:rsidR="00230008" w:rsidRPr="00230008" w:rsidRDefault="00230008" w:rsidP="00230008">
                  <w:pPr>
                    <w:widowControl w:val="0"/>
                    <w:ind w:firstLineChars="0" w:firstLine="0"/>
                    <w:rPr>
                      <w:rFonts w:eastAsia="宋体"/>
                      <w:color w:val="000000"/>
                      <w:sz w:val="18"/>
                      <w:szCs w:val="18"/>
                      <w:lang w:eastAsia="zh-CN" w:bidi="ar-SA"/>
                    </w:rPr>
                  </w:pPr>
                </w:p>
              </w:tc>
              <w:tc>
                <w:tcPr>
                  <w:tcW w:w="7030" w:type="dxa"/>
                  <w:tcBorders>
                    <w:top w:val="nil"/>
                    <w:left w:val="nil"/>
                    <w:bottom w:val="single" w:sz="4" w:space="0" w:color="auto"/>
                    <w:right w:val="single" w:sz="4" w:space="0" w:color="auto"/>
                  </w:tcBorders>
                  <w:shd w:val="clear" w:color="auto" w:fill="auto"/>
                  <w:vAlign w:val="center"/>
                </w:tcPr>
                <w:p w14:paraId="1CBB77F4" w14:textId="77777777" w:rsidR="00230008" w:rsidRPr="00230008" w:rsidRDefault="00230008" w:rsidP="00230008">
                  <w:pPr>
                    <w:ind w:firstLineChars="0" w:firstLine="0"/>
                    <w:textAlignment w:val="center"/>
                    <w:rPr>
                      <w:rFonts w:eastAsia="宋体"/>
                      <w:color w:val="000000"/>
                      <w:sz w:val="18"/>
                      <w:szCs w:val="18"/>
                      <w:lang w:eastAsia="zh-CN" w:bidi="ar-SA"/>
                    </w:rPr>
                  </w:pPr>
                  <w:r w:rsidRPr="00230008">
                    <w:rPr>
                      <w:rFonts w:eastAsia="宋体"/>
                      <w:color w:val="000000"/>
                      <w:sz w:val="18"/>
                      <w:szCs w:val="18"/>
                      <w:lang w:eastAsia="zh-CN" w:bidi="ar-SA"/>
                    </w:rPr>
                    <w:t>将美国</w:t>
                  </w:r>
                  <w:r w:rsidRPr="00230008">
                    <w:rPr>
                      <w:rFonts w:eastAsia="宋体"/>
                      <w:color w:val="000000"/>
                      <w:sz w:val="18"/>
                      <w:szCs w:val="18"/>
                      <w:lang w:eastAsia="zh-CN" w:bidi="ar-SA"/>
                    </w:rPr>
                    <w:t>2025</w:t>
                  </w:r>
                  <w:r w:rsidRPr="00230008">
                    <w:rPr>
                      <w:rFonts w:eastAsia="宋体"/>
                      <w:color w:val="000000"/>
                      <w:sz w:val="18"/>
                      <w:szCs w:val="18"/>
                      <w:lang w:eastAsia="zh-CN" w:bidi="ar-SA"/>
                    </w:rPr>
                    <w:t>年四季度</w:t>
                  </w:r>
                  <w:r w:rsidRPr="00230008">
                    <w:rPr>
                      <w:rFonts w:eastAsia="宋体"/>
                      <w:color w:val="000000"/>
                      <w:sz w:val="18"/>
                      <w:szCs w:val="18"/>
                      <w:lang w:eastAsia="zh-CN" w:bidi="ar-SA"/>
                    </w:rPr>
                    <w:t>GDP</w:t>
                  </w:r>
                  <w:r w:rsidRPr="00230008">
                    <w:rPr>
                      <w:rFonts w:eastAsia="宋体"/>
                      <w:color w:val="000000"/>
                      <w:sz w:val="18"/>
                      <w:szCs w:val="18"/>
                      <w:lang w:eastAsia="zh-CN" w:bidi="ar-SA"/>
                    </w:rPr>
                    <w:t>增长预测从之前的</w:t>
                  </w:r>
                  <w:r w:rsidRPr="00230008">
                    <w:rPr>
                      <w:rFonts w:eastAsia="宋体"/>
                      <w:color w:val="000000"/>
                      <w:sz w:val="18"/>
                      <w:szCs w:val="18"/>
                      <w:lang w:eastAsia="zh-CN" w:bidi="ar-SA"/>
                    </w:rPr>
                    <w:t>1.0%</w:t>
                  </w:r>
                  <w:r w:rsidRPr="00230008">
                    <w:rPr>
                      <w:rFonts w:eastAsia="宋体"/>
                      <w:color w:val="000000"/>
                      <w:sz w:val="18"/>
                      <w:szCs w:val="18"/>
                      <w:lang w:eastAsia="zh-CN" w:bidi="ar-SA"/>
                    </w:rPr>
                    <w:t>下调至仅</w:t>
                  </w:r>
                  <w:r w:rsidRPr="00230008">
                    <w:rPr>
                      <w:rFonts w:eastAsia="宋体"/>
                      <w:color w:val="000000"/>
                      <w:sz w:val="18"/>
                      <w:szCs w:val="18"/>
                      <w:lang w:eastAsia="zh-CN" w:bidi="ar-SA"/>
                    </w:rPr>
                    <w:t>0.5%</w:t>
                  </w:r>
                  <w:r w:rsidRPr="00230008">
                    <w:rPr>
                      <w:rFonts w:eastAsia="宋体"/>
                      <w:color w:val="000000"/>
                      <w:sz w:val="18"/>
                      <w:szCs w:val="18"/>
                      <w:lang w:eastAsia="zh-CN" w:bidi="ar-SA"/>
                    </w:rPr>
                    <w:t>，将未来</w:t>
                  </w:r>
                  <w:r w:rsidRPr="00230008">
                    <w:rPr>
                      <w:rFonts w:eastAsia="宋体"/>
                      <w:color w:val="000000"/>
                      <w:sz w:val="18"/>
                      <w:szCs w:val="18"/>
                      <w:lang w:eastAsia="zh-CN" w:bidi="ar-SA"/>
                    </w:rPr>
                    <w:t>12</w:t>
                  </w:r>
                  <w:r w:rsidRPr="00230008">
                    <w:rPr>
                      <w:rFonts w:eastAsia="宋体"/>
                      <w:color w:val="000000"/>
                      <w:sz w:val="18"/>
                      <w:szCs w:val="18"/>
                      <w:lang w:eastAsia="zh-CN" w:bidi="ar-SA"/>
                    </w:rPr>
                    <w:t>个月美国经济陷入衰退的概率从此前的</w:t>
                  </w:r>
                  <w:r w:rsidRPr="00230008">
                    <w:rPr>
                      <w:rFonts w:eastAsia="宋体"/>
                      <w:color w:val="000000"/>
                      <w:sz w:val="18"/>
                      <w:szCs w:val="18"/>
                      <w:lang w:eastAsia="zh-CN" w:bidi="ar-SA"/>
                    </w:rPr>
                    <w:t>35%</w:t>
                  </w:r>
                  <w:r w:rsidRPr="00230008">
                    <w:rPr>
                      <w:rFonts w:eastAsia="宋体"/>
                      <w:color w:val="000000"/>
                      <w:sz w:val="18"/>
                      <w:szCs w:val="18"/>
                      <w:lang w:eastAsia="zh-CN" w:bidi="ar-SA"/>
                    </w:rPr>
                    <w:t>提升至</w:t>
                  </w:r>
                  <w:r w:rsidRPr="00230008">
                    <w:rPr>
                      <w:rFonts w:eastAsia="宋体"/>
                      <w:color w:val="000000"/>
                      <w:sz w:val="18"/>
                      <w:szCs w:val="18"/>
                      <w:lang w:eastAsia="zh-CN" w:bidi="ar-SA"/>
                    </w:rPr>
                    <w:t>45%</w:t>
                  </w:r>
                  <w:r w:rsidRPr="00230008">
                    <w:rPr>
                      <w:rFonts w:eastAsia="宋体"/>
                      <w:color w:val="000000"/>
                      <w:sz w:val="18"/>
                      <w:szCs w:val="18"/>
                      <w:lang w:eastAsia="zh-CN" w:bidi="ar-SA"/>
                    </w:rPr>
                    <w:t>。</w:t>
                  </w:r>
                </w:p>
              </w:tc>
              <w:tc>
                <w:tcPr>
                  <w:tcW w:w="1928" w:type="dxa"/>
                  <w:tcBorders>
                    <w:top w:val="nil"/>
                    <w:left w:val="nil"/>
                    <w:bottom w:val="single" w:sz="4" w:space="0" w:color="auto"/>
                    <w:right w:val="nil"/>
                  </w:tcBorders>
                  <w:shd w:val="clear" w:color="auto" w:fill="auto"/>
                  <w:vAlign w:val="center"/>
                </w:tcPr>
                <w:p w14:paraId="5EF57E24" w14:textId="77777777" w:rsidR="00230008" w:rsidRPr="00230008" w:rsidRDefault="00230008" w:rsidP="00230008">
                  <w:pPr>
                    <w:ind w:firstLineChars="0" w:firstLine="0"/>
                    <w:textAlignment w:val="center"/>
                    <w:rPr>
                      <w:rFonts w:eastAsia="宋体"/>
                      <w:color w:val="000000"/>
                      <w:sz w:val="18"/>
                      <w:szCs w:val="18"/>
                      <w:lang w:eastAsia="zh-CN" w:bidi="ar-SA"/>
                    </w:rPr>
                  </w:pPr>
                  <w:r w:rsidRPr="00230008">
                    <w:rPr>
                      <w:rFonts w:eastAsia="宋体"/>
                      <w:color w:val="000000"/>
                      <w:sz w:val="18"/>
                      <w:szCs w:val="18"/>
                      <w:lang w:eastAsia="zh-CN" w:bidi="ar-SA"/>
                    </w:rPr>
                    <w:t>高盛</w:t>
                  </w:r>
                  <w:r w:rsidRPr="00230008">
                    <w:rPr>
                      <w:rFonts w:eastAsia="宋体" w:hint="eastAsia"/>
                      <w:color w:val="000000"/>
                      <w:sz w:val="18"/>
                      <w:szCs w:val="18"/>
                      <w:lang w:eastAsia="zh-CN" w:bidi="ar-SA"/>
                    </w:rPr>
                    <w:t>，</w:t>
                  </w:r>
                  <w:r w:rsidRPr="00230008">
                    <w:rPr>
                      <w:rFonts w:eastAsia="宋体" w:hint="eastAsia"/>
                      <w:color w:val="000000"/>
                      <w:sz w:val="18"/>
                      <w:szCs w:val="18"/>
                      <w:lang w:eastAsia="zh-CN" w:bidi="ar-SA"/>
                    </w:rPr>
                    <w:t>2025.4.6</w:t>
                  </w:r>
                </w:p>
              </w:tc>
            </w:tr>
            <w:tr w:rsidR="00230008" w:rsidRPr="00230008" w14:paraId="673225F0" w14:textId="77777777" w:rsidTr="00D72849">
              <w:trPr>
                <w:trHeight w:val="1248"/>
                <w:jc w:val="center"/>
              </w:trPr>
              <w:tc>
                <w:tcPr>
                  <w:tcW w:w="719" w:type="dxa"/>
                  <w:vMerge/>
                  <w:tcBorders>
                    <w:top w:val="nil"/>
                    <w:left w:val="nil"/>
                    <w:bottom w:val="single" w:sz="4" w:space="0" w:color="auto"/>
                    <w:right w:val="single" w:sz="4" w:space="0" w:color="auto"/>
                  </w:tcBorders>
                  <w:shd w:val="clear" w:color="auto" w:fill="auto"/>
                  <w:vAlign w:val="center"/>
                </w:tcPr>
                <w:p w14:paraId="773D20D9" w14:textId="77777777" w:rsidR="00230008" w:rsidRPr="00230008" w:rsidRDefault="00230008" w:rsidP="00230008">
                  <w:pPr>
                    <w:widowControl w:val="0"/>
                    <w:ind w:firstLineChars="0" w:firstLine="0"/>
                    <w:rPr>
                      <w:rFonts w:eastAsia="宋体"/>
                      <w:color w:val="000000"/>
                      <w:sz w:val="18"/>
                      <w:szCs w:val="18"/>
                      <w:lang w:eastAsia="zh-CN" w:bidi="ar-SA"/>
                    </w:rPr>
                  </w:pPr>
                </w:p>
              </w:tc>
              <w:tc>
                <w:tcPr>
                  <w:tcW w:w="7030" w:type="dxa"/>
                  <w:tcBorders>
                    <w:top w:val="nil"/>
                    <w:left w:val="nil"/>
                    <w:bottom w:val="single" w:sz="4" w:space="0" w:color="auto"/>
                    <w:right w:val="single" w:sz="4" w:space="0" w:color="auto"/>
                  </w:tcBorders>
                  <w:shd w:val="clear" w:color="auto" w:fill="auto"/>
                  <w:vAlign w:val="center"/>
                </w:tcPr>
                <w:p w14:paraId="7F22148C" w14:textId="77777777" w:rsidR="00230008" w:rsidRPr="00230008" w:rsidRDefault="00230008" w:rsidP="00230008">
                  <w:pPr>
                    <w:ind w:firstLineChars="0" w:firstLine="0"/>
                    <w:textAlignment w:val="center"/>
                    <w:rPr>
                      <w:rFonts w:eastAsia="宋体"/>
                      <w:color w:val="000000"/>
                      <w:sz w:val="18"/>
                      <w:szCs w:val="18"/>
                      <w:lang w:eastAsia="zh-CN" w:bidi="ar-SA"/>
                    </w:rPr>
                  </w:pPr>
                  <w:r w:rsidRPr="00230008">
                    <w:rPr>
                      <w:rFonts w:ascii="Cambria Math" w:eastAsia="宋体" w:hAnsi="Cambria Math" w:cs="Cambria Math"/>
                      <w:color w:val="000000"/>
                      <w:sz w:val="18"/>
                      <w:szCs w:val="18"/>
                      <w:lang w:eastAsia="zh-CN" w:bidi="ar"/>
                    </w:rPr>
                    <w:t>①</w:t>
                  </w:r>
                  <w:r w:rsidRPr="00230008">
                    <w:rPr>
                      <w:rFonts w:eastAsia="宋体"/>
                      <w:color w:val="000000"/>
                      <w:kern w:val="0"/>
                      <w:sz w:val="18"/>
                      <w:szCs w:val="18"/>
                      <w:lang w:eastAsia="zh-CN" w:bidi="ar"/>
                    </w:rPr>
                    <w:t>预计特朗普关税带来的财政收入大约</w:t>
                  </w:r>
                  <w:r w:rsidRPr="00230008">
                    <w:rPr>
                      <w:rFonts w:eastAsia="宋体"/>
                      <w:color w:val="000000"/>
                      <w:kern w:val="0"/>
                      <w:sz w:val="18"/>
                      <w:szCs w:val="18"/>
                      <w:lang w:eastAsia="zh-CN" w:bidi="ar"/>
                    </w:rPr>
                    <w:t>3499~5035</w:t>
                  </w:r>
                  <w:r w:rsidRPr="00230008">
                    <w:rPr>
                      <w:rFonts w:eastAsia="宋体"/>
                      <w:color w:val="000000"/>
                      <w:kern w:val="0"/>
                      <w:sz w:val="18"/>
                      <w:szCs w:val="18"/>
                      <w:lang w:eastAsia="zh-CN" w:bidi="ar"/>
                    </w:rPr>
                    <w:t>亿美元</w:t>
                  </w:r>
                  <w:r w:rsidRPr="00230008">
                    <w:rPr>
                      <w:rFonts w:eastAsia="宋体"/>
                      <w:color w:val="000000"/>
                      <w:kern w:val="0"/>
                      <w:sz w:val="18"/>
                      <w:szCs w:val="18"/>
                      <w:lang w:eastAsia="zh-CN" w:bidi="ar"/>
                    </w:rPr>
                    <w:t>/</w:t>
                  </w:r>
                  <w:r w:rsidRPr="00230008">
                    <w:rPr>
                      <w:rFonts w:eastAsia="宋体"/>
                      <w:color w:val="000000"/>
                      <w:kern w:val="0"/>
                      <w:sz w:val="18"/>
                      <w:szCs w:val="18"/>
                      <w:lang w:eastAsia="zh-CN" w:bidi="ar"/>
                    </w:rPr>
                    <w:t>年，未来十年累计约</w:t>
                  </w:r>
                  <w:r w:rsidRPr="00230008">
                    <w:rPr>
                      <w:rFonts w:eastAsia="宋体"/>
                      <w:color w:val="000000"/>
                      <w:kern w:val="0"/>
                      <w:sz w:val="18"/>
                      <w:szCs w:val="18"/>
                      <w:lang w:eastAsia="zh-CN" w:bidi="ar"/>
                    </w:rPr>
                    <w:t>3.5~5.0</w:t>
                  </w:r>
                  <w:r w:rsidRPr="00230008">
                    <w:rPr>
                      <w:rFonts w:eastAsia="宋体"/>
                      <w:color w:val="000000"/>
                      <w:kern w:val="0"/>
                      <w:sz w:val="18"/>
                      <w:szCs w:val="18"/>
                      <w:lang w:eastAsia="zh-CN" w:bidi="ar"/>
                    </w:rPr>
                    <w:t>万亿美元。</w:t>
                  </w:r>
                  <w:r w:rsidRPr="00230008">
                    <w:rPr>
                      <w:rFonts w:ascii="Cambria Math" w:eastAsia="宋体" w:hAnsi="Cambria Math" w:cs="Cambria Math"/>
                      <w:color w:val="000000"/>
                      <w:sz w:val="18"/>
                      <w:szCs w:val="18"/>
                      <w:lang w:eastAsia="zh-CN" w:bidi="ar"/>
                    </w:rPr>
                    <w:t>②</w:t>
                  </w:r>
                  <w:r w:rsidRPr="00230008">
                    <w:rPr>
                      <w:rFonts w:eastAsia="宋体"/>
                      <w:color w:val="000000"/>
                      <w:kern w:val="0"/>
                      <w:sz w:val="18"/>
                      <w:szCs w:val="18"/>
                      <w:lang w:eastAsia="zh-CN" w:bidi="ar"/>
                    </w:rPr>
                    <w:t>本次特朗普关税对美国</w:t>
                  </w:r>
                  <w:r w:rsidRPr="00230008">
                    <w:rPr>
                      <w:rFonts w:eastAsia="宋体"/>
                      <w:color w:val="000000"/>
                      <w:kern w:val="0"/>
                      <w:sz w:val="18"/>
                      <w:szCs w:val="18"/>
                      <w:lang w:eastAsia="zh-CN" w:bidi="ar"/>
                    </w:rPr>
                    <w:t>GDP</w:t>
                  </w:r>
                  <w:r w:rsidRPr="00230008">
                    <w:rPr>
                      <w:rFonts w:eastAsia="宋体"/>
                      <w:color w:val="000000"/>
                      <w:kern w:val="0"/>
                      <w:sz w:val="18"/>
                      <w:szCs w:val="18"/>
                      <w:lang w:eastAsia="zh-CN" w:bidi="ar"/>
                    </w:rPr>
                    <w:t>的拖累大约</w:t>
                  </w:r>
                  <w:r w:rsidRPr="00230008">
                    <w:rPr>
                      <w:rFonts w:eastAsia="宋体"/>
                      <w:color w:val="000000"/>
                      <w:kern w:val="0"/>
                      <w:sz w:val="18"/>
                      <w:szCs w:val="18"/>
                      <w:lang w:eastAsia="zh-CN" w:bidi="ar"/>
                    </w:rPr>
                    <w:t>0.2~1.5</w:t>
                  </w:r>
                  <w:r w:rsidRPr="00230008">
                    <w:rPr>
                      <w:rFonts w:eastAsia="宋体"/>
                      <w:color w:val="000000"/>
                      <w:kern w:val="0"/>
                      <w:sz w:val="18"/>
                      <w:szCs w:val="18"/>
                      <w:lang w:eastAsia="zh-CN" w:bidi="ar"/>
                    </w:rPr>
                    <w:t>个百分点（考虑金融冲击）。综合海外的三方研究，</w:t>
                  </w:r>
                  <w:r w:rsidRPr="00230008">
                    <w:rPr>
                      <w:rFonts w:eastAsia="宋体"/>
                      <w:color w:val="000000"/>
                      <w:kern w:val="0"/>
                      <w:sz w:val="18"/>
                      <w:szCs w:val="18"/>
                      <w:lang w:eastAsia="zh-CN" w:bidi="ar"/>
                    </w:rPr>
                    <w:t>10%</w:t>
                  </w:r>
                  <w:r w:rsidRPr="00230008">
                    <w:rPr>
                      <w:rFonts w:eastAsia="宋体"/>
                      <w:color w:val="000000"/>
                      <w:kern w:val="0"/>
                      <w:sz w:val="18"/>
                      <w:szCs w:val="18"/>
                      <w:lang w:eastAsia="zh-CN" w:bidi="ar"/>
                    </w:rPr>
                    <w:t>的整体关税税率提升，对美国当年</w:t>
                  </w:r>
                  <w:r w:rsidRPr="00230008">
                    <w:rPr>
                      <w:rFonts w:eastAsia="宋体"/>
                      <w:color w:val="000000"/>
                      <w:kern w:val="0"/>
                      <w:sz w:val="18"/>
                      <w:szCs w:val="18"/>
                      <w:lang w:eastAsia="zh-CN" w:bidi="ar"/>
                    </w:rPr>
                    <w:t>GDP</w:t>
                  </w:r>
                  <w:r w:rsidRPr="00230008">
                    <w:rPr>
                      <w:rFonts w:eastAsia="宋体"/>
                      <w:color w:val="000000"/>
                      <w:kern w:val="0"/>
                      <w:sz w:val="18"/>
                      <w:szCs w:val="18"/>
                      <w:lang w:eastAsia="zh-CN" w:bidi="ar"/>
                    </w:rPr>
                    <w:t>的拖累约</w:t>
                  </w:r>
                  <w:r w:rsidRPr="00230008">
                    <w:rPr>
                      <w:rFonts w:eastAsia="宋体"/>
                      <w:color w:val="000000"/>
                      <w:kern w:val="0"/>
                      <w:sz w:val="18"/>
                      <w:szCs w:val="18"/>
                      <w:lang w:eastAsia="zh-CN" w:bidi="ar"/>
                    </w:rPr>
                    <w:t>0.1-0.2</w:t>
                  </w:r>
                  <w:r w:rsidRPr="00230008">
                    <w:rPr>
                      <w:rFonts w:eastAsia="宋体"/>
                      <w:color w:val="000000"/>
                      <w:kern w:val="0"/>
                      <w:sz w:val="18"/>
                      <w:szCs w:val="18"/>
                      <w:lang w:eastAsia="zh-CN" w:bidi="ar"/>
                    </w:rPr>
                    <w:t>个百分点，若考虑金融冲击，可能达到约</w:t>
                  </w:r>
                  <w:r w:rsidRPr="00230008">
                    <w:rPr>
                      <w:rFonts w:eastAsia="宋体"/>
                      <w:color w:val="000000"/>
                      <w:kern w:val="0"/>
                      <w:sz w:val="18"/>
                      <w:szCs w:val="18"/>
                      <w:lang w:eastAsia="zh-CN" w:bidi="ar"/>
                    </w:rPr>
                    <w:t>0.8</w:t>
                  </w:r>
                  <w:r w:rsidRPr="00230008">
                    <w:rPr>
                      <w:rFonts w:eastAsia="宋体"/>
                      <w:color w:val="000000"/>
                      <w:kern w:val="0"/>
                      <w:sz w:val="18"/>
                      <w:szCs w:val="18"/>
                      <w:lang w:eastAsia="zh-CN" w:bidi="ar"/>
                    </w:rPr>
                    <w:t>个百分点。</w:t>
                  </w:r>
                </w:p>
              </w:tc>
              <w:tc>
                <w:tcPr>
                  <w:tcW w:w="1928" w:type="dxa"/>
                  <w:tcBorders>
                    <w:top w:val="nil"/>
                    <w:left w:val="nil"/>
                    <w:bottom w:val="single" w:sz="4" w:space="0" w:color="auto"/>
                    <w:right w:val="nil"/>
                  </w:tcBorders>
                  <w:shd w:val="clear" w:color="auto" w:fill="auto"/>
                  <w:vAlign w:val="center"/>
                </w:tcPr>
                <w:p w14:paraId="597B3877" w14:textId="77777777" w:rsidR="00230008" w:rsidRPr="00230008" w:rsidRDefault="00230008" w:rsidP="00230008">
                  <w:pPr>
                    <w:ind w:firstLineChars="0" w:firstLine="0"/>
                    <w:textAlignment w:val="center"/>
                    <w:rPr>
                      <w:rFonts w:eastAsia="宋体"/>
                      <w:color w:val="000000"/>
                      <w:sz w:val="18"/>
                      <w:szCs w:val="18"/>
                      <w:lang w:eastAsia="zh-CN" w:bidi="ar-SA"/>
                    </w:rPr>
                  </w:pPr>
                  <w:r w:rsidRPr="00230008">
                    <w:rPr>
                      <w:rFonts w:eastAsia="宋体"/>
                      <w:color w:val="000000"/>
                      <w:kern w:val="0"/>
                      <w:sz w:val="18"/>
                      <w:szCs w:val="18"/>
                      <w:lang w:eastAsia="zh-CN" w:bidi="ar"/>
                    </w:rPr>
                    <w:t>华创证券研究所</w:t>
                  </w:r>
                  <w:r w:rsidRPr="00230008">
                    <w:rPr>
                      <w:rFonts w:eastAsia="宋体" w:hint="eastAsia"/>
                      <w:color w:val="000000"/>
                      <w:kern w:val="0"/>
                      <w:sz w:val="18"/>
                      <w:szCs w:val="18"/>
                      <w:lang w:eastAsia="zh-CN" w:bidi="ar"/>
                    </w:rPr>
                    <w:t>，</w:t>
                  </w:r>
                  <w:r w:rsidRPr="00230008">
                    <w:rPr>
                      <w:rFonts w:eastAsia="宋体" w:hint="eastAsia"/>
                      <w:color w:val="000000"/>
                      <w:kern w:val="0"/>
                      <w:sz w:val="18"/>
                      <w:szCs w:val="18"/>
                      <w:lang w:eastAsia="zh-CN" w:bidi="ar"/>
                    </w:rPr>
                    <w:t>2025.4.6</w:t>
                  </w:r>
                </w:p>
              </w:tc>
            </w:tr>
            <w:tr w:rsidR="00230008" w:rsidRPr="00230008" w14:paraId="471EEE6B" w14:textId="77777777" w:rsidTr="00D72849">
              <w:trPr>
                <w:trHeight w:val="288"/>
                <w:jc w:val="center"/>
              </w:trPr>
              <w:tc>
                <w:tcPr>
                  <w:tcW w:w="719" w:type="dxa"/>
                  <w:vMerge/>
                  <w:tcBorders>
                    <w:top w:val="nil"/>
                    <w:left w:val="nil"/>
                    <w:bottom w:val="single" w:sz="4" w:space="0" w:color="auto"/>
                    <w:right w:val="single" w:sz="4" w:space="0" w:color="auto"/>
                  </w:tcBorders>
                  <w:shd w:val="clear" w:color="auto" w:fill="auto"/>
                  <w:vAlign w:val="center"/>
                </w:tcPr>
                <w:p w14:paraId="09E659EF" w14:textId="77777777" w:rsidR="00230008" w:rsidRPr="00230008" w:rsidRDefault="00230008" w:rsidP="00230008">
                  <w:pPr>
                    <w:widowControl w:val="0"/>
                    <w:ind w:firstLineChars="0" w:firstLine="0"/>
                    <w:rPr>
                      <w:rFonts w:eastAsia="宋体"/>
                      <w:color w:val="000000"/>
                      <w:sz w:val="18"/>
                      <w:szCs w:val="18"/>
                      <w:lang w:eastAsia="zh-CN" w:bidi="ar-SA"/>
                    </w:rPr>
                  </w:pPr>
                </w:p>
              </w:tc>
              <w:tc>
                <w:tcPr>
                  <w:tcW w:w="7030" w:type="dxa"/>
                  <w:tcBorders>
                    <w:top w:val="nil"/>
                    <w:left w:val="nil"/>
                    <w:bottom w:val="single" w:sz="4" w:space="0" w:color="auto"/>
                    <w:right w:val="single" w:sz="4" w:space="0" w:color="auto"/>
                  </w:tcBorders>
                  <w:shd w:val="clear" w:color="auto" w:fill="auto"/>
                  <w:vAlign w:val="center"/>
                </w:tcPr>
                <w:p w14:paraId="6514CEF5" w14:textId="77777777" w:rsidR="00230008" w:rsidRPr="00230008" w:rsidRDefault="00230008" w:rsidP="00230008">
                  <w:pPr>
                    <w:ind w:firstLineChars="0" w:firstLine="0"/>
                    <w:textAlignment w:val="center"/>
                    <w:rPr>
                      <w:rFonts w:eastAsia="宋体"/>
                      <w:color w:val="000000"/>
                      <w:sz w:val="18"/>
                      <w:szCs w:val="18"/>
                      <w:lang w:eastAsia="zh-CN" w:bidi="ar-SA"/>
                    </w:rPr>
                  </w:pPr>
                  <w:r w:rsidRPr="00230008">
                    <w:rPr>
                      <w:rFonts w:eastAsia="宋体" w:hint="eastAsia"/>
                      <w:color w:val="000000"/>
                      <w:kern w:val="0"/>
                      <w:sz w:val="18"/>
                      <w:szCs w:val="18"/>
                      <w:lang w:eastAsia="zh-CN" w:bidi="ar"/>
                    </w:rPr>
                    <w:t>2025</w:t>
                  </w:r>
                  <w:r w:rsidRPr="00230008">
                    <w:rPr>
                      <w:rFonts w:eastAsia="宋体" w:hint="eastAsia"/>
                      <w:color w:val="000000"/>
                      <w:kern w:val="0"/>
                      <w:sz w:val="18"/>
                      <w:szCs w:val="18"/>
                      <w:lang w:eastAsia="zh-CN" w:bidi="ar"/>
                    </w:rPr>
                    <w:t>年所有关税在短期内使价格水平上涨</w:t>
                  </w:r>
                  <w:r w:rsidRPr="00230008">
                    <w:rPr>
                      <w:rFonts w:eastAsia="宋体" w:hint="eastAsia"/>
                      <w:color w:val="000000"/>
                      <w:kern w:val="0"/>
                      <w:sz w:val="18"/>
                      <w:szCs w:val="18"/>
                      <w:lang w:eastAsia="zh-CN" w:bidi="ar"/>
                    </w:rPr>
                    <w:t>2.9%</w:t>
                  </w:r>
                  <w:r w:rsidRPr="00230008">
                    <w:rPr>
                      <w:rFonts w:eastAsia="宋体" w:hint="eastAsia"/>
                      <w:color w:val="000000"/>
                      <w:kern w:val="0"/>
                      <w:sz w:val="18"/>
                      <w:szCs w:val="18"/>
                      <w:lang w:eastAsia="zh-CN" w:bidi="ar"/>
                    </w:rPr>
                    <w:t>，相当于每户平均消费者损失约</w:t>
                  </w:r>
                  <w:r w:rsidRPr="00230008">
                    <w:rPr>
                      <w:rFonts w:eastAsia="宋体" w:hint="eastAsia"/>
                      <w:color w:val="000000"/>
                      <w:kern w:val="0"/>
                      <w:sz w:val="18"/>
                      <w:szCs w:val="18"/>
                      <w:lang w:eastAsia="zh-CN" w:bidi="ar"/>
                    </w:rPr>
                    <w:t>4700</w:t>
                  </w:r>
                  <w:r w:rsidRPr="00230008">
                    <w:rPr>
                      <w:rFonts w:eastAsia="宋体" w:hint="eastAsia"/>
                      <w:color w:val="000000"/>
                      <w:kern w:val="0"/>
                      <w:sz w:val="18"/>
                      <w:szCs w:val="18"/>
                      <w:lang w:eastAsia="zh-CN" w:bidi="ar"/>
                    </w:rPr>
                    <w:t>美元（以</w:t>
                  </w:r>
                  <w:r w:rsidRPr="00230008">
                    <w:rPr>
                      <w:rFonts w:eastAsia="宋体" w:hint="eastAsia"/>
                      <w:color w:val="000000"/>
                      <w:kern w:val="0"/>
                      <w:sz w:val="18"/>
                      <w:szCs w:val="18"/>
                      <w:lang w:eastAsia="zh-CN" w:bidi="ar"/>
                    </w:rPr>
                    <w:t>2024</w:t>
                  </w:r>
                  <w:r w:rsidRPr="00230008">
                    <w:rPr>
                      <w:rFonts w:eastAsia="宋体" w:hint="eastAsia"/>
                      <w:color w:val="000000"/>
                      <w:kern w:val="0"/>
                      <w:sz w:val="18"/>
                      <w:szCs w:val="18"/>
                      <w:lang w:eastAsia="zh-CN" w:bidi="ar"/>
                    </w:rPr>
                    <w:t>年美元计）；使美国实际</w:t>
                  </w:r>
                  <w:r w:rsidRPr="00230008">
                    <w:rPr>
                      <w:rFonts w:eastAsia="宋体" w:hint="eastAsia"/>
                      <w:color w:val="000000"/>
                      <w:kern w:val="0"/>
                      <w:sz w:val="18"/>
                      <w:szCs w:val="18"/>
                      <w:lang w:eastAsia="zh-CN" w:bidi="ar"/>
                    </w:rPr>
                    <w:t>GDP</w:t>
                  </w:r>
                  <w:r w:rsidRPr="00230008">
                    <w:rPr>
                      <w:rFonts w:eastAsia="宋体" w:hint="eastAsia"/>
                      <w:color w:val="000000"/>
                      <w:kern w:val="0"/>
                      <w:sz w:val="18"/>
                      <w:szCs w:val="18"/>
                      <w:lang w:eastAsia="zh-CN" w:bidi="ar"/>
                    </w:rPr>
                    <w:t>增长降低</w:t>
                  </w:r>
                  <w:r w:rsidRPr="00230008">
                    <w:rPr>
                      <w:rFonts w:eastAsia="宋体" w:hint="eastAsia"/>
                      <w:color w:val="000000"/>
                      <w:kern w:val="0"/>
                      <w:sz w:val="18"/>
                      <w:szCs w:val="18"/>
                      <w:lang w:eastAsia="zh-CN" w:bidi="ar"/>
                    </w:rPr>
                    <w:t>1.1</w:t>
                  </w:r>
                  <w:r w:rsidRPr="00230008">
                    <w:rPr>
                      <w:rFonts w:eastAsia="宋体" w:hint="eastAsia"/>
                      <w:color w:val="000000"/>
                      <w:kern w:val="0"/>
                      <w:sz w:val="18"/>
                      <w:szCs w:val="18"/>
                      <w:lang w:eastAsia="zh-CN" w:bidi="ar"/>
                    </w:rPr>
                    <w:t>个百分点。长期内，美国经济持续缩小</w:t>
                  </w:r>
                  <w:r w:rsidRPr="00230008">
                    <w:rPr>
                      <w:rFonts w:eastAsia="宋体" w:hint="eastAsia"/>
                      <w:color w:val="000000"/>
                      <w:kern w:val="0"/>
                      <w:sz w:val="18"/>
                      <w:szCs w:val="18"/>
                      <w:lang w:eastAsia="zh-CN" w:bidi="ar"/>
                    </w:rPr>
                    <w:t>0.6%</w:t>
                  </w:r>
                  <w:r w:rsidRPr="00230008">
                    <w:rPr>
                      <w:rFonts w:eastAsia="宋体" w:hint="eastAsia"/>
                      <w:color w:val="000000"/>
                      <w:kern w:val="0"/>
                      <w:sz w:val="18"/>
                      <w:szCs w:val="18"/>
                      <w:lang w:eastAsia="zh-CN" w:bidi="ar"/>
                    </w:rPr>
                    <w:t>，相当于每年损失</w:t>
                  </w:r>
                  <w:r w:rsidRPr="00230008">
                    <w:rPr>
                      <w:rFonts w:eastAsia="宋体" w:hint="eastAsia"/>
                      <w:color w:val="000000"/>
                      <w:kern w:val="0"/>
                      <w:sz w:val="18"/>
                      <w:szCs w:val="18"/>
                      <w:lang w:eastAsia="zh-CN" w:bidi="ar"/>
                    </w:rPr>
                    <w:t>1700</w:t>
                  </w:r>
                  <w:r w:rsidRPr="00230008">
                    <w:rPr>
                      <w:rFonts w:eastAsia="宋体" w:hint="eastAsia"/>
                      <w:color w:val="000000"/>
                      <w:kern w:val="0"/>
                      <w:sz w:val="18"/>
                      <w:szCs w:val="18"/>
                      <w:lang w:eastAsia="zh-CN" w:bidi="ar"/>
                    </w:rPr>
                    <w:t>亿美元（以</w:t>
                  </w:r>
                  <w:r w:rsidRPr="00230008">
                    <w:rPr>
                      <w:rFonts w:eastAsia="宋体" w:hint="eastAsia"/>
                      <w:color w:val="000000"/>
                      <w:kern w:val="0"/>
                      <w:sz w:val="18"/>
                      <w:szCs w:val="18"/>
                      <w:lang w:eastAsia="zh-CN" w:bidi="ar"/>
                    </w:rPr>
                    <w:t>2024</w:t>
                  </w:r>
                  <w:r w:rsidRPr="00230008">
                    <w:rPr>
                      <w:rFonts w:eastAsia="宋体" w:hint="eastAsia"/>
                      <w:color w:val="000000"/>
                      <w:kern w:val="0"/>
                      <w:sz w:val="18"/>
                      <w:szCs w:val="18"/>
                      <w:lang w:eastAsia="zh-CN" w:bidi="ar"/>
                    </w:rPr>
                    <w:t>年美元计）。到</w:t>
                  </w:r>
                  <w:r w:rsidRPr="00230008">
                    <w:rPr>
                      <w:rFonts w:eastAsia="宋体" w:hint="eastAsia"/>
                      <w:color w:val="000000"/>
                      <w:kern w:val="0"/>
                      <w:sz w:val="18"/>
                      <w:szCs w:val="18"/>
                      <w:lang w:eastAsia="zh-CN" w:bidi="ar"/>
                    </w:rPr>
                    <w:t>2025</w:t>
                  </w:r>
                  <w:r w:rsidRPr="00230008">
                    <w:rPr>
                      <w:rFonts w:eastAsia="宋体" w:hint="eastAsia"/>
                      <w:color w:val="000000"/>
                      <w:kern w:val="0"/>
                      <w:sz w:val="18"/>
                      <w:szCs w:val="18"/>
                      <w:lang w:eastAsia="zh-CN" w:bidi="ar"/>
                    </w:rPr>
                    <w:t>年底，失业率上升</w:t>
                  </w:r>
                  <w:r w:rsidRPr="00230008">
                    <w:rPr>
                      <w:rFonts w:eastAsia="宋体" w:hint="eastAsia"/>
                      <w:color w:val="000000"/>
                      <w:kern w:val="0"/>
                      <w:sz w:val="18"/>
                      <w:szCs w:val="18"/>
                      <w:lang w:eastAsia="zh-CN" w:bidi="ar"/>
                    </w:rPr>
                    <w:t>0.6</w:t>
                  </w:r>
                  <w:r w:rsidRPr="00230008">
                    <w:rPr>
                      <w:rFonts w:eastAsia="宋体" w:hint="eastAsia"/>
                      <w:color w:val="000000"/>
                      <w:kern w:val="0"/>
                      <w:sz w:val="18"/>
                      <w:szCs w:val="18"/>
                      <w:lang w:eastAsia="zh-CN" w:bidi="ar"/>
                    </w:rPr>
                    <w:t>个百分点，非农就业减少</w:t>
                  </w:r>
                  <w:r w:rsidRPr="00230008">
                    <w:rPr>
                      <w:rFonts w:eastAsia="宋体" w:hint="eastAsia"/>
                      <w:color w:val="000000"/>
                      <w:kern w:val="0"/>
                      <w:sz w:val="18"/>
                      <w:szCs w:val="18"/>
                      <w:lang w:eastAsia="zh-CN" w:bidi="ar"/>
                    </w:rPr>
                    <w:t>74</w:t>
                  </w:r>
                  <w:r w:rsidRPr="00230008">
                    <w:rPr>
                      <w:rFonts w:eastAsia="宋体" w:hint="eastAsia"/>
                      <w:color w:val="000000"/>
                      <w:kern w:val="0"/>
                      <w:sz w:val="18"/>
                      <w:szCs w:val="18"/>
                      <w:lang w:eastAsia="zh-CN" w:bidi="ar"/>
                    </w:rPr>
                    <w:t>万个。</w:t>
                  </w:r>
                </w:p>
              </w:tc>
              <w:tc>
                <w:tcPr>
                  <w:tcW w:w="1928" w:type="dxa"/>
                  <w:tcBorders>
                    <w:top w:val="nil"/>
                    <w:left w:val="nil"/>
                    <w:bottom w:val="single" w:sz="4" w:space="0" w:color="auto"/>
                    <w:right w:val="nil"/>
                  </w:tcBorders>
                  <w:shd w:val="clear" w:color="auto" w:fill="auto"/>
                  <w:vAlign w:val="center"/>
                </w:tcPr>
                <w:p w14:paraId="6A54827D" w14:textId="77777777" w:rsidR="00230008" w:rsidRPr="00230008" w:rsidRDefault="00230008" w:rsidP="00230008">
                  <w:pPr>
                    <w:ind w:firstLineChars="0" w:firstLine="0"/>
                    <w:textAlignment w:val="center"/>
                    <w:rPr>
                      <w:rFonts w:eastAsia="宋体"/>
                      <w:color w:val="000000"/>
                      <w:sz w:val="18"/>
                      <w:szCs w:val="18"/>
                      <w:lang w:eastAsia="zh-CN" w:bidi="ar-SA"/>
                    </w:rPr>
                  </w:pPr>
                  <w:r w:rsidRPr="00230008">
                    <w:rPr>
                      <w:rFonts w:eastAsia="宋体"/>
                      <w:color w:val="000000"/>
                      <w:kern w:val="0"/>
                      <w:sz w:val="18"/>
                      <w:szCs w:val="18"/>
                      <w:lang w:eastAsia="zh-CN" w:bidi="ar"/>
                    </w:rPr>
                    <w:t>美国耶鲁大学预算实验室</w:t>
                  </w:r>
                  <w:r w:rsidRPr="00230008">
                    <w:rPr>
                      <w:rFonts w:eastAsia="宋体" w:hint="eastAsia"/>
                      <w:color w:val="000000"/>
                      <w:kern w:val="0"/>
                      <w:sz w:val="18"/>
                      <w:szCs w:val="18"/>
                      <w:lang w:eastAsia="zh-CN" w:bidi="ar"/>
                    </w:rPr>
                    <w:t>，</w:t>
                  </w:r>
                  <w:r w:rsidRPr="00230008">
                    <w:rPr>
                      <w:rFonts w:eastAsia="宋体" w:hint="eastAsia"/>
                      <w:color w:val="000000"/>
                      <w:kern w:val="0"/>
                      <w:sz w:val="18"/>
                      <w:szCs w:val="18"/>
                      <w:lang w:eastAsia="zh-CN" w:bidi="ar"/>
                    </w:rPr>
                    <w:t>2025.4.10</w:t>
                  </w:r>
                </w:p>
              </w:tc>
            </w:tr>
            <w:tr w:rsidR="00230008" w:rsidRPr="00230008" w14:paraId="633C3B73" w14:textId="77777777" w:rsidTr="00D72849">
              <w:trPr>
                <w:trHeight w:val="1588"/>
                <w:jc w:val="center"/>
              </w:trPr>
              <w:tc>
                <w:tcPr>
                  <w:tcW w:w="719" w:type="dxa"/>
                  <w:vMerge w:val="restart"/>
                  <w:tcBorders>
                    <w:top w:val="nil"/>
                    <w:left w:val="nil"/>
                    <w:right w:val="single" w:sz="4" w:space="0" w:color="auto"/>
                  </w:tcBorders>
                  <w:shd w:val="clear" w:color="auto" w:fill="auto"/>
                  <w:vAlign w:val="center"/>
                </w:tcPr>
                <w:p w14:paraId="08AD6620" w14:textId="77777777" w:rsidR="00230008" w:rsidRPr="00230008" w:rsidRDefault="00230008" w:rsidP="00230008">
                  <w:pPr>
                    <w:ind w:firstLineChars="0" w:firstLine="0"/>
                    <w:textAlignment w:val="center"/>
                    <w:rPr>
                      <w:rFonts w:eastAsia="宋体"/>
                      <w:color w:val="000000"/>
                      <w:sz w:val="18"/>
                      <w:szCs w:val="18"/>
                      <w:lang w:eastAsia="zh-CN" w:bidi="ar-SA"/>
                    </w:rPr>
                  </w:pPr>
                  <w:r w:rsidRPr="00230008">
                    <w:rPr>
                      <w:rFonts w:eastAsia="宋体"/>
                      <w:color w:val="000000"/>
                      <w:kern w:val="0"/>
                      <w:sz w:val="18"/>
                      <w:szCs w:val="18"/>
                      <w:lang w:eastAsia="zh-CN" w:bidi="ar"/>
                    </w:rPr>
                    <w:t>对中国经济的影响</w:t>
                  </w:r>
                </w:p>
              </w:tc>
              <w:tc>
                <w:tcPr>
                  <w:tcW w:w="7030" w:type="dxa"/>
                  <w:tcBorders>
                    <w:top w:val="nil"/>
                    <w:left w:val="nil"/>
                    <w:bottom w:val="single" w:sz="4" w:space="0" w:color="auto"/>
                    <w:right w:val="single" w:sz="4" w:space="0" w:color="auto"/>
                  </w:tcBorders>
                  <w:shd w:val="clear" w:color="auto" w:fill="auto"/>
                  <w:vAlign w:val="center"/>
                </w:tcPr>
                <w:p w14:paraId="7F3398A3" w14:textId="77777777" w:rsidR="00230008" w:rsidRPr="00230008" w:rsidRDefault="00230008" w:rsidP="00230008">
                  <w:pPr>
                    <w:ind w:firstLineChars="0" w:firstLine="0"/>
                    <w:textAlignment w:val="center"/>
                    <w:rPr>
                      <w:rFonts w:eastAsia="宋体"/>
                      <w:color w:val="000000"/>
                      <w:sz w:val="18"/>
                      <w:szCs w:val="18"/>
                      <w:lang w:eastAsia="zh-CN" w:bidi="ar-SA"/>
                    </w:rPr>
                  </w:pPr>
                  <w:r w:rsidRPr="00230008">
                    <w:rPr>
                      <w:rFonts w:ascii="Cambria Math" w:eastAsia="宋体" w:hAnsi="Cambria Math" w:cs="Cambria Math"/>
                      <w:color w:val="000000"/>
                      <w:kern w:val="0"/>
                      <w:sz w:val="18"/>
                      <w:szCs w:val="18"/>
                      <w:lang w:eastAsia="zh-CN" w:bidi="ar"/>
                    </w:rPr>
                    <w:t>①</w:t>
                  </w:r>
                  <w:r w:rsidRPr="00230008">
                    <w:rPr>
                      <w:rFonts w:eastAsia="宋体"/>
                      <w:color w:val="000000"/>
                      <w:kern w:val="0"/>
                      <w:sz w:val="18"/>
                      <w:szCs w:val="18"/>
                      <w:lang w:eastAsia="zh-CN" w:bidi="ar"/>
                    </w:rPr>
                    <w:t>本轮美国对中国加征关税率</w:t>
                  </w:r>
                  <w:r w:rsidRPr="00230008">
                    <w:rPr>
                      <w:rFonts w:eastAsia="宋体"/>
                      <w:color w:val="000000"/>
                      <w:kern w:val="0"/>
                      <w:sz w:val="18"/>
                      <w:szCs w:val="18"/>
                      <w:lang w:eastAsia="zh-CN" w:bidi="ar"/>
                    </w:rPr>
                    <w:t>34%</w:t>
                  </w:r>
                  <w:r w:rsidRPr="00230008">
                    <w:rPr>
                      <w:rFonts w:eastAsia="宋体"/>
                      <w:color w:val="000000"/>
                      <w:kern w:val="0"/>
                      <w:sz w:val="18"/>
                      <w:szCs w:val="18"/>
                      <w:lang w:eastAsia="zh-CN" w:bidi="ar"/>
                    </w:rPr>
                    <w:t>，整体进口关税率提高</w:t>
                  </w:r>
                  <w:r w:rsidRPr="00230008">
                    <w:rPr>
                      <w:rFonts w:eastAsia="宋体"/>
                      <w:color w:val="000000"/>
                      <w:kern w:val="0"/>
                      <w:sz w:val="18"/>
                      <w:szCs w:val="18"/>
                      <w:lang w:eastAsia="zh-CN" w:bidi="ar"/>
                    </w:rPr>
                    <w:t>18.2%</w:t>
                  </w:r>
                  <w:r w:rsidRPr="00230008">
                    <w:rPr>
                      <w:rFonts w:eastAsia="宋体"/>
                      <w:color w:val="000000"/>
                      <w:kern w:val="0"/>
                      <w:sz w:val="18"/>
                      <w:szCs w:val="18"/>
                      <w:lang w:eastAsia="zh-CN" w:bidi="ar"/>
                    </w:rPr>
                    <w:t>，其对中国出口的负面冲击</w:t>
                  </w:r>
                  <w:r w:rsidRPr="00230008">
                    <w:rPr>
                      <w:rFonts w:eastAsia="宋体" w:hint="eastAsia"/>
                      <w:color w:val="000000"/>
                      <w:kern w:val="0"/>
                      <w:sz w:val="18"/>
                      <w:szCs w:val="18"/>
                      <w:lang w:eastAsia="zh-CN" w:bidi="ar"/>
                    </w:rPr>
                    <w:t>可</w:t>
                  </w:r>
                  <w:r w:rsidRPr="00230008">
                    <w:rPr>
                      <w:rFonts w:eastAsia="宋体"/>
                      <w:color w:val="000000"/>
                      <w:kern w:val="0"/>
                      <w:sz w:val="18"/>
                      <w:szCs w:val="18"/>
                      <w:lang w:eastAsia="zh-CN" w:bidi="ar"/>
                    </w:rPr>
                    <w:t>参考两条思路测算，结论是：普加</w:t>
                  </w:r>
                  <w:r w:rsidRPr="00230008">
                    <w:rPr>
                      <w:rFonts w:eastAsia="宋体"/>
                      <w:color w:val="000000"/>
                      <w:kern w:val="0"/>
                      <w:sz w:val="18"/>
                      <w:szCs w:val="18"/>
                      <w:lang w:eastAsia="zh-CN" w:bidi="ar"/>
                    </w:rPr>
                    <w:t>18.2%</w:t>
                  </w:r>
                  <w:r w:rsidRPr="00230008">
                    <w:rPr>
                      <w:rFonts w:eastAsia="宋体"/>
                      <w:color w:val="000000"/>
                      <w:kern w:val="0"/>
                      <w:sz w:val="18"/>
                      <w:szCs w:val="18"/>
                      <w:lang w:eastAsia="zh-CN" w:bidi="ar"/>
                    </w:rPr>
                    <w:t>关税，或影响中国出口</w:t>
                  </w:r>
                  <w:r w:rsidRPr="00230008">
                    <w:rPr>
                      <w:rFonts w:eastAsia="宋体"/>
                      <w:color w:val="000000"/>
                      <w:kern w:val="0"/>
                      <w:sz w:val="18"/>
                      <w:szCs w:val="18"/>
                      <w:lang w:eastAsia="zh-CN" w:bidi="ar"/>
                    </w:rPr>
                    <w:t>3.5%~5.4%</w:t>
                  </w:r>
                  <w:r w:rsidRPr="00230008">
                    <w:rPr>
                      <w:rFonts w:eastAsia="宋体"/>
                      <w:color w:val="000000"/>
                      <w:kern w:val="0"/>
                      <w:sz w:val="18"/>
                      <w:szCs w:val="18"/>
                      <w:lang w:eastAsia="zh-CN" w:bidi="ar"/>
                    </w:rPr>
                    <w:t>，若额外考虑对中国加征关税（</w:t>
                  </w:r>
                  <w:r w:rsidRPr="00230008">
                    <w:rPr>
                      <w:rFonts w:eastAsia="宋体"/>
                      <w:color w:val="000000"/>
                      <w:kern w:val="0"/>
                      <w:sz w:val="18"/>
                      <w:szCs w:val="18"/>
                      <w:lang w:eastAsia="zh-CN" w:bidi="ar"/>
                    </w:rPr>
                    <w:t>34%</w:t>
                  </w:r>
                  <w:r w:rsidRPr="00230008">
                    <w:rPr>
                      <w:rFonts w:eastAsia="宋体"/>
                      <w:color w:val="000000"/>
                      <w:kern w:val="0"/>
                      <w:sz w:val="18"/>
                      <w:szCs w:val="18"/>
                      <w:lang w:eastAsia="zh-CN" w:bidi="ar"/>
                    </w:rPr>
                    <w:t>）高于整体可能带来的贸易转移影响，则对整体出口冲击或可达</w:t>
                  </w:r>
                  <w:r w:rsidRPr="00230008">
                    <w:rPr>
                      <w:rFonts w:eastAsia="宋体"/>
                      <w:color w:val="000000"/>
                      <w:kern w:val="0"/>
                      <w:sz w:val="18"/>
                      <w:szCs w:val="18"/>
                      <w:lang w:eastAsia="zh-CN" w:bidi="ar"/>
                    </w:rPr>
                    <w:t>-7%~-11%</w:t>
                  </w:r>
                  <w:r w:rsidRPr="00230008">
                    <w:rPr>
                      <w:rFonts w:eastAsia="宋体"/>
                      <w:color w:val="000000"/>
                      <w:kern w:val="0"/>
                      <w:sz w:val="18"/>
                      <w:szCs w:val="18"/>
                      <w:lang w:eastAsia="zh-CN" w:bidi="ar"/>
                    </w:rPr>
                    <w:t>。</w:t>
                  </w:r>
                  <w:r w:rsidRPr="00230008">
                    <w:rPr>
                      <w:rFonts w:ascii="Cambria Math" w:eastAsia="宋体" w:hAnsi="Cambria Math" w:cs="Cambria Math"/>
                      <w:color w:val="000000"/>
                      <w:kern w:val="0"/>
                      <w:sz w:val="18"/>
                      <w:szCs w:val="18"/>
                      <w:lang w:eastAsia="zh-CN" w:bidi="ar"/>
                    </w:rPr>
                    <w:t>②</w:t>
                  </w:r>
                  <w:r w:rsidRPr="00230008">
                    <w:rPr>
                      <w:rFonts w:eastAsia="宋体"/>
                      <w:color w:val="000000"/>
                      <w:kern w:val="0"/>
                      <w:sz w:val="18"/>
                      <w:szCs w:val="18"/>
                      <w:lang w:eastAsia="zh-CN" w:bidi="ar"/>
                    </w:rPr>
                    <w:t>本次整体关税率提升</w:t>
                  </w:r>
                  <w:r w:rsidRPr="00230008">
                    <w:rPr>
                      <w:rFonts w:eastAsia="宋体"/>
                      <w:color w:val="000000"/>
                      <w:kern w:val="0"/>
                      <w:sz w:val="18"/>
                      <w:szCs w:val="18"/>
                      <w:lang w:eastAsia="zh-CN" w:bidi="ar"/>
                    </w:rPr>
                    <w:t>18.2%</w:t>
                  </w:r>
                  <w:r w:rsidRPr="00230008">
                    <w:rPr>
                      <w:rFonts w:eastAsia="宋体"/>
                      <w:color w:val="000000"/>
                      <w:kern w:val="0"/>
                      <w:sz w:val="18"/>
                      <w:szCs w:val="18"/>
                      <w:lang w:eastAsia="zh-CN" w:bidi="ar"/>
                    </w:rPr>
                    <w:t>，对中国加征</w:t>
                  </w:r>
                  <w:r w:rsidRPr="00230008">
                    <w:rPr>
                      <w:rFonts w:eastAsia="宋体"/>
                      <w:color w:val="000000"/>
                      <w:kern w:val="0"/>
                      <w:sz w:val="18"/>
                      <w:szCs w:val="18"/>
                      <w:lang w:eastAsia="zh-CN" w:bidi="ar"/>
                    </w:rPr>
                    <w:t>34%</w:t>
                  </w:r>
                  <w:r w:rsidRPr="00230008">
                    <w:rPr>
                      <w:rFonts w:eastAsia="宋体"/>
                      <w:color w:val="000000"/>
                      <w:kern w:val="0"/>
                      <w:sz w:val="18"/>
                      <w:szCs w:val="18"/>
                      <w:lang w:eastAsia="zh-CN" w:bidi="ar"/>
                    </w:rPr>
                    <w:t>，对中国实际</w:t>
                  </w:r>
                  <w:r w:rsidRPr="00230008">
                    <w:rPr>
                      <w:rFonts w:eastAsia="宋体"/>
                      <w:color w:val="000000"/>
                      <w:kern w:val="0"/>
                      <w:sz w:val="18"/>
                      <w:szCs w:val="18"/>
                      <w:lang w:eastAsia="zh-CN" w:bidi="ar"/>
                    </w:rPr>
                    <w:t>GDP</w:t>
                  </w:r>
                  <w:r w:rsidRPr="00230008">
                    <w:rPr>
                      <w:rFonts w:eastAsia="宋体"/>
                      <w:color w:val="000000"/>
                      <w:kern w:val="0"/>
                      <w:sz w:val="18"/>
                      <w:szCs w:val="18"/>
                      <w:lang w:eastAsia="zh-CN" w:bidi="ar"/>
                    </w:rPr>
                    <w:t>冲击或在</w:t>
                  </w:r>
                  <w:r w:rsidRPr="00230008">
                    <w:rPr>
                      <w:rFonts w:eastAsia="宋体"/>
                      <w:color w:val="000000"/>
                      <w:kern w:val="0"/>
                      <w:sz w:val="18"/>
                      <w:szCs w:val="18"/>
                      <w:lang w:eastAsia="zh-CN" w:bidi="ar"/>
                    </w:rPr>
                    <w:t>-0.25%~-0.9%</w:t>
                  </w:r>
                  <w:r w:rsidRPr="00230008">
                    <w:rPr>
                      <w:rFonts w:eastAsia="宋体"/>
                      <w:color w:val="000000"/>
                      <w:kern w:val="0"/>
                      <w:sz w:val="18"/>
                      <w:szCs w:val="18"/>
                      <w:lang w:eastAsia="zh-CN" w:bidi="ar"/>
                    </w:rPr>
                    <w:t>区间</w:t>
                  </w:r>
                  <w:r w:rsidRPr="00230008">
                    <w:rPr>
                      <w:rFonts w:eastAsia="宋体" w:hint="eastAsia"/>
                      <w:color w:val="000000"/>
                      <w:kern w:val="0"/>
                      <w:sz w:val="18"/>
                      <w:szCs w:val="18"/>
                      <w:lang w:eastAsia="zh-CN" w:bidi="ar"/>
                    </w:rPr>
                    <w:t>。</w:t>
                  </w:r>
                </w:p>
              </w:tc>
              <w:tc>
                <w:tcPr>
                  <w:tcW w:w="1928" w:type="dxa"/>
                  <w:tcBorders>
                    <w:top w:val="nil"/>
                    <w:left w:val="nil"/>
                    <w:bottom w:val="single" w:sz="4" w:space="0" w:color="auto"/>
                    <w:right w:val="nil"/>
                  </w:tcBorders>
                  <w:shd w:val="clear" w:color="auto" w:fill="auto"/>
                  <w:vAlign w:val="center"/>
                </w:tcPr>
                <w:p w14:paraId="79739C33" w14:textId="77777777" w:rsidR="00230008" w:rsidRPr="00230008" w:rsidRDefault="00230008" w:rsidP="00230008">
                  <w:pPr>
                    <w:ind w:firstLineChars="0" w:firstLine="0"/>
                    <w:textAlignment w:val="center"/>
                    <w:rPr>
                      <w:rFonts w:eastAsia="宋体"/>
                      <w:color w:val="000000"/>
                      <w:sz w:val="18"/>
                      <w:szCs w:val="18"/>
                      <w:lang w:eastAsia="zh-CN" w:bidi="ar-SA"/>
                    </w:rPr>
                  </w:pPr>
                  <w:r w:rsidRPr="00230008">
                    <w:rPr>
                      <w:rFonts w:eastAsia="宋体"/>
                      <w:color w:val="000000"/>
                      <w:kern w:val="0"/>
                      <w:sz w:val="18"/>
                      <w:szCs w:val="18"/>
                      <w:lang w:eastAsia="zh-CN" w:bidi="ar"/>
                    </w:rPr>
                    <w:t>华创证券研究所</w:t>
                  </w:r>
                  <w:r w:rsidRPr="00230008">
                    <w:rPr>
                      <w:rFonts w:eastAsia="宋体" w:hint="eastAsia"/>
                      <w:color w:val="000000"/>
                      <w:kern w:val="0"/>
                      <w:sz w:val="18"/>
                      <w:szCs w:val="18"/>
                      <w:lang w:eastAsia="zh-CN" w:bidi="ar"/>
                    </w:rPr>
                    <w:t>，</w:t>
                  </w:r>
                  <w:r w:rsidRPr="00230008">
                    <w:rPr>
                      <w:rFonts w:eastAsia="宋体" w:hint="eastAsia"/>
                      <w:color w:val="000000"/>
                      <w:kern w:val="0"/>
                      <w:sz w:val="18"/>
                      <w:szCs w:val="18"/>
                      <w:lang w:eastAsia="zh-CN" w:bidi="ar"/>
                    </w:rPr>
                    <w:t>2025.4.6</w:t>
                  </w:r>
                </w:p>
              </w:tc>
            </w:tr>
            <w:tr w:rsidR="00230008" w:rsidRPr="00230008" w14:paraId="0ECAD7C7" w14:textId="77777777" w:rsidTr="00D72849">
              <w:trPr>
                <w:trHeight w:val="1020"/>
                <w:jc w:val="center"/>
              </w:trPr>
              <w:tc>
                <w:tcPr>
                  <w:tcW w:w="719" w:type="dxa"/>
                  <w:vMerge/>
                  <w:tcBorders>
                    <w:left w:val="nil"/>
                    <w:bottom w:val="single" w:sz="4" w:space="0" w:color="auto"/>
                    <w:right w:val="single" w:sz="4" w:space="0" w:color="auto"/>
                  </w:tcBorders>
                  <w:shd w:val="clear" w:color="auto" w:fill="auto"/>
                  <w:vAlign w:val="center"/>
                </w:tcPr>
                <w:p w14:paraId="18C18C69" w14:textId="77777777" w:rsidR="00230008" w:rsidRPr="00230008" w:rsidRDefault="00230008" w:rsidP="00230008">
                  <w:pPr>
                    <w:ind w:firstLineChars="0" w:firstLine="0"/>
                    <w:textAlignment w:val="center"/>
                    <w:rPr>
                      <w:rFonts w:eastAsia="宋体"/>
                      <w:color w:val="000000"/>
                      <w:kern w:val="0"/>
                      <w:sz w:val="18"/>
                      <w:szCs w:val="18"/>
                      <w:lang w:eastAsia="zh-CN" w:bidi="ar"/>
                    </w:rPr>
                  </w:pPr>
                </w:p>
              </w:tc>
              <w:tc>
                <w:tcPr>
                  <w:tcW w:w="7030" w:type="dxa"/>
                  <w:tcBorders>
                    <w:top w:val="nil"/>
                    <w:left w:val="nil"/>
                    <w:bottom w:val="single" w:sz="4" w:space="0" w:color="auto"/>
                    <w:right w:val="single" w:sz="4" w:space="0" w:color="auto"/>
                  </w:tcBorders>
                  <w:shd w:val="clear" w:color="auto" w:fill="auto"/>
                  <w:vAlign w:val="center"/>
                </w:tcPr>
                <w:p w14:paraId="5434659F" w14:textId="77777777" w:rsidR="00230008" w:rsidRPr="00230008" w:rsidRDefault="00230008" w:rsidP="00230008">
                  <w:pPr>
                    <w:ind w:firstLineChars="0" w:firstLine="0"/>
                    <w:textAlignment w:val="center"/>
                    <w:rPr>
                      <w:rFonts w:eastAsia="宋体"/>
                      <w:color w:val="000000"/>
                      <w:kern w:val="0"/>
                      <w:sz w:val="18"/>
                      <w:szCs w:val="18"/>
                      <w:lang w:eastAsia="zh-CN" w:bidi="ar"/>
                    </w:rPr>
                  </w:pPr>
                  <w:r w:rsidRPr="00230008">
                    <w:rPr>
                      <w:rFonts w:eastAsia="宋体" w:hint="eastAsia"/>
                      <w:color w:val="000000"/>
                      <w:kern w:val="0"/>
                      <w:sz w:val="18"/>
                      <w:szCs w:val="18"/>
                      <w:lang w:eastAsia="zh-CN" w:bidi="ar"/>
                    </w:rPr>
                    <w:t>考虑到出口下降及其乘数效应，美国关税政策对中国经济的总体影响约为</w:t>
                  </w:r>
                  <w:r w:rsidRPr="00230008">
                    <w:rPr>
                      <w:rFonts w:eastAsia="宋体" w:hint="eastAsia"/>
                      <w:color w:val="000000"/>
                      <w:kern w:val="0"/>
                      <w:sz w:val="18"/>
                      <w:szCs w:val="18"/>
                      <w:lang w:eastAsia="zh-CN" w:bidi="ar"/>
                    </w:rPr>
                    <w:t>2</w:t>
                  </w:r>
                  <w:r w:rsidRPr="00230008">
                    <w:rPr>
                      <w:rFonts w:eastAsia="宋体" w:hint="eastAsia"/>
                      <w:color w:val="000000"/>
                      <w:kern w:val="0"/>
                      <w:sz w:val="18"/>
                      <w:szCs w:val="18"/>
                      <w:lang w:eastAsia="zh-CN" w:bidi="ar"/>
                    </w:rPr>
                    <w:t>万亿元，占</w:t>
                  </w:r>
                  <w:r w:rsidRPr="00230008">
                    <w:rPr>
                      <w:rFonts w:eastAsia="宋体" w:hint="eastAsia"/>
                      <w:color w:val="000000"/>
                      <w:kern w:val="0"/>
                      <w:sz w:val="18"/>
                      <w:szCs w:val="18"/>
                      <w:lang w:eastAsia="zh-CN" w:bidi="ar"/>
                    </w:rPr>
                    <w:t>GDP</w:t>
                  </w:r>
                  <w:r w:rsidRPr="00230008">
                    <w:rPr>
                      <w:rFonts w:eastAsia="宋体" w:hint="eastAsia"/>
                      <w:color w:val="000000"/>
                      <w:kern w:val="0"/>
                      <w:sz w:val="18"/>
                      <w:szCs w:val="18"/>
                      <w:lang w:eastAsia="zh-CN" w:bidi="ar"/>
                    </w:rPr>
                    <w:t>比重约</w:t>
                  </w:r>
                  <w:r w:rsidRPr="00230008">
                    <w:rPr>
                      <w:rFonts w:eastAsia="宋体" w:hint="eastAsia"/>
                      <w:color w:val="000000"/>
                      <w:kern w:val="0"/>
                      <w:sz w:val="18"/>
                      <w:szCs w:val="18"/>
                      <w:lang w:eastAsia="zh-CN" w:bidi="ar"/>
                    </w:rPr>
                    <w:t>1.5</w:t>
                  </w:r>
                  <w:r w:rsidRPr="00230008">
                    <w:rPr>
                      <w:rFonts w:eastAsia="宋体" w:hint="eastAsia"/>
                      <w:color w:val="000000"/>
                      <w:kern w:val="0"/>
                      <w:sz w:val="18"/>
                      <w:szCs w:val="18"/>
                      <w:lang w:eastAsia="zh-CN" w:bidi="ar"/>
                    </w:rPr>
                    <w:t>个百分点。关税冲击是二季度经济面临的最大挑战。</w:t>
                  </w:r>
                </w:p>
              </w:tc>
              <w:tc>
                <w:tcPr>
                  <w:tcW w:w="1928" w:type="dxa"/>
                  <w:tcBorders>
                    <w:top w:val="nil"/>
                    <w:left w:val="nil"/>
                    <w:bottom w:val="single" w:sz="4" w:space="0" w:color="auto"/>
                    <w:right w:val="nil"/>
                  </w:tcBorders>
                  <w:shd w:val="clear" w:color="auto" w:fill="auto"/>
                  <w:vAlign w:val="center"/>
                </w:tcPr>
                <w:p w14:paraId="792B578E" w14:textId="77777777" w:rsidR="00230008" w:rsidRPr="00230008" w:rsidRDefault="00230008" w:rsidP="00230008">
                  <w:pPr>
                    <w:ind w:firstLineChars="0" w:firstLine="0"/>
                    <w:textAlignment w:val="center"/>
                    <w:rPr>
                      <w:rFonts w:eastAsia="宋体"/>
                      <w:color w:val="000000"/>
                      <w:kern w:val="0"/>
                      <w:sz w:val="18"/>
                      <w:szCs w:val="18"/>
                      <w:lang w:eastAsia="zh-CN" w:bidi="ar"/>
                    </w:rPr>
                  </w:pPr>
                  <w:r w:rsidRPr="00230008">
                    <w:rPr>
                      <w:rFonts w:eastAsia="宋体" w:hint="eastAsia"/>
                      <w:color w:val="000000"/>
                      <w:kern w:val="0"/>
                      <w:sz w:val="18"/>
                      <w:szCs w:val="18"/>
                      <w:lang w:eastAsia="zh-CN" w:bidi="ar"/>
                    </w:rPr>
                    <w:t>中国金融四十人研究院，</w:t>
                  </w:r>
                  <w:r w:rsidRPr="00230008">
                    <w:rPr>
                      <w:rFonts w:eastAsia="宋体" w:hint="eastAsia"/>
                      <w:color w:val="000000"/>
                      <w:kern w:val="0"/>
                      <w:sz w:val="18"/>
                      <w:szCs w:val="18"/>
                      <w:lang w:eastAsia="zh-CN" w:bidi="ar"/>
                    </w:rPr>
                    <w:t>2025.4.13</w:t>
                  </w:r>
                </w:p>
              </w:tc>
            </w:tr>
            <w:tr w:rsidR="00230008" w:rsidRPr="00230008" w14:paraId="351B105F" w14:textId="77777777" w:rsidTr="00D72849">
              <w:trPr>
                <w:trHeight w:val="274"/>
                <w:jc w:val="center"/>
              </w:trPr>
              <w:tc>
                <w:tcPr>
                  <w:tcW w:w="719" w:type="dxa"/>
                  <w:vMerge w:val="restart"/>
                  <w:tcBorders>
                    <w:top w:val="nil"/>
                    <w:left w:val="nil"/>
                    <w:bottom w:val="single" w:sz="4" w:space="0" w:color="auto"/>
                    <w:right w:val="single" w:sz="4" w:space="0" w:color="auto"/>
                  </w:tcBorders>
                  <w:shd w:val="clear" w:color="auto" w:fill="auto"/>
                  <w:vAlign w:val="center"/>
                </w:tcPr>
                <w:p w14:paraId="16C4A412" w14:textId="77777777" w:rsidR="00230008" w:rsidRPr="00230008" w:rsidRDefault="00230008" w:rsidP="00230008">
                  <w:pPr>
                    <w:ind w:firstLineChars="0" w:firstLine="0"/>
                    <w:textAlignment w:val="center"/>
                    <w:rPr>
                      <w:rFonts w:eastAsia="宋体"/>
                      <w:color w:val="000000"/>
                      <w:sz w:val="18"/>
                      <w:szCs w:val="18"/>
                      <w:lang w:eastAsia="zh-CN" w:bidi="ar-SA"/>
                    </w:rPr>
                  </w:pPr>
                  <w:r w:rsidRPr="00230008">
                    <w:rPr>
                      <w:rFonts w:eastAsia="宋体"/>
                      <w:color w:val="000000"/>
                      <w:kern w:val="0"/>
                      <w:sz w:val="18"/>
                      <w:szCs w:val="18"/>
                      <w:lang w:eastAsia="zh-CN" w:bidi="ar"/>
                    </w:rPr>
                    <w:t>欧盟整体</w:t>
                  </w:r>
                </w:p>
              </w:tc>
              <w:tc>
                <w:tcPr>
                  <w:tcW w:w="7030" w:type="dxa"/>
                  <w:tcBorders>
                    <w:top w:val="nil"/>
                    <w:left w:val="nil"/>
                    <w:bottom w:val="single" w:sz="4" w:space="0" w:color="auto"/>
                    <w:right w:val="single" w:sz="4" w:space="0" w:color="auto"/>
                  </w:tcBorders>
                  <w:shd w:val="clear" w:color="auto" w:fill="auto"/>
                  <w:vAlign w:val="center"/>
                </w:tcPr>
                <w:p w14:paraId="10D6F18D" w14:textId="77777777" w:rsidR="00230008" w:rsidRPr="00230008" w:rsidRDefault="00230008" w:rsidP="00230008">
                  <w:pPr>
                    <w:ind w:firstLineChars="0" w:firstLine="0"/>
                    <w:textAlignment w:val="center"/>
                    <w:rPr>
                      <w:rFonts w:eastAsia="宋体"/>
                      <w:color w:val="000000"/>
                      <w:sz w:val="18"/>
                      <w:szCs w:val="18"/>
                      <w:lang w:eastAsia="zh-CN" w:bidi="ar-SA"/>
                    </w:rPr>
                  </w:pPr>
                  <w:r w:rsidRPr="00230008">
                    <w:rPr>
                      <w:rFonts w:eastAsia="宋体"/>
                      <w:color w:val="000000"/>
                      <w:kern w:val="0"/>
                      <w:sz w:val="18"/>
                      <w:szCs w:val="18"/>
                      <w:lang w:eastAsia="zh-CN" w:bidi="ar"/>
                    </w:rPr>
                    <w:t>如果美国对欧盟进口商品加征</w:t>
                  </w:r>
                  <w:r w:rsidRPr="00230008">
                    <w:rPr>
                      <w:rFonts w:eastAsia="宋体"/>
                      <w:color w:val="000000"/>
                      <w:kern w:val="0"/>
                      <w:sz w:val="18"/>
                      <w:szCs w:val="18"/>
                      <w:lang w:eastAsia="zh-CN" w:bidi="ar"/>
                    </w:rPr>
                    <w:t>25%</w:t>
                  </w:r>
                  <w:r w:rsidRPr="00230008">
                    <w:rPr>
                      <w:rFonts w:eastAsia="宋体"/>
                      <w:color w:val="000000"/>
                      <w:kern w:val="0"/>
                      <w:sz w:val="18"/>
                      <w:szCs w:val="18"/>
                      <w:lang w:eastAsia="zh-CN" w:bidi="ar"/>
                    </w:rPr>
                    <w:t>关税，欧盟</w:t>
                  </w:r>
                  <w:r w:rsidRPr="00230008">
                    <w:rPr>
                      <w:rFonts w:eastAsia="宋体" w:hint="eastAsia"/>
                      <w:color w:val="000000"/>
                      <w:kern w:val="0"/>
                      <w:sz w:val="18"/>
                      <w:szCs w:val="18"/>
                      <w:lang w:eastAsia="zh-CN" w:bidi="ar"/>
                    </w:rPr>
                    <w:t>实际</w:t>
                  </w:r>
                  <w:r w:rsidRPr="00230008">
                    <w:rPr>
                      <w:rFonts w:eastAsia="宋体" w:hint="eastAsia"/>
                      <w:color w:val="000000"/>
                      <w:kern w:val="0"/>
                      <w:sz w:val="18"/>
                      <w:szCs w:val="18"/>
                      <w:lang w:eastAsia="zh-CN" w:bidi="ar"/>
                    </w:rPr>
                    <w:t>GDP</w:t>
                  </w:r>
                  <w:r w:rsidRPr="00230008">
                    <w:rPr>
                      <w:rFonts w:eastAsia="宋体"/>
                      <w:color w:val="000000"/>
                      <w:kern w:val="0"/>
                      <w:sz w:val="18"/>
                      <w:szCs w:val="18"/>
                      <w:lang w:eastAsia="zh-CN" w:bidi="ar"/>
                    </w:rPr>
                    <w:t>在第一年将平均</w:t>
                  </w:r>
                  <w:r w:rsidRPr="00230008">
                    <w:rPr>
                      <w:rFonts w:eastAsia="宋体" w:hint="eastAsia"/>
                      <w:color w:val="000000"/>
                      <w:kern w:val="0"/>
                      <w:sz w:val="18"/>
                      <w:szCs w:val="18"/>
                      <w:lang w:eastAsia="zh-CN" w:bidi="ar"/>
                    </w:rPr>
                    <w:t>下降</w:t>
                  </w:r>
                  <w:r w:rsidRPr="00230008">
                    <w:rPr>
                      <w:rFonts w:eastAsia="宋体"/>
                      <w:color w:val="000000"/>
                      <w:kern w:val="0"/>
                      <w:sz w:val="18"/>
                      <w:szCs w:val="18"/>
                      <w:lang w:eastAsia="zh-CN" w:bidi="ar"/>
                    </w:rPr>
                    <w:t>0.4%</w:t>
                  </w:r>
                  <w:r w:rsidRPr="00230008">
                    <w:rPr>
                      <w:rFonts w:eastAsia="宋体"/>
                      <w:color w:val="000000"/>
                      <w:kern w:val="0"/>
                      <w:sz w:val="18"/>
                      <w:szCs w:val="18"/>
                      <w:lang w:eastAsia="zh-CN" w:bidi="ar"/>
                    </w:rPr>
                    <w:t>，美国</w:t>
                  </w:r>
                  <w:r w:rsidRPr="00230008">
                    <w:rPr>
                      <w:rFonts w:eastAsia="宋体" w:hint="eastAsia"/>
                      <w:color w:val="000000"/>
                      <w:kern w:val="0"/>
                      <w:sz w:val="18"/>
                      <w:szCs w:val="18"/>
                      <w:lang w:eastAsia="zh-CN" w:bidi="ar"/>
                    </w:rPr>
                    <w:t>实际</w:t>
                  </w:r>
                  <w:r w:rsidRPr="00230008">
                    <w:rPr>
                      <w:rFonts w:eastAsia="宋体" w:hint="eastAsia"/>
                      <w:color w:val="000000"/>
                      <w:kern w:val="0"/>
                      <w:sz w:val="18"/>
                      <w:szCs w:val="18"/>
                      <w:lang w:eastAsia="zh-CN" w:bidi="ar"/>
                    </w:rPr>
                    <w:t>GDP</w:t>
                  </w:r>
                  <w:r w:rsidRPr="00230008">
                    <w:rPr>
                      <w:rFonts w:eastAsia="宋体"/>
                      <w:color w:val="000000"/>
                      <w:kern w:val="0"/>
                      <w:sz w:val="18"/>
                      <w:szCs w:val="18"/>
                      <w:lang w:eastAsia="zh-CN" w:bidi="ar"/>
                    </w:rPr>
                    <w:t>将</w:t>
                  </w:r>
                  <w:r w:rsidRPr="00230008">
                    <w:rPr>
                      <w:rFonts w:eastAsia="宋体" w:hint="eastAsia"/>
                      <w:color w:val="000000"/>
                      <w:kern w:val="0"/>
                      <w:sz w:val="18"/>
                      <w:szCs w:val="18"/>
                      <w:lang w:eastAsia="zh-CN" w:bidi="ar"/>
                    </w:rPr>
                    <w:t>下降</w:t>
                  </w:r>
                  <w:r w:rsidRPr="00230008">
                    <w:rPr>
                      <w:rFonts w:eastAsia="宋体"/>
                      <w:color w:val="000000"/>
                      <w:kern w:val="0"/>
                      <w:sz w:val="18"/>
                      <w:szCs w:val="18"/>
                      <w:lang w:eastAsia="zh-CN" w:bidi="ar"/>
                    </w:rPr>
                    <w:t>0.17%</w:t>
                  </w:r>
                  <w:r w:rsidRPr="00230008">
                    <w:rPr>
                      <w:rFonts w:eastAsia="宋体"/>
                      <w:color w:val="000000"/>
                      <w:kern w:val="0"/>
                      <w:sz w:val="18"/>
                      <w:szCs w:val="18"/>
                      <w:lang w:eastAsia="zh-CN" w:bidi="ar"/>
                    </w:rPr>
                    <w:t>。如果欧盟以</w:t>
                  </w:r>
                  <w:r w:rsidRPr="00230008">
                    <w:rPr>
                      <w:rFonts w:eastAsia="宋体"/>
                      <w:color w:val="000000"/>
                      <w:kern w:val="0"/>
                      <w:sz w:val="18"/>
                      <w:szCs w:val="18"/>
                      <w:lang w:eastAsia="zh-CN" w:bidi="ar"/>
                    </w:rPr>
                    <w:t>25%</w:t>
                  </w:r>
                  <w:r w:rsidRPr="00230008">
                    <w:rPr>
                      <w:rFonts w:eastAsia="宋体"/>
                      <w:color w:val="000000"/>
                      <w:kern w:val="0"/>
                      <w:sz w:val="18"/>
                      <w:szCs w:val="18"/>
                      <w:lang w:eastAsia="zh-CN" w:bidi="ar"/>
                    </w:rPr>
                    <w:t>的关税进行回应，美国的经济损失将翻</w:t>
                  </w:r>
                  <w:r w:rsidRPr="00230008">
                    <w:rPr>
                      <w:rFonts w:eastAsia="宋体"/>
                      <w:color w:val="000000"/>
                      <w:kern w:val="0"/>
                      <w:sz w:val="18"/>
                      <w:szCs w:val="18"/>
                      <w:lang w:eastAsia="zh-CN" w:bidi="ar"/>
                    </w:rPr>
                    <w:lastRenderedPageBreak/>
                    <w:t>倍。</w:t>
                  </w:r>
                </w:p>
              </w:tc>
              <w:tc>
                <w:tcPr>
                  <w:tcW w:w="1928" w:type="dxa"/>
                  <w:tcBorders>
                    <w:top w:val="nil"/>
                    <w:left w:val="nil"/>
                    <w:bottom w:val="single" w:sz="4" w:space="0" w:color="auto"/>
                    <w:right w:val="nil"/>
                  </w:tcBorders>
                  <w:shd w:val="clear" w:color="auto" w:fill="auto"/>
                  <w:vAlign w:val="center"/>
                </w:tcPr>
                <w:p w14:paraId="20FD6BBE" w14:textId="77777777" w:rsidR="00230008" w:rsidRPr="00230008" w:rsidRDefault="00230008" w:rsidP="00230008">
                  <w:pPr>
                    <w:ind w:firstLineChars="0" w:firstLine="0"/>
                    <w:textAlignment w:val="center"/>
                    <w:rPr>
                      <w:rFonts w:eastAsia="宋体"/>
                      <w:color w:val="000000"/>
                      <w:sz w:val="18"/>
                      <w:szCs w:val="18"/>
                      <w:lang w:eastAsia="zh-CN" w:bidi="ar-SA"/>
                    </w:rPr>
                  </w:pPr>
                  <w:r w:rsidRPr="00230008">
                    <w:rPr>
                      <w:rFonts w:eastAsia="宋体"/>
                      <w:color w:val="000000"/>
                      <w:kern w:val="0"/>
                      <w:sz w:val="18"/>
                      <w:szCs w:val="18"/>
                      <w:lang w:eastAsia="zh-CN" w:bidi="ar"/>
                    </w:rPr>
                    <w:lastRenderedPageBreak/>
                    <w:t>德国基尔世界经济研究所</w:t>
                  </w:r>
                  <w:r w:rsidRPr="00230008">
                    <w:rPr>
                      <w:rFonts w:eastAsia="宋体" w:hint="eastAsia"/>
                      <w:color w:val="000000"/>
                      <w:kern w:val="0"/>
                      <w:sz w:val="18"/>
                      <w:szCs w:val="18"/>
                      <w:lang w:eastAsia="zh-CN" w:bidi="ar"/>
                    </w:rPr>
                    <w:t>，</w:t>
                  </w:r>
                  <w:r w:rsidRPr="00230008">
                    <w:rPr>
                      <w:rFonts w:eastAsia="宋体" w:hint="eastAsia"/>
                      <w:color w:val="000000"/>
                      <w:kern w:val="0"/>
                      <w:sz w:val="18"/>
                      <w:szCs w:val="18"/>
                      <w:lang w:eastAsia="zh-CN" w:bidi="ar"/>
                    </w:rPr>
                    <w:t>2025.2.27</w:t>
                  </w:r>
                </w:p>
              </w:tc>
            </w:tr>
            <w:tr w:rsidR="00230008" w:rsidRPr="00230008" w14:paraId="3BDFE12F" w14:textId="77777777" w:rsidTr="00D72849">
              <w:trPr>
                <w:trHeight w:val="576"/>
                <w:jc w:val="center"/>
              </w:trPr>
              <w:tc>
                <w:tcPr>
                  <w:tcW w:w="719" w:type="dxa"/>
                  <w:vMerge/>
                  <w:tcBorders>
                    <w:top w:val="nil"/>
                    <w:left w:val="nil"/>
                    <w:bottom w:val="single" w:sz="4" w:space="0" w:color="auto"/>
                    <w:right w:val="single" w:sz="4" w:space="0" w:color="auto"/>
                  </w:tcBorders>
                  <w:shd w:val="clear" w:color="auto" w:fill="auto"/>
                  <w:vAlign w:val="center"/>
                </w:tcPr>
                <w:p w14:paraId="6A4FD6C3" w14:textId="77777777" w:rsidR="00230008" w:rsidRPr="00230008" w:rsidRDefault="00230008" w:rsidP="00230008">
                  <w:pPr>
                    <w:widowControl w:val="0"/>
                    <w:ind w:firstLineChars="0" w:firstLine="0"/>
                    <w:rPr>
                      <w:rFonts w:eastAsia="宋体"/>
                      <w:color w:val="000000"/>
                      <w:sz w:val="18"/>
                      <w:szCs w:val="18"/>
                      <w:lang w:eastAsia="zh-CN" w:bidi="ar-SA"/>
                    </w:rPr>
                  </w:pPr>
                </w:p>
              </w:tc>
              <w:tc>
                <w:tcPr>
                  <w:tcW w:w="7030" w:type="dxa"/>
                  <w:tcBorders>
                    <w:top w:val="nil"/>
                    <w:left w:val="nil"/>
                    <w:bottom w:val="single" w:sz="4" w:space="0" w:color="auto"/>
                    <w:right w:val="single" w:sz="4" w:space="0" w:color="auto"/>
                  </w:tcBorders>
                  <w:shd w:val="clear" w:color="auto" w:fill="auto"/>
                  <w:vAlign w:val="center"/>
                </w:tcPr>
                <w:p w14:paraId="13EEF745" w14:textId="77777777" w:rsidR="00230008" w:rsidRPr="00230008" w:rsidRDefault="00230008" w:rsidP="00230008">
                  <w:pPr>
                    <w:ind w:firstLineChars="0" w:firstLine="0"/>
                    <w:textAlignment w:val="center"/>
                    <w:rPr>
                      <w:rFonts w:eastAsia="宋体"/>
                      <w:color w:val="000000"/>
                      <w:sz w:val="18"/>
                      <w:szCs w:val="18"/>
                      <w:lang w:eastAsia="zh-CN" w:bidi="ar-SA"/>
                    </w:rPr>
                  </w:pPr>
                  <w:r w:rsidRPr="00230008">
                    <w:rPr>
                      <w:rFonts w:eastAsia="宋体"/>
                      <w:color w:val="000000"/>
                      <w:kern w:val="0"/>
                      <w:sz w:val="18"/>
                      <w:szCs w:val="18"/>
                      <w:lang w:eastAsia="zh-CN" w:bidi="ar"/>
                    </w:rPr>
                    <w:t>美国关税政策或导致欧元区国内生产总值在第一年下降</w:t>
                  </w:r>
                  <w:r w:rsidRPr="00230008">
                    <w:rPr>
                      <w:rFonts w:eastAsia="宋体"/>
                      <w:color w:val="000000"/>
                      <w:kern w:val="0"/>
                      <w:sz w:val="18"/>
                      <w:szCs w:val="18"/>
                      <w:lang w:eastAsia="zh-CN" w:bidi="ar"/>
                    </w:rPr>
                    <w:t>0.3%</w:t>
                  </w:r>
                  <w:r w:rsidRPr="00230008">
                    <w:rPr>
                      <w:rFonts w:eastAsia="宋体"/>
                      <w:color w:val="000000"/>
                      <w:kern w:val="0"/>
                      <w:sz w:val="18"/>
                      <w:szCs w:val="18"/>
                      <w:lang w:eastAsia="zh-CN" w:bidi="ar"/>
                    </w:rPr>
                    <w:t>，而如果欧洲采取报复措施，欧元区</w:t>
                  </w:r>
                  <w:r w:rsidRPr="00230008">
                    <w:rPr>
                      <w:rFonts w:eastAsia="宋体"/>
                      <w:color w:val="000000"/>
                      <w:kern w:val="0"/>
                      <w:sz w:val="18"/>
                      <w:szCs w:val="18"/>
                      <w:lang w:eastAsia="zh-CN" w:bidi="ar"/>
                    </w:rPr>
                    <w:t>GDP</w:t>
                  </w:r>
                  <w:r w:rsidRPr="00230008">
                    <w:rPr>
                      <w:rFonts w:eastAsia="宋体"/>
                      <w:color w:val="000000"/>
                      <w:kern w:val="0"/>
                      <w:sz w:val="18"/>
                      <w:szCs w:val="18"/>
                      <w:lang w:eastAsia="zh-CN" w:bidi="ar"/>
                    </w:rPr>
                    <w:t>将下降</w:t>
                  </w:r>
                  <w:r w:rsidRPr="00230008">
                    <w:rPr>
                      <w:rFonts w:eastAsia="宋体"/>
                      <w:color w:val="000000"/>
                      <w:kern w:val="0"/>
                      <w:sz w:val="18"/>
                      <w:szCs w:val="18"/>
                      <w:lang w:eastAsia="zh-CN" w:bidi="ar"/>
                    </w:rPr>
                    <w:t>0.5%</w:t>
                  </w:r>
                  <w:r w:rsidRPr="00230008">
                    <w:rPr>
                      <w:rFonts w:eastAsia="宋体"/>
                      <w:color w:val="000000"/>
                      <w:kern w:val="0"/>
                      <w:sz w:val="18"/>
                      <w:szCs w:val="18"/>
                      <w:lang w:eastAsia="zh-CN" w:bidi="ar"/>
                    </w:rPr>
                    <w:t>。</w:t>
                  </w:r>
                </w:p>
              </w:tc>
              <w:tc>
                <w:tcPr>
                  <w:tcW w:w="1928" w:type="dxa"/>
                  <w:tcBorders>
                    <w:top w:val="nil"/>
                    <w:left w:val="nil"/>
                    <w:bottom w:val="single" w:sz="4" w:space="0" w:color="auto"/>
                    <w:right w:val="nil"/>
                  </w:tcBorders>
                  <w:shd w:val="clear" w:color="auto" w:fill="auto"/>
                  <w:vAlign w:val="center"/>
                </w:tcPr>
                <w:p w14:paraId="5190D247" w14:textId="77777777" w:rsidR="00230008" w:rsidRPr="00230008" w:rsidRDefault="00230008" w:rsidP="00230008">
                  <w:pPr>
                    <w:ind w:firstLineChars="0" w:firstLine="0"/>
                    <w:textAlignment w:val="center"/>
                    <w:rPr>
                      <w:rFonts w:eastAsia="宋体"/>
                      <w:color w:val="000000"/>
                      <w:sz w:val="18"/>
                      <w:szCs w:val="18"/>
                      <w:lang w:eastAsia="zh-CN" w:bidi="ar-SA"/>
                    </w:rPr>
                  </w:pPr>
                  <w:r w:rsidRPr="00230008">
                    <w:rPr>
                      <w:rFonts w:eastAsia="宋体"/>
                      <w:color w:val="000000"/>
                      <w:kern w:val="0"/>
                      <w:sz w:val="18"/>
                      <w:szCs w:val="18"/>
                      <w:lang w:eastAsia="zh-CN" w:bidi="ar"/>
                    </w:rPr>
                    <w:t>欧洲中央银行</w:t>
                  </w:r>
                  <w:r w:rsidRPr="00230008">
                    <w:rPr>
                      <w:rFonts w:eastAsia="宋体" w:hint="eastAsia"/>
                      <w:color w:val="000000"/>
                      <w:kern w:val="0"/>
                      <w:sz w:val="18"/>
                      <w:szCs w:val="18"/>
                      <w:lang w:eastAsia="zh-CN" w:bidi="ar"/>
                    </w:rPr>
                    <w:t>，</w:t>
                  </w:r>
                  <w:r w:rsidRPr="00230008">
                    <w:rPr>
                      <w:rFonts w:eastAsia="宋体" w:hint="eastAsia"/>
                      <w:color w:val="000000"/>
                      <w:kern w:val="0"/>
                      <w:sz w:val="18"/>
                      <w:szCs w:val="18"/>
                      <w:lang w:eastAsia="zh-CN" w:bidi="ar"/>
                    </w:rPr>
                    <w:t>2025.3.20</w:t>
                  </w:r>
                </w:p>
              </w:tc>
            </w:tr>
            <w:tr w:rsidR="00230008" w:rsidRPr="00230008" w14:paraId="54D758C8" w14:textId="77777777" w:rsidTr="00D72849">
              <w:trPr>
                <w:trHeight w:val="370"/>
                <w:jc w:val="center"/>
              </w:trPr>
              <w:tc>
                <w:tcPr>
                  <w:tcW w:w="719" w:type="dxa"/>
                  <w:vMerge/>
                  <w:tcBorders>
                    <w:top w:val="nil"/>
                    <w:left w:val="nil"/>
                    <w:bottom w:val="single" w:sz="4" w:space="0" w:color="auto"/>
                    <w:right w:val="single" w:sz="4" w:space="0" w:color="auto"/>
                  </w:tcBorders>
                  <w:shd w:val="clear" w:color="auto" w:fill="auto"/>
                  <w:vAlign w:val="center"/>
                </w:tcPr>
                <w:p w14:paraId="16CE976D" w14:textId="77777777" w:rsidR="00230008" w:rsidRPr="00230008" w:rsidRDefault="00230008" w:rsidP="00230008">
                  <w:pPr>
                    <w:widowControl w:val="0"/>
                    <w:ind w:firstLineChars="0" w:firstLine="0"/>
                    <w:rPr>
                      <w:rFonts w:eastAsia="宋体"/>
                      <w:color w:val="000000"/>
                      <w:sz w:val="18"/>
                      <w:szCs w:val="18"/>
                      <w:lang w:eastAsia="zh-CN" w:bidi="ar-SA"/>
                    </w:rPr>
                  </w:pPr>
                </w:p>
              </w:tc>
              <w:tc>
                <w:tcPr>
                  <w:tcW w:w="7030" w:type="dxa"/>
                  <w:tcBorders>
                    <w:top w:val="nil"/>
                    <w:left w:val="nil"/>
                    <w:bottom w:val="single" w:sz="4" w:space="0" w:color="auto"/>
                    <w:right w:val="single" w:sz="4" w:space="0" w:color="auto"/>
                  </w:tcBorders>
                  <w:shd w:val="clear" w:color="auto" w:fill="auto"/>
                  <w:vAlign w:val="center"/>
                </w:tcPr>
                <w:p w14:paraId="0E93F1CA" w14:textId="77777777" w:rsidR="00230008" w:rsidRPr="00230008" w:rsidRDefault="00230008" w:rsidP="00230008">
                  <w:pPr>
                    <w:ind w:firstLineChars="0" w:firstLine="0"/>
                    <w:textAlignment w:val="center"/>
                    <w:rPr>
                      <w:rFonts w:eastAsia="宋体"/>
                      <w:color w:val="000000"/>
                      <w:sz w:val="18"/>
                      <w:szCs w:val="18"/>
                      <w:lang w:eastAsia="zh-CN" w:bidi="ar-SA"/>
                    </w:rPr>
                  </w:pPr>
                  <w:r w:rsidRPr="00230008">
                    <w:rPr>
                      <w:rFonts w:eastAsia="宋体"/>
                      <w:color w:val="000000"/>
                      <w:kern w:val="0"/>
                      <w:sz w:val="18"/>
                      <w:szCs w:val="18"/>
                      <w:lang w:eastAsia="zh-CN" w:bidi="ar"/>
                    </w:rPr>
                    <w:t>美国对欧元区加征</w:t>
                  </w:r>
                  <w:r w:rsidRPr="00230008">
                    <w:rPr>
                      <w:rFonts w:eastAsia="宋体"/>
                      <w:color w:val="000000"/>
                      <w:kern w:val="0"/>
                      <w:sz w:val="18"/>
                      <w:szCs w:val="18"/>
                      <w:lang w:eastAsia="zh-CN" w:bidi="ar"/>
                    </w:rPr>
                    <w:t>20%</w:t>
                  </w:r>
                  <w:r w:rsidRPr="00230008">
                    <w:rPr>
                      <w:rFonts w:eastAsia="宋体"/>
                      <w:color w:val="000000"/>
                      <w:kern w:val="0"/>
                      <w:sz w:val="18"/>
                      <w:szCs w:val="18"/>
                      <w:lang w:eastAsia="zh-CN" w:bidi="ar"/>
                    </w:rPr>
                    <w:t>关税或影响欧元区</w:t>
                  </w:r>
                  <w:r w:rsidRPr="00230008">
                    <w:rPr>
                      <w:rFonts w:eastAsia="宋体"/>
                      <w:color w:val="000000"/>
                      <w:kern w:val="0"/>
                      <w:sz w:val="18"/>
                      <w:szCs w:val="18"/>
                      <w:lang w:eastAsia="zh-CN" w:bidi="ar"/>
                    </w:rPr>
                    <w:t>GDP-0.06%~-1%</w:t>
                  </w:r>
                  <w:r w:rsidRPr="00230008">
                    <w:rPr>
                      <w:rFonts w:eastAsia="宋体"/>
                      <w:color w:val="000000"/>
                      <w:kern w:val="0"/>
                      <w:sz w:val="18"/>
                      <w:szCs w:val="18"/>
                      <w:lang w:eastAsia="zh-CN" w:bidi="ar"/>
                    </w:rPr>
                    <w:t>，中值</w:t>
                  </w:r>
                  <w:r w:rsidRPr="00230008">
                    <w:rPr>
                      <w:rFonts w:eastAsia="宋体"/>
                      <w:color w:val="000000"/>
                      <w:kern w:val="0"/>
                      <w:sz w:val="18"/>
                      <w:szCs w:val="18"/>
                      <w:lang w:eastAsia="zh-CN" w:bidi="ar"/>
                    </w:rPr>
                    <w:t>0.5</w:t>
                  </w:r>
                  <w:r w:rsidRPr="00230008">
                    <w:rPr>
                      <w:rFonts w:eastAsia="宋体"/>
                      <w:color w:val="000000"/>
                      <w:kern w:val="0"/>
                      <w:sz w:val="18"/>
                      <w:szCs w:val="18"/>
                      <w:lang w:eastAsia="zh-CN" w:bidi="ar"/>
                    </w:rPr>
                    <w:t>个百分点左右。</w:t>
                  </w:r>
                </w:p>
              </w:tc>
              <w:tc>
                <w:tcPr>
                  <w:tcW w:w="1928" w:type="dxa"/>
                  <w:tcBorders>
                    <w:top w:val="nil"/>
                    <w:left w:val="nil"/>
                    <w:bottom w:val="single" w:sz="4" w:space="0" w:color="auto"/>
                    <w:right w:val="nil"/>
                  </w:tcBorders>
                  <w:shd w:val="clear" w:color="auto" w:fill="auto"/>
                  <w:vAlign w:val="center"/>
                </w:tcPr>
                <w:p w14:paraId="5CAF86E8" w14:textId="77777777" w:rsidR="00230008" w:rsidRPr="00230008" w:rsidRDefault="00230008" w:rsidP="00230008">
                  <w:pPr>
                    <w:ind w:firstLineChars="0" w:firstLine="0"/>
                    <w:textAlignment w:val="center"/>
                    <w:rPr>
                      <w:rFonts w:eastAsia="宋体"/>
                      <w:color w:val="000000"/>
                      <w:sz w:val="18"/>
                      <w:szCs w:val="18"/>
                      <w:lang w:eastAsia="zh-CN" w:bidi="ar-SA"/>
                    </w:rPr>
                  </w:pPr>
                  <w:r w:rsidRPr="00230008">
                    <w:rPr>
                      <w:rFonts w:eastAsia="宋体"/>
                      <w:color w:val="000000"/>
                      <w:kern w:val="0"/>
                      <w:sz w:val="18"/>
                      <w:szCs w:val="18"/>
                      <w:lang w:eastAsia="zh-CN" w:bidi="ar"/>
                    </w:rPr>
                    <w:t>华创证券研究所</w:t>
                  </w:r>
                  <w:r w:rsidRPr="00230008">
                    <w:rPr>
                      <w:rFonts w:eastAsia="宋体" w:hint="eastAsia"/>
                      <w:color w:val="000000"/>
                      <w:kern w:val="0"/>
                      <w:sz w:val="18"/>
                      <w:szCs w:val="18"/>
                      <w:lang w:eastAsia="zh-CN" w:bidi="ar"/>
                    </w:rPr>
                    <w:t>，</w:t>
                  </w:r>
                  <w:r w:rsidRPr="00230008">
                    <w:rPr>
                      <w:rFonts w:eastAsia="宋体" w:hint="eastAsia"/>
                      <w:color w:val="000000"/>
                      <w:kern w:val="0"/>
                      <w:sz w:val="18"/>
                      <w:szCs w:val="18"/>
                      <w:lang w:eastAsia="zh-CN" w:bidi="ar"/>
                    </w:rPr>
                    <w:t>2025.4.6</w:t>
                  </w:r>
                </w:p>
              </w:tc>
            </w:tr>
            <w:tr w:rsidR="00230008" w:rsidRPr="00230008" w14:paraId="5F481A5D" w14:textId="77777777" w:rsidTr="00D72849">
              <w:trPr>
                <w:trHeight w:val="576"/>
                <w:jc w:val="center"/>
              </w:trPr>
              <w:tc>
                <w:tcPr>
                  <w:tcW w:w="719" w:type="dxa"/>
                  <w:tcBorders>
                    <w:top w:val="nil"/>
                    <w:left w:val="nil"/>
                    <w:bottom w:val="single" w:sz="4" w:space="0" w:color="auto"/>
                    <w:right w:val="single" w:sz="4" w:space="0" w:color="auto"/>
                  </w:tcBorders>
                  <w:shd w:val="clear" w:color="auto" w:fill="auto"/>
                  <w:vAlign w:val="center"/>
                </w:tcPr>
                <w:p w14:paraId="6475DD13" w14:textId="77777777" w:rsidR="00230008" w:rsidRPr="00230008" w:rsidRDefault="00230008" w:rsidP="00230008">
                  <w:pPr>
                    <w:ind w:firstLineChars="0" w:firstLine="0"/>
                    <w:textAlignment w:val="center"/>
                    <w:rPr>
                      <w:rFonts w:eastAsia="宋体"/>
                      <w:color w:val="000000"/>
                      <w:sz w:val="18"/>
                      <w:szCs w:val="18"/>
                      <w:lang w:eastAsia="zh-CN" w:bidi="ar-SA"/>
                    </w:rPr>
                  </w:pPr>
                  <w:r w:rsidRPr="00230008">
                    <w:rPr>
                      <w:rFonts w:eastAsia="宋体"/>
                      <w:color w:val="000000"/>
                      <w:kern w:val="0"/>
                      <w:sz w:val="18"/>
                      <w:szCs w:val="18"/>
                      <w:lang w:eastAsia="zh-CN" w:bidi="ar"/>
                    </w:rPr>
                    <w:t>英国</w:t>
                  </w:r>
                </w:p>
              </w:tc>
              <w:tc>
                <w:tcPr>
                  <w:tcW w:w="7030" w:type="dxa"/>
                  <w:tcBorders>
                    <w:top w:val="nil"/>
                    <w:left w:val="nil"/>
                    <w:bottom w:val="single" w:sz="4" w:space="0" w:color="auto"/>
                    <w:right w:val="single" w:sz="4" w:space="0" w:color="auto"/>
                  </w:tcBorders>
                  <w:shd w:val="clear" w:color="auto" w:fill="auto"/>
                  <w:vAlign w:val="center"/>
                </w:tcPr>
                <w:p w14:paraId="18AF1BBD" w14:textId="77777777" w:rsidR="00230008" w:rsidRPr="00230008" w:rsidRDefault="00230008" w:rsidP="00230008">
                  <w:pPr>
                    <w:ind w:firstLineChars="0" w:firstLine="0"/>
                    <w:textAlignment w:val="center"/>
                    <w:rPr>
                      <w:rFonts w:eastAsia="宋体"/>
                      <w:color w:val="000000"/>
                      <w:sz w:val="18"/>
                      <w:szCs w:val="18"/>
                      <w:lang w:eastAsia="zh-CN" w:bidi="ar-SA"/>
                    </w:rPr>
                  </w:pPr>
                  <w:r w:rsidRPr="00230008">
                    <w:rPr>
                      <w:rFonts w:eastAsia="宋体"/>
                      <w:color w:val="000000"/>
                      <w:kern w:val="0"/>
                      <w:sz w:val="18"/>
                      <w:szCs w:val="18"/>
                      <w:lang w:eastAsia="zh-CN" w:bidi="ar"/>
                    </w:rPr>
                    <w:t>英国的经济增长预测被下调，今年的预期低于</w:t>
                  </w:r>
                  <w:r w:rsidRPr="00230008">
                    <w:rPr>
                      <w:rFonts w:eastAsia="宋体"/>
                      <w:color w:val="000000"/>
                      <w:kern w:val="0"/>
                      <w:sz w:val="18"/>
                      <w:szCs w:val="18"/>
                      <w:lang w:eastAsia="zh-CN" w:bidi="ar"/>
                    </w:rPr>
                    <w:t>1%</w:t>
                  </w:r>
                  <w:r w:rsidRPr="00230008">
                    <w:rPr>
                      <w:rFonts w:eastAsia="宋体"/>
                      <w:color w:val="000000"/>
                      <w:kern w:val="0"/>
                      <w:sz w:val="18"/>
                      <w:szCs w:val="18"/>
                      <w:lang w:eastAsia="zh-CN" w:bidi="ar"/>
                    </w:rPr>
                    <w:t>。主要影响来自美国和全球需求的疲软，以及贸易政策不确定性的加剧。</w:t>
                  </w:r>
                </w:p>
              </w:tc>
              <w:tc>
                <w:tcPr>
                  <w:tcW w:w="1928" w:type="dxa"/>
                  <w:tcBorders>
                    <w:top w:val="nil"/>
                    <w:left w:val="nil"/>
                    <w:bottom w:val="single" w:sz="4" w:space="0" w:color="auto"/>
                    <w:right w:val="nil"/>
                  </w:tcBorders>
                  <w:shd w:val="clear" w:color="auto" w:fill="auto"/>
                  <w:vAlign w:val="center"/>
                </w:tcPr>
                <w:p w14:paraId="10C7E27A" w14:textId="77777777" w:rsidR="00230008" w:rsidRPr="00230008" w:rsidRDefault="00230008" w:rsidP="00230008">
                  <w:pPr>
                    <w:ind w:firstLineChars="0" w:firstLine="0"/>
                    <w:textAlignment w:val="center"/>
                    <w:rPr>
                      <w:rFonts w:eastAsia="宋体"/>
                      <w:color w:val="000000"/>
                      <w:sz w:val="18"/>
                      <w:szCs w:val="18"/>
                      <w:lang w:eastAsia="zh-CN" w:bidi="ar-SA"/>
                    </w:rPr>
                  </w:pPr>
                  <w:r w:rsidRPr="00230008">
                    <w:rPr>
                      <w:rFonts w:eastAsia="宋体"/>
                      <w:color w:val="000000"/>
                      <w:kern w:val="0"/>
                      <w:sz w:val="18"/>
                      <w:szCs w:val="18"/>
                      <w:lang w:eastAsia="zh-CN" w:bidi="ar"/>
                    </w:rPr>
                    <w:t>Oxford Economics</w:t>
                  </w:r>
                  <w:r w:rsidRPr="00230008">
                    <w:rPr>
                      <w:rFonts w:eastAsia="宋体" w:hint="eastAsia"/>
                      <w:color w:val="000000"/>
                      <w:kern w:val="0"/>
                      <w:sz w:val="18"/>
                      <w:szCs w:val="18"/>
                      <w:lang w:eastAsia="zh-CN" w:bidi="ar"/>
                    </w:rPr>
                    <w:t>，</w:t>
                  </w:r>
                  <w:r w:rsidRPr="00230008">
                    <w:rPr>
                      <w:rFonts w:eastAsia="宋体" w:hint="eastAsia"/>
                      <w:color w:val="000000"/>
                      <w:kern w:val="0"/>
                      <w:sz w:val="18"/>
                      <w:szCs w:val="18"/>
                      <w:lang w:eastAsia="zh-CN" w:bidi="ar"/>
                    </w:rPr>
                    <w:t>2025.4.9</w:t>
                  </w:r>
                </w:p>
              </w:tc>
            </w:tr>
          </w:tbl>
          <w:p w14:paraId="6C285CE4" w14:textId="77777777" w:rsidR="00230008" w:rsidRPr="00230008" w:rsidRDefault="00230008" w:rsidP="00230008">
            <w:pPr>
              <w:ind w:firstLine="360"/>
              <w:rPr>
                <w:rFonts w:eastAsia="楷体"/>
                <w:b/>
                <w:bCs/>
                <w:color w:val="000000"/>
                <w:lang w:eastAsia="zh-CN"/>
              </w:rPr>
            </w:pPr>
            <w:r w:rsidRPr="00230008">
              <w:rPr>
                <w:rFonts w:eastAsia="楷体" w:hint="eastAsia"/>
                <w:bCs/>
                <w:sz w:val="18"/>
                <w:szCs w:val="18"/>
                <w:lang w:eastAsia="zh-CN"/>
              </w:rPr>
              <w:t>注：笔者根据公开资料整理。</w:t>
            </w:r>
          </w:p>
        </w:tc>
      </w:tr>
      <w:tr w:rsidR="00230008" w:rsidRPr="00230008" w14:paraId="1BED1392" w14:textId="77777777" w:rsidTr="00230008">
        <w:trPr>
          <w:trHeight w:val="150"/>
          <w:jc w:val="center"/>
        </w:trPr>
        <w:tc>
          <w:tcPr>
            <w:tcW w:w="2219" w:type="dxa"/>
            <w:gridSpan w:val="2"/>
            <w:vAlign w:val="center"/>
          </w:tcPr>
          <w:p w14:paraId="53F0251A" w14:textId="77777777" w:rsidR="00230008" w:rsidRPr="00230008" w:rsidRDefault="00230008" w:rsidP="00230008">
            <w:pPr>
              <w:tabs>
                <w:tab w:val="left" w:pos="832"/>
              </w:tabs>
              <w:spacing w:line="348" w:lineRule="auto"/>
              <w:ind w:firstLineChars="0" w:firstLine="0"/>
              <w:rPr>
                <w:rFonts w:eastAsia="楷体"/>
                <w:b/>
                <w:bCs/>
                <w:lang w:eastAsia="zh-CN"/>
              </w:rPr>
            </w:pPr>
          </w:p>
          <w:p w14:paraId="3ECC3F7F" w14:textId="77777777" w:rsidR="00230008" w:rsidRPr="00230008" w:rsidRDefault="00230008" w:rsidP="00230008">
            <w:pPr>
              <w:tabs>
                <w:tab w:val="left" w:pos="832"/>
              </w:tabs>
              <w:spacing w:line="348" w:lineRule="auto"/>
              <w:ind w:firstLineChars="0" w:firstLine="0"/>
              <w:rPr>
                <w:rFonts w:eastAsia="楷体"/>
                <w:b/>
                <w:bCs/>
                <w:lang w:eastAsia="zh-CN"/>
              </w:rPr>
            </w:pPr>
            <w:r w:rsidRPr="00230008">
              <w:rPr>
                <w:rFonts w:eastAsia="楷体" w:hint="eastAsia"/>
                <w:b/>
                <w:bCs/>
                <w:lang w:eastAsia="zh-CN"/>
              </w:rPr>
              <w:t>受特朗普政府关税政策和</w:t>
            </w:r>
            <w:r w:rsidRPr="00230008">
              <w:rPr>
                <w:rFonts w:eastAsia="楷体" w:hint="eastAsia"/>
                <w:b/>
                <w:bCs/>
                <w:lang w:eastAsia="zh-CN"/>
              </w:rPr>
              <w:t>2024</w:t>
            </w:r>
            <w:r w:rsidRPr="00230008">
              <w:rPr>
                <w:rFonts w:eastAsia="楷体" w:hint="eastAsia"/>
                <w:b/>
                <w:bCs/>
                <w:lang w:eastAsia="zh-CN"/>
              </w:rPr>
              <w:t>年基期较高的影响，预计</w:t>
            </w:r>
            <w:r w:rsidRPr="00230008">
              <w:rPr>
                <w:rFonts w:eastAsia="楷体" w:hint="eastAsia"/>
                <w:b/>
                <w:bCs/>
                <w:lang w:eastAsia="zh-CN"/>
              </w:rPr>
              <w:t>2025</w:t>
            </w:r>
            <w:r w:rsidRPr="00230008">
              <w:rPr>
                <w:rFonts w:eastAsia="楷体" w:hint="eastAsia"/>
                <w:b/>
                <w:bCs/>
                <w:lang w:eastAsia="zh-CN"/>
              </w:rPr>
              <w:t>年我国出口增速或将显著下降。美国对外经贸政策是影响我国出口走势的关键因素。</w:t>
            </w:r>
          </w:p>
          <w:p w14:paraId="3CACB7F0" w14:textId="77777777" w:rsidR="00230008" w:rsidRPr="00230008" w:rsidRDefault="00230008" w:rsidP="00230008">
            <w:pPr>
              <w:ind w:firstLineChars="0" w:firstLine="0"/>
              <w:rPr>
                <w:rFonts w:eastAsia="宋体"/>
                <w:sz w:val="28"/>
                <w:szCs w:val="28"/>
                <w:lang w:eastAsia="zh-CN" w:bidi="ar-SA"/>
              </w:rPr>
            </w:pPr>
          </w:p>
        </w:tc>
        <w:tc>
          <w:tcPr>
            <w:tcW w:w="308" w:type="dxa"/>
          </w:tcPr>
          <w:p w14:paraId="491952FF" w14:textId="77777777" w:rsidR="00230008" w:rsidRPr="00230008" w:rsidRDefault="00230008" w:rsidP="00230008">
            <w:pPr>
              <w:keepNext/>
              <w:keepLines/>
              <w:ind w:firstLine="480"/>
              <w:rPr>
                <w:rFonts w:eastAsia="楷体_GB2312"/>
                <w:lang w:eastAsia="zh-CN"/>
              </w:rPr>
            </w:pPr>
          </w:p>
        </w:tc>
        <w:tc>
          <w:tcPr>
            <w:tcW w:w="7366" w:type="dxa"/>
            <w:gridSpan w:val="3"/>
          </w:tcPr>
          <w:p w14:paraId="6B91CE2F" w14:textId="77777777" w:rsidR="00230008" w:rsidRPr="00230008" w:rsidRDefault="00230008" w:rsidP="00230008">
            <w:pPr>
              <w:ind w:firstLineChars="0" w:firstLine="0"/>
              <w:rPr>
                <w:rFonts w:eastAsia="楷体"/>
                <w:sz w:val="28"/>
                <w:szCs w:val="28"/>
                <w:lang w:eastAsia="zh-CN" w:bidi="ar-SA"/>
              </w:rPr>
            </w:pPr>
            <w:r w:rsidRPr="00230008">
              <w:rPr>
                <w:rFonts w:eastAsia="楷体" w:hint="eastAsia"/>
                <w:b/>
                <w:sz w:val="28"/>
                <w:szCs w:val="28"/>
                <w:lang w:eastAsia="zh-CN" w:bidi="ar-SA"/>
              </w:rPr>
              <w:t>六、外贸展望</w:t>
            </w:r>
          </w:p>
          <w:p w14:paraId="539FE133" w14:textId="77777777" w:rsidR="00230008" w:rsidRPr="00230008" w:rsidRDefault="00230008" w:rsidP="00D66A7B">
            <w:pPr>
              <w:ind w:firstLine="480"/>
              <w:rPr>
                <w:lang w:eastAsia="zh-CN"/>
              </w:rPr>
            </w:pPr>
            <w:r w:rsidRPr="00230008">
              <w:rPr>
                <w:rFonts w:hint="eastAsia"/>
                <w:lang w:eastAsia="zh-CN"/>
              </w:rPr>
              <w:t>受特朗普政府关税政策和</w:t>
            </w:r>
            <w:r w:rsidRPr="00230008">
              <w:rPr>
                <w:rFonts w:hint="eastAsia"/>
                <w:lang w:eastAsia="zh-CN"/>
              </w:rPr>
              <w:t>2024</w:t>
            </w:r>
            <w:r w:rsidRPr="00230008">
              <w:rPr>
                <w:rFonts w:hint="eastAsia"/>
                <w:lang w:eastAsia="zh-CN"/>
              </w:rPr>
              <w:t>年基期较高的影响，预计</w:t>
            </w:r>
            <w:r w:rsidRPr="00230008">
              <w:rPr>
                <w:rFonts w:hint="eastAsia"/>
                <w:lang w:eastAsia="zh-CN"/>
              </w:rPr>
              <w:t>2025</w:t>
            </w:r>
            <w:r w:rsidRPr="00230008">
              <w:rPr>
                <w:rFonts w:hint="eastAsia"/>
                <w:lang w:eastAsia="zh-CN"/>
              </w:rPr>
              <w:t>年我国出口增速或将显著下降。美国对外经贸政策是影响我国出口走势的关键因素。</w:t>
            </w:r>
          </w:p>
          <w:p w14:paraId="378F52BF" w14:textId="77777777" w:rsidR="00230008" w:rsidRPr="00230008" w:rsidRDefault="00230008" w:rsidP="00D66A7B">
            <w:pPr>
              <w:ind w:firstLine="480"/>
              <w:rPr>
                <w:lang w:eastAsia="zh-CN"/>
              </w:rPr>
            </w:pPr>
            <w:r w:rsidRPr="00230008">
              <w:rPr>
                <w:rFonts w:hint="eastAsia"/>
                <w:lang w:eastAsia="zh-CN"/>
              </w:rPr>
              <w:t>从外需看，美国激进的关税政策大幅提高全球贸易政策不确定性，显著增加全球产业链运行成本，进而拖累全球贸易和宏观经济增长。其中，美国经济或将急剧放缓，甚至陷入停滞。国际货币基金组织最新《世界经济展望报告》预计</w:t>
            </w:r>
            <w:r w:rsidRPr="00230008">
              <w:rPr>
                <w:rFonts w:hint="eastAsia"/>
                <w:lang w:eastAsia="zh-CN"/>
              </w:rPr>
              <w:t>2025</w:t>
            </w:r>
            <w:r w:rsidRPr="00230008">
              <w:rPr>
                <w:rFonts w:hint="eastAsia"/>
                <w:lang w:eastAsia="zh-CN"/>
              </w:rPr>
              <w:t>年美国经济增长率将降至</w:t>
            </w:r>
            <w:r w:rsidRPr="00230008">
              <w:rPr>
                <w:rFonts w:hint="eastAsia"/>
                <w:lang w:eastAsia="zh-CN"/>
              </w:rPr>
              <w:t>1.8%</w:t>
            </w:r>
            <w:r w:rsidRPr="00230008">
              <w:rPr>
                <w:rFonts w:hint="eastAsia"/>
                <w:lang w:eastAsia="zh-CN"/>
              </w:rPr>
              <w:t>，比</w:t>
            </w:r>
            <w:r w:rsidRPr="00230008">
              <w:rPr>
                <w:rFonts w:hint="eastAsia"/>
                <w:lang w:eastAsia="zh-CN"/>
              </w:rPr>
              <w:t>2024</w:t>
            </w:r>
            <w:r w:rsidRPr="00230008">
              <w:rPr>
                <w:rFonts w:hint="eastAsia"/>
                <w:lang w:eastAsia="zh-CN"/>
              </w:rPr>
              <w:t>年低</w:t>
            </w:r>
            <w:r w:rsidRPr="00230008">
              <w:rPr>
                <w:rFonts w:hint="eastAsia"/>
                <w:lang w:eastAsia="zh-CN"/>
              </w:rPr>
              <w:t>1</w:t>
            </w:r>
            <w:r w:rsidRPr="00230008">
              <w:rPr>
                <w:rFonts w:hint="eastAsia"/>
                <w:lang w:eastAsia="zh-CN"/>
              </w:rPr>
              <w:t>个百分点，较</w:t>
            </w:r>
            <w:r w:rsidRPr="00230008">
              <w:rPr>
                <w:rFonts w:hint="eastAsia"/>
                <w:lang w:eastAsia="zh-CN"/>
              </w:rPr>
              <w:t>1</w:t>
            </w:r>
            <w:r w:rsidRPr="00230008">
              <w:rPr>
                <w:rFonts w:hint="eastAsia"/>
                <w:lang w:eastAsia="zh-CN"/>
              </w:rPr>
              <w:t>月预测值下调</w:t>
            </w:r>
            <w:r w:rsidRPr="00230008">
              <w:rPr>
                <w:rFonts w:hint="eastAsia"/>
                <w:lang w:eastAsia="zh-CN"/>
              </w:rPr>
              <w:t>0.9</w:t>
            </w:r>
            <w:r w:rsidRPr="00230008">
              <w:rPr>
                <w:rFonts w:hint="eastAsia"/>
                <w:lang w:eastAsia="zh-CN"/>
              </w:rPr>
              <w:t>个百分点。</w:t>
            </w:r>
            <w:r w:rsidRPr="00230008">
              <w:rPr>
                <w:rFonts w:hint="eastAsia"/>
                <w:lang w:eastAsia="zh-CN"/>
              </w:rPr>
              <w:t>4</w:t>
            </w:r>
            <w:r w:rsidRPr="00230008">
              <w:rPr>
                <w:rFonts w:hint="eastAsia"/>
                <w:lang w:eastAsia="zh-CN"/>
              </w:rPr>
              <w:t>月</w:t>
            </w:r>
            <w:r w:rsidRPr="00230008">
              <w:rPr>
                <w:rFonts w:hint="eastAsia"/>
                <w:lang w:eastAsia="zh-CN"/>
              </w:rPr>
              <w:t>16</w:t>
            </w:r>
            <w:r w:rsidRPr="00230008">
              <w:rPr>
                <w:rFonts w:hint="eastAsia"/>
                <w:lang w:eastAsia="zh-CN"/>
              </w:rPr>
              <w:t>日，世界贸易组织《全球贸易展望与统计》报告预测，在目前关税形势下，</w:t>
            </w:r>
            <w:r w:rsidRPr="00230008">
              <w:rPr>
                <w:rFonts w:hint="eastAsia"/>
                <w:lang w:eastAsia="zh-CN"/>
              </w:rPr>
              <w:t>2025</w:t>
            </w:r>
            <w:r w:rsidRPr="00230008">
              <w:rPr>
                <w:rFonts w:hint="eastAsia"/>
                <w:lang w:eastAsia="zh-CN"/>
              </w:rPr>
              <w:t>年全球货物贸易量预计将下降</w:t>
            </w:r>
            <w:r w:rsidRPr="00230008">
              <w:rPr>
                <w:rFonts w:hint="eastAsia"/>
                <w:lang w:eastAsia="zh-CN"/>
              </w:rPr>
              <w:t>0.2%</w:t>
            </w:r>
            <w:r w:rsidRPr="00230008">
              <w:rPr>
                <w:rFonts w:hint="eastAsia"/>
                <w:lang w:eastAsia="zh-CN"/>
              </w:rPr>
              <w:t>，较</w:t>
            </w:r>
            <w:r w:rsidRPr="00230008">
              <w:rPr>
                <w:rFonts w:hint="eastAsia"/>
                <w:lang w:eastAsia="zh-CN"/>
              </w:rPr>
              <w:t>2024</w:t>
            </w:r>
            <w:r w:rsidRPr="00230008">
              <w:rPr>
                <w:rFonts w:hint="eastAsia"/>
                <w:lang w:eastAsia="zh-CN"/>
              </w:rPr>
              <w:t>年</w:t>
            </w:r>
            <w:r w:rsidRPr="00230008">
              <w:rPr>
                <w:rFonts w:hint="eastAsia"/>
                <w:lang w:eastAsia="zh-CN"/>
              </w:rPr>
              <w:t>10</w:t>
            </w:r>
            <w:r w:rsidRPr="00230008">
              <w:rPr>
                <w:rFonts w:hint="eastAsia"/>
                <w:lang w:eastAsia="zh-CN"/>
              </w:rPr>
              <w:t>月预测值下调</w:t>
            </w:r>
            <w:r w:rsidRPr="00230008">
              <w:rPr>
                <w:rFonts w:hint="eastAsia"/>
                <w:lang w:eastAsia="zh-CN"/>
              </w:rPr>
              <w:t>3.2</w:t>
            </w:r>
            <w:r w:rsidRPr="00230008">
              <w:rPr>
                <w:rFonts w:hint="eastAsia"/>
                <w:lang w:eastAsia="zh-CN"/>
              </w:rPr>
              <w:t>个百分点。</w:t>
            </w:r>
          </w:p>
          <w:p w14:paraId="10662E79" w14:textId="27C76B24" w:rsidR="00230008" w:rsidRPr="00230008" w:rsidRDefault="00230008" w:rsidP="00D66A7B">
            <w:pPr>
              <w:ind w:firstLine="480"/>
              <w:rPr>
                <w:lang w:eastAsia="zh-CN"/>
              </w:rPr>
            </w:pPr>
            <w:r w:rsidRPr="00230008">
              <w:rPr>
                <w:rFonts w:hint="eastAsia"/>
                <w:lang w:eastAsia="zh-CN"/>
              </w:rPr>
              <w:t>从市场份额看，受特朗普政府加征高额关税、推动产业回流、回归传统能源等政策影响，我国在美国进口中份额预计将进一步下降。尽管美国关税政策带来的转出口效应和抢出口效应，可能导致我国在欧盟、东盟等市场份额短期上升，但短期出口</w:t>
            </w:r>
            <w:r w:rsidR="00BE10E2" w:rsidRPr="00BE10E2">
              <w:rPr>
                <w:rFonts w:hint="eastAsia"/>
                <w:lang w:eastAsia="zh-CN"/>
              </w:rPr>
              <w:t>大幅</w:t>
            </w:r>
            <w:r w:rsidRPr="00230008">
              <w:rPr>
                <w:rFonts w:hint="eastAsia"/>
                <w:lang w:eastAsia="zh-CN"/>
              </w:rPr>
              <w:t>上升带来的反倾销、反补贴等经贸摩擦风险也显著增大。此外，其他市场可能难以完全弥补我国在美国市场份额的下降。这意味</w:t>
            </w:r>
            <w:r w:rsidR="00BE10E2">
              <w:rPr>
                <w:rFonts w:hint="eastAsia"/>
                <w:lang w:eastAsia="zh-CN"/>
              </w:rPr>
              <w:t>着</w:t>
            </w:r>
            <w:r w:rsidRPr="00230008">
              <w:rPr>
                <w:rFonts w:hint="eastAsia"/>
                <w:lang w:eastAsia="zh-CN"/>
              </w:rPr>
              <w:t>我国在全球出口中的总体份额面临较大下行压力。</w:t>
            </w:r>
          </w:p>
          <w:p w14:paraId="3B119D91" w14:textId="77777777" w:rsidR="00230008" w:rsidRPr="00230008" w:rsidRDefault="00230008" w:rsidP="00230008">
            <w:pPr>
              <w:tabs>
                <w:tab w:val="left" w:pos="832"/>
              </w:tabs>
              <w:spacing w:line="348" w:lineRule="auto"/>
              <w:ind w:firstLine="480"/>
              <w:rPr>
                <w:rFonts w:eastAsia="楷体"/>
                <w:lang w:eastAsia="zh-CN"/>
              </w:rPr>
            </w:pPr>
          </w:p>
          <w:p w14:paraId="2DD693B3" w14:textId="77777777" w:rsidR="00230008" w:rsidRPr="00230008" w:rsidRDefault="00230008" w:rsidP="00230008">
            <w:pPr>
              <w:tabs>
                <w:tab w:val="left" w:pos="832"/>
              </w:tabs>
              <w:spacing w:line="348" w:lineRule="auto"/>
              <w:ind w:firstLineChars="0" w:firstLine="0"/>
              <w:rPr>
                <w:rFonts w:eastAsia="楷体"/>
                <w:lang w:eastAsia="zh-CN"/>
              </w:rPr>
            </w:pPr>
          </w:p>
        </w:tc>
      </w:tr>
      <w:tr w:rsidR="00230008" w:rsidRPr="00230008" w14:paraId="3A2C649E" w14:textId="77777777" w:rsidTr="00230008">
        <w:trPr>
          <w:trHeight w:val="150"/>
          <w:jc w:val="center"/>
        </w:trPr>
        <w:tc>
          <w:tcPr>
            <w:tcW w:w="9893" w:type="dxa"/>
            <w:gridSpan w:val="6"/>
          </w:tcPr>
          <w:p w14:paraId="71147DD6" w14:textId="422DC595" w:rsidR="00230008" w:rsidRPr="00230008" w:rsidRDefault="00D37774" w:rsidP="00D37774">
            <w:pPr>
              <w:pStyle w:val="a4"/>
              <w:rPr>
                <w:sz w:val="28"/>
                <w:szCs w:val="28"/>
              </w:rPr>
            </w:pPr>
            <w:bookmarkStart w:id="133" w:name="_Toc520407678"/>
            <w:bookmarkStart w:id="134" w:name="_Toc196399468"/>
            <w:r>
              <w:rPr>
                <w:rFonts w:hint="eastAsia"/>
              </w:rPr>
              <w:lastRenderedPageBreak/>
              <w:t xml:space="preserve">图表 </w:t>
            </w:r>
            <w:r>
              <w:rPr>
                <w:rFonts w:hint="eastAsia"/>
              </w:rPr>
              <w:fldChar w:fldCharType="begin"/>
            </w:r>
            <w:r>
              <w:rPr>
                <w:rFonts w:hint="eastAsia"/>
              </w:rPr>
              <w:instrText xml:space="preserve"> SEQ 图表 \* ARABIC </w:instrText>
            </w:r>
            <w:r>
              <w:rPr>
                <w:rFonts w:hint="eastAsia"/>
              </w:rPr>
              <w:fldChar w:fldCharType="separate"/>
            </w:r>
            <w:r w:rsidR="00530ED7">
              <w:rPr>
                <w:rFonts w:hint="eastAsia"/>
                <w:noProof/>
              </w:rPr>
              <w:t>57</w:t>
            </w:r>
            <w:r>
              <w:rPr>
                <w:rFonts w:hint="eastAsia"/>
              </w:rPr>
              <w:fldChar w:fldCharType="end"/>
            </w:r>
            <w:r w:rsidRPr="00D37774">
              <w:t xml:space="preserve">  </w:t>
            </w:r>
            <w:r w:rsidR="00230008" w:rsidRPr="00230008">
              <w:t>全球及主要经济体制造业PMI</w:t>
            </w:r>
            <w:bookmarkEnd w:id="133"/>
            <w:bookmarkEnd w:id="134"/>
          </w:p>
        </w:tc>
      </w:tr>
      <w:tr w:rsidR="00230008" w:rsidRPr="00230008" w14:paraId="7DFFBFCA" w14:textId="77777777" w:rsidTr="00230008">
        <w:trPr>
          <w:trHeight w:val="150"/>
          <w:jc w:val="center"/>
        </w:trPr>
        <w:tc>
          <w:tcPr>
            <w:tcW w:w="4929" w:type="dxa"/>
            <w:gridSpan w:val="4"/>
          </w:tcPr>
          <w:p w14:paraId="541CCE33" w14:textId="77777777" w:rsidR="00230008" w:rsidRPr="00230008" w:rsidRDefault="00230008" w:rsidP="00230008">
            <w:pPr>
              <w:ind w:firstLineChars="0" w:firstLine="0"/>
              <w:rPr>
                <w:rFonts w:eastAsia="宋体"/>
                <w:b/>
                <w:sz w:val="28"/>
                <w:szCs w:val="28"/>
                <w:lang w:eastAsia="zh-CN" w:bidi="ar-SA"/>
              </w:rPr>
            </w:pPr>
            <w:r w:rsidRPr="00230008">
              <w:rPr>
                <w:rFonts w:ascii="等线" w:eastAsia="等线" w:hAnsi="等线" w:hint="eastAsia"/>
                <w:noProof/>
                <w:sz w:val="21"/>
                <w:szCs w:val="22"/>
                <w:lang w:eastAsia="zh-CN" w:bidi="ar-SA"/>
              </w:rPr>
              <w:drawing>
                <wp:inline distT="0" distB="0" distL="0" distR="0" wp14:anchorId="0DF961EA" wp14:editId="332E078E">
                  <wp:extent cx="2877820" cy="2153920"/>
                  <wp:effectExtent l="0" t="0" r="0" b="0"/>
                  <wp:docPr id="165546114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461145" name="图片 1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a:xfrm>
                            <a:off x="0" y="0"/>
                            <a:ext cx="2877820" cy="2153920"/>
                          </a:xfrm>
                          <a:prstGeom prst="rect">
                            <a:avLst/>
                          </a:prstGeom>
                          <a:noFill/>
                          <a:ln>
                            <a:noFill/>
                          </a:ln>
                        </pic:spPr>
                      </pic:pic>
                    </a:graphicData>
                  </a:graphic>
                </wp:inline>
              </w:drawing>
            </w:r>
          </w:p>
        </w:tc>
        <w:tc>
          <w:tcPr>
            <w:tcW w:w="4964" w:type="dxa"/>
            <w:gridSpan w:val="2"/>
          </w:tcPr>
          <w:p w14:paraId="701F5B55" w14:textId="77777777" w:rsidR="00230008" w:rsidRPr="00230008" w:rsidRDefault="00230008" w:rsidP="00230008">
            <w:pPr>
              <w:ind w:firstLineChars="0" w:firstLine="0"/>
              <w:rPr>
                <w:rFonts w:eastAsia="宋体"/>
                <w:b/>
                <w:sz w:val="28"/>
                <w:szCs w:val="28"/>
                <w:lang w:eastAsia="zh-CN" w:bidi="ar-SA"/>
              </w:rPr>
            </w:pPr>
            <w:r w:rsidRPr="00230008">
              <w:rPr>
                <w:rFonts w:ascii="等线" w:eastAsia="等线" w:hAnsi="等线"/>
                <w:noProof/>
                <w:sz w:val="21"/>
                <w:szCs w:val="22"/>
                <w:lang w:eastAsia="zh-CN" w:bidi="ar-SA"/>
              </w:rPr>
              <w:drawing>
                <wp:inline distT="0" distB="0" distL="0" distR="0" wp14:anchorId="07E4993F" wp14:editId="67D7C460">
                  <wp:extent cx="2877820" cy="2155825"/>
                  <wp:effectExtent l="0" t="0" r="0" b="0"/>
                  <wp:docPr id="340154967"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154967" name="图片 1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a:xfrm>
                            <a:off x="0" y="0"/>
                            <a:ext cx="2877820" cy="2155825"/>
                          </a:xfrm>
                          <a:prstGeom prst="rect">
                            <a:avLst/>
                          </a:prstGeom>
                          <a:noFill/>
                          <a:ln>
                            <a:noFill/>
                          </a:ln>
                        </pic:spPr>
                      </pic:pic>
                    </a:graphicData>
                  </a:graphic>
                </wp:inline>
              </w:drawing>
            </w:r>
          </w:p>
        </w:tc>
      </w:tr>
      <w:tr w:rsidR="00230008" w:rsidRPr="00230008" w14:paraId="7CA59400" w14:textId="77777777" w:rsidTr="00230008">
        <w:trPr>
          <w:trHeight w:val="150"/>
          <w:jc w:val="center"/>
        </w:trPr>
        <w:tc>
          <w:tcPr>
            <w:tcW w:w="9893" w:type="dxa"/>
            <w:gridSpan w:val="6"/>
          </w:tcPr>
          <w:p w14:paraId="576DA896" w14:textId="2D9DE04C" w:rsidR="00230008" w:rsidRPr="00230008" w:rsidRDefault="00D37774" w:rsidP="00D37774">
            <w:pPr>
              <w:pStyle w:val="a4"/>
            </w:pPr>
            <w:bookmarkStart w:id="135" w:name="_Toc196399469"/>
            <w:r>
              <w:rPr>
                <w:rFonts w:hint="eastAsia"/>
              </w:rPr>
              <w:t xml:space="preserve">图表 </w:t>
            </w:r>
            <w:r>
              <w:rPr>
                <w:rFonts w:hint="eastAsia"/>
              </w:rPr>
              <w:fldChar w:fldCharType="begin"/>
            </w:r>
            <w:r>
              <w:rPr>
                <w:rFonts w:hint="eastAsia"/>
              </w:rPr>
              <w:instrText xml:space="preserve"> SEQ 图表 \* ARABIC </w:instrText>
            </w:r>
            <w:r>
              <w:rPr>
                <w:rFonts w:hint="eastAsia"/>
              </w:rPr>
              <w:fldChar w:fldCharType="separate"/>
            </w:r>
            <w:r w:rsidR="00530ED7">
              <w:rPr>
                <w:rFonts w:hint="eastAsia"/>
                <w:noProof/>
              </w:rPr>
              <w:t>58</w:t>
            </w:r>
            <w:r>
              <w:rPr>
                <w:rFonts w:hint="eastAsia"/>
              </w:rPr>
              <w:fldChar w:fldCharType="end"/>
            </w:r>
            <w:r w:rsidRPr="00D37774">
              <w:t xml:space="preserve">  </w:t>
            </w:r>
            <w:r w:rsidR="00230008" w:rsidRPr="00230008">
              <w:rPr>
                <w:rFonts w:hint="eastAsia"/>
              </w:rPr>
              <w:t>中国外贸数据概览</w:t>
            </w:r>
            <w:bookmarkEnd w:id="135"/>
          </w:p>
          <w:tbl>
            <w:tblPr>
              <w:tblW w:w="0" w:type="auto"/>
              <w:jc w:val="center"/>
              <w:tblLayout w:type="fixed"/>
              <w:tblLook w:val="04A0" w:firstRow="1" w:lastRow="0" w:firstColumn="1" w:lastColumn="0" w:noHBand="0" w:noVBand="1"/>
            </w:tblPr>
            <w:tblGrid>
              <w:gridCol w:w="1416"/>
              <w:gridCol w:w="861"/>
              <w:gridCol w:w="861"/>
              <w:gridCol w:w="861"/>
              <w:gridCol w:w="861"/>
              <w:gridCol w:w="861"/>
              <w:gridCol w:w="861"/>
            </w:tblGrid>
            <w:tr w:rsidR="00230008" w:rsidRPr="00230008" w14:paraId="017607B0" w14:textId="77777777" w:rsidTr="00D72849">
              <w:trPr>
                <w:trHeight w:val="312"/>
                <w:jc w:val="center"/>
              </w:trPr>
              <w:tc>
                <w:tcPr>
                  <w:tcW w:w="1416" w:type="dxa"/>
                  <w:tcBorders>
                    <w:top w:val="single" w:sz="4" w:space="0" w:color="auto"/>
                    <w:left w:val="nil"/>
                    <w:bottom w:val="nil"/>
                    <w:right w:val="nil"/>
                  </w:tcBorders>
                  <w:shd w:val="clear" w:color="000000" w:fill="74A3BA"/>
                  <w:noWrap/>
                  <w:vAlign w:val="center"/>
                </w:tcPr>
                <w:p w14:paraId="24E9543E" w14:textId="77777777" w:rsidR="00230008" w:rsidRPr="00230008" w:rsidRDefault="00230008" w:rsidP="00230008">
                  <w:pPr>
                    <w:spacing w:line="240" w:lineRule="auto"/>
                    <w:ind w:firstLineChars="0" w:firstLine="0"/>
                    <w:jc w:val="left"/>
                    <w:rPr>
                      <w:rFonts w:eastAsia="宋体"/>
                      <w:color w:val="000000"/>
                      <w:kern w:val="0"/>
                      <w:sz w:val="20"/>
                      <w:szCs w:val="20"/>
                      <w:lang w:eastAsia="zh-CN" w:bidi="ar-SA"/>
                    </w:rPr>
                  </w:pPr>
                  <w:r w:rsidRPr="00230008">
                    <w:rPr>
                      <w:rFonts w:eastAsia="宋体"/>
                      <w:color w:val="000000"/>
                      <w:kern w:val="0"/>
                      <w:sz w:val="20"/>
                      <w:szCs w:val="20"/>
                      <w:lang w:eastAsia="zh-CN" w:bidi="ar-SA"/>
                    </w:rPr>
                    <w:t>1.</w:t>
                  </w:r>
                  <w:r w:rsidRPr="00230008">
                    <w:rPr>
                      <w:rFonts w:ascii="楷体" w:eastAsia="楷体" w:hAnsi="楷体" w:hint="eastAsia"/>
                      <w:color w:val="000000"/>
                      <w:kern w:val="0"/>
                      <w:sz w:val="20"/>
                      <w:szCs w:val="20"/>
                      <w:lang w:eastAsia="zh-CN" w:bidi="ar-SA"/>
                    </w:rPr>
                    <w:t>外贸总体</w:t>
                  </w:r>
                </w:p>
              </w:tc>
              <w:tc>
                <w:tcPr>
                  <w:tcW w:w="861" w:type="dxa"/>
                  <w:tcBorders>
                    <w:top w:val="single" w:sz="4" w:space="0" w:color="auto"/>
                    <w:left w:val="nil"/>
                    <w:bottom w:val="nil"/>
                    <w:right w:val="nil"/>
                  </w:tcBorders>
                  <w:shd w:val="clear" w:color="000000" w:fill="74A3BA"/>
                  <w:noWrap/>
                  <w:vAlign w:val="center"/>
                </w:tcPr>
                <w:p w14:paraId="26518885" w14:textId="77777777" w:rsidR="00230008" w:rsidRPr="00230008" w:rsidRDefault="00230008" w:rsidP="00230008">
                  <w:pPr>
                    <w:spacing w:line="240" w:lineRule="auto"/>
                    <w:ind w:firstLineChars="0" w:firstLine="0"/>
                    <w:jc w:val="left"/>
                    <w:rPr>
                      <w:rFonts w:eastAsia="宋体"/>
                      <w:color w:val="000000"/>
                      <w:kern w:val="0"/>
                      <w:sz w:val="20"/>
                      <w:szCs w:val="20"/>
                      <w:lang w:eastAsia="zh-CN" w:bidi="ar-SA"/>
                    </w:rPr>
                  </w:pPr>
                  <w:r w:rsidRPr="00230008">
                    <w:rPr>
                      <w:rFonts w:eastAsia="宋体"/>
                      <w:color w:val="000000"/>
                      <w:kern w:val="0"/>
                      <w:sz w:val="20"/>
                      <w:szCs w:val="20"/>
                      <w:lang w:eastAsia="zh-CN" w:bidi="ar-SA"/>
                    </w:rPr>
                    <w:t xml:space="preserve">　</w:t>
                  </w:r>
                </w:p>
              </w:tc>
              <w:tc>
                <w:tcPr>
                  <w:tcW w:w="861" w:type="dxa"/>
                  <w:tcBorders>
                    <w:top w:val="single" w:sz="4" w:space="0" w:color="auto"/>
                    <w:left w:val="nil"/>
                    <w:bottom w:val="nil"/>
                    <w:right w:val="nil"/>
                  </w:tcBorders>
                  <w:shd w:val="clear" w:color="000000" w:fill="74A3BA"/>
                  <w:noWrap/>
                  <w:vAlign w:val="center"/>
                </w:tcPr>
                <w:p w14:paraId="20EF206C" w14:textId="77777777" w:rsidR="00230008" w:rsidRPr="00230008" w:rsidRDefault="00230008" w:rsidP="00230008">
                  <w:pPr>
                    <w:spacing w:line="240" w:lineRule="auto"/>
                    <w:ind w:firstLineChars="0" w:firstLine="0"/>
                    <w:jc w:val="left"/>
                    <w:rPr>
                      <w:rFonts w:eastAsia="宋体"/>
                      <w:color w:val="000000"/>
                      <w:kern w:val="0"/>
                      <w:sz w:val="20"/>
                      <w:szCs w:val="20"/>
                      <w:lang w:eastAsia="zh-CN" w:bidi="ar-SA"/>
                    </w:rPr>
                  </w:pPr>
                  <w:r w:rsidRPr="00230008">
                    <w:rPr>
                      <w:rFonts w:eastAsia="宋体"/>
                      <w:color w:val="000000"/>
                      <w:kern w:val="0"/>
                      <w:sz w:val="20"/>
                      <w:szCs w:val="20"/>
                      <w:lang w:eastAsia="zh-CN" w:bidi="ar-SA"/>
                    </w:rPr>
                    <w:t xml:space="preserve">　</w:t>
                  </w:r>
                </w:p>
              </w:tc>
              <w:tc>
                <w:tcPr>
                  <w:tcW w:w="861" w:type="dxa"/>
                  <w:tcBorders>
                    <w:top w:val="single" w:sz="4" w:space="0" w:color="auto"/>
                    <w:left w:val="nil"/>
                    <w:bottom w:val="nil"/>
                    <w:right w:val="nil"/>
                  </w:tcBorders>
                  <w:shd w:val="clear" w:color="000000" w:fill="74A3BA"/>
                  <w:noWrap/>
                  <w:vAlign w:val="center"/>
                </w:tcPr>
                <w:p w14:paraId="10BB9B5D" w14:textId="77777777" w:rsidR="00230008" w:rsidRPr="00230008" w:rsidRDefault="00230008" w:rsidP="00230008">
                  <w:pPr>
                    <w:spacing w:line="240" w:lineRule="auto"/>
                    <w:ind w:firstLineChars="0" w:firstLine="0"/>
                    <w:jc w:val="left"/>
                    <w:rPr>
                      <w:rFonts w:eastAsia="宋体"/>
                      <w:color w:val="000000"/>
                      <w:kern w:val="0"/>
                      <w:sz w:val="20"/>
                      <w:szCs w:val="20"/>
                      <w:lang w:eastAsia="zh-CN" w:bidi="ar-SA"/>
                    </w:rPr>
                  </w:pPr>
                  <w:r w:rsidRPr="00230008">
                    <w:rPr>
                      <w:rFonts w:eastAsia="宋体"/>
                      <w:color w:val="000000"/>
                      <w:kern w:val="0"/>
                      <w:sz w:val="20"/>
                      <w:szCs w:val="20"/>
                      <w:lang w:eastAsia="zh-CN" w:bidi="ar-SA"/>
                    </w:rPr>
                    <w:t xml:space="preserve">　</w:t>
                  </w:r>
                </w:p>
              </w:tc>
              <w:tc>
                <w:tcPr>
                  <w:tcW w:w="861" w:type="dxa"/>
                  <w:tcBorders>
                    <w:top w:val="single" w:sz="4" w:space="0" w:color="auto"/>
                    <w:left w:val="nil"/>
                    <w:bottom w:val="nil"/>
                    <w:right w:val="nil"/>
                  </w:tcBorders>
                  <w:shd w:val="clear" w:color="000000" w:fill="74A3BA"/>
                  <w:noWrap/>
                  <w:vAlign w:val="center"/>
                </w:tcPr>
                <w:p w14:paraId="0844073F" w14:textId="77777777" w:rsidR="00230008" w:rsidRPr="00230008" w:rsidRDefault="00230008" w:rsidP="00230008">
                  <w:pPr>
                    <w:spacing w:line="240" w:lineRule="auto"/>
                    <w:ind w:firstLineChars="0" w:firstLine="0"/>
                    <w:jc w:val="left"/>
                    <w:rPr>
                      <w:rFonts w:eastAsia="宋体"/>
                      <w:color w:val="000000"/>
                      <w:kern w:val="0"/>
                      <w:sz w:val="20"/>
                      <w:szCs w:val="20"/>
                      <w:lang w:eastAsia="zh-CN" w:bidi="ar-SA"/>
                    </w:rPr>
                  </w:pPr>
                  <w:r w:rsidRPr="00230008">
                    <w:rPr>
                      <w:rFonts w:eastAsia="宋体"/>
                      <w:color w:val="000000"/>
                      <w:kern w:val="0"/>
                      <w:sz w:val="20"/>
                      <w:szCs w:val="20"/>
                      <w:lang w:eastAsia="zh-CN" w:bidi="ar-SA"/>
                    </w:rPr>
                    <w:t xml:space="preserve">　</w:t>
                  </w:r>
                </w:p>
              </w:tc>
              <w:tc>
                <w:tcPr>
                  <w:tcW w:w="861" w:type="dxa"/>
                  <w:tcBorders>
                    <w:top w:val="single" w:sz="4" w:space="0" w:color="auto"/>
                    <w:left w:val="nil"/>
                    <w:bottom w:val="nil"/>
                    <w:right w:val="nil"/>
                  </w:tcBorders>
                  <w:shd w:val="clear" w:color="000000" w:fill="74A3BA"/>
                  <w:noWrap/>
                  <w:vAlign w:val="center"/>
                </w:tcPr>
                <w:p w14:paraId="34D6A1CD" w14:textId="77777777" w:rsidR="00230008" w:rsidRPr="00230008" w:rsidRDefault="00230008" w:rsidP="00230008">
                  <w:pPr>
                    <w:spacing w:line="240" w:lineRule="auto"/>
                    <w:ind w:firstLineChars="0" w:firstLine="0"/>
                    <w:jc w:val="left"/>
                    <w:rPr>
                      <w:rFonts w:eastAsia="宋体"/>
                      <w:color w:val="000000"/>
                      <w:kern w:val="0"/>
                      <w:sz w:val="20"/>
                      <w:szCs w:val="20"/>
                      <w:lang w:eastAsia="zh-CN" w:bidi="ar-SA"/>
                    </w:rPr>
                  </w:pPr>
                  <w:r w:rsidRPr="00230008">
                    <w:rPr>
                      <w:rFonts w:eastAsia="宋体"/>
                      <w:color w:val="000000"/>
                      <w:kern w:val="0"/>
                      <w:sz w:val="20"/>
                      <w:szCs w:val="20"/>
                      <w:lang w:eastAsia="zh-CN" w:bidi="ar-SA"/>
                    </w:rPr>
                    <w:t xml:space="preserve">　</w:t>
                  </w:r>
                </w:p>
              </w:tc>
              <w:tc>
                <w:tcPr>
                  <w:tcW w:w="861" w:type="dxa"/>
                  <w:tcBorders>
                    <w:top w:val="single" w:sz="4" w:space="0" w:color="auto"/>
                    <w:left w:val="nil"/>
                    <w:bottom w:val="nil"/>
                    <w:right w:val="nil"/>
                  </w:tcBorders>
                  <w:shd w:val="clear" w:color="000000" w:fill="74A3BA"/>
                  <w:noWrap/>
                  <w:vAlign w:val="center"/>
                </w:tcPr>
                <w:p w14:paraId="290A0BDE" w14:textId="77777777" w:rsidR="00230008" w:rsidRPr="00230008" w:rsidRDefault="00230008" w:rsidP="00230008">
                  <w:pPr>
                    <w:spacing w:line="240" w:lineRule="auto"/>
                    <w:ind w:firstLineChars="0" w:firstLine="0"/>
                    <w:jc w:val="left"/>
                    <w:rPr>
                      <w:rFonts w:eastAsia="宋体"/>
                      <w:color w:val="000000"/>
                      <w:kern w:val="0"/>
                      <w:sz w:val="20"/>
                      <w:szCs w:val="20"/>
                      <w:lang w:eastAsia="zh-CN" w:bidi="ar-SA"/>
                    </w:rPr>
                  </w:pPr>
                  <w:r w:rsidRPr="00230008">
                    <w:rPr>
                      <w:rFonts w:eastAsia="宋体"/>
                      <w:color w:val="000000"/>
                      <w:kern w:val="0"/>
                      <w:sz w:val="20"/>
                      <w:szCs w:val="20"/>
                      <w:lang w:eastAsia="zh-CN" w:bidi="ar-SA"/>
                    </w:rPr>
                    <w:t xml:space="preserve">　</w:t>
                  </w:r>
                </w:p>
              </w:tc>
            </w:tr>
            <w:tr w:rsidR="00230008" w:rsidRPr="00230008" w14:paraId="76A4188E" w14:textId="77777777" w:rsidTr="00D72849">
              <w:trPr>
                <w:trHeight w:val="312"/>
                <w:jc w:val="center"/>
              </w:trPr>
              <w:tc>
                <w:tcPr>
                  <w:tcW w:w="1416" w:type="dxa"/>
                  <w:tcBorders>
                    <w:top w:val="nil"/>
                    <w:left w:val="nil"/>
                    <w:bottom w:val="nil"/>
                    <w:right w:val="nil"/>
                  </w:tcBorders>
                  <w:shd w:val="clear" w:color="000000" w:fill="74A3BA"/>
                  <w:noWrap/>
                  <w:vAlign w:val="center"/>
                </w:tcPr>
                <w:p w14:paraId="28119BB8" w14:textId="77777777" w:rsidR="00230008" w:rsidRPr="00230008" w:rsidRDefault="00230008" w:rsidP="00230008">
                  <w:pPr>
                    <w:spacing w:line="240" w:lineRule="auto"/>
                    <w:ind w:firstLineChars="0" w:firstLine="0"/>
                    <w:jc w:val="left"/>
                    <w:rPr>
                      <w:rFonts w:eastAsia="宋体"/>
                      <w:color w:val="000000"/>
                      <w:kern w:val="0"/>
                      <w:sz w:val="20"/>
                      <w:szCs w:val="20"/>
                      <w:lang w:eastAsia="zh-CN" w:bidi="ar-SA"/>
                    </w:rPr>
                  </w:pPr>
                  <w:r w:rsidRPr="00230008">
                    <w:rPr>
                      <w:rFonts w:eastAsia="宋体"/>
                      <w:color w:val="000000"/>
                      <w:kern w:val="0"/>
                      <w:sz w:val="20"/>
                      <w:szCs w:val="20"/>
                      <w:lang w:eastAsia="zh-CN" w:bidi="ar-SA"/>
                    </w:rPr>
                    <w:t xml:space="preserve">　</w:t>
                  </w:r>
                </w:p>
              </w:tc>
              <w:tc>
                <w:tcPr>
                  <w:tcW w:w="2583" w:type="dxa"/>
                  <w:gridSpan w:val="3"/>
                  <w:tcBorders>
                    <w:top w:val="nil"/>
                    <w:left w:val="nil"/>
                    <w:bottom w:val="nil"/>
                    <w:right w:val="nil"/>
                  </w:tcBorders>
                  <w:shd w:val="clear" w:color="000000" w:fill="74A3BA"/>
                  <w:noWrap/>
                  <w:vAlign w:val="center"/>
                </w:tcPr>
                <w:p w14:paraId="468F9ED6" w14:textId="77777777" w:rsidR="00230008" w:rsidRPr="00230008" w:rsidRDefault="00230008" w:rsidP="00230008">
                  <w:pPr>
                    <w:spacing w:line="240" w:lineRule="auto"/>
                    <w:ind w:firstLineChars="0" w:firstLine="0"/>
                    <w:jc w:val="center"/>
                    <w:rPr>
                      <w:rFonts w:eastAsia="宋体"/>
                      <w:color w:val="000000"/>
                      <w:kern w:val="0"/>
                      <w:sz w:val="20"/>
                      <w:szCs w:val="20"/>
                      <w:lang w:eastAsia="zh-CN" w:bidi="ar-SA"/>
                    </w:rPr>
                  </w:pPr>
                  <w:r w:rsidRPr="00230008">
                    <w:rPr>
                      <w:rFonts w:ascii="楷体" w:eastAsia="楷体" w:hAnsi="楷体" w:hint="eastAsia"/>
                      <w:color w:val="000000"/>
                      <w:kern w:val="0"/>
                      <w:sz w:val="20"/>
                      <w:szCs w:val="20"/>
                      <w:lang w:eastAsia="zh-CN" w:bidi="ar-SA"/>
                    </w:rPr>
                    <w:t>（美元同比</w:t>
                  </w:r>
                  <w:r w:rsidRPr="00230008">
                    <w:rPr>
                      <w:rFonts w:eastAsia="宋体"/>
                      <w:color w:val="000000"/>
                      <w:kern w:val="0"/>
                      <w:sz w:val="20"/>
                      <w:szCs w:val="20"/>
                      <w:lang w:eastAsia="zh-CN" w:bidi="ar-SA"/>
                    </w:rPr>
                    <w:t>/%</w:t>
                  </w:r>
                  <w:r w:rsidRPr="00230008">
                    <w:rPr>
                      <w:rFonts w:ascii="楷体" w:eastAsia="楷体" w:hAnsi="楷体" w:hint="eastAsia"/>
                      <w:color w:val="000000"/>
                      <w:kern w:val="0"/>
                      <w:sz w:val="20"/>
                      <w:szCs w:val="20"/>
                      <w:lang w:eastAsia="zh-CN" w:bidi="ar-SA"/>
                    </w:rPr>
                    <w:t>、亿美元）</w:t>
                  </w:r>
                </w:p>
              </w:tc>
              <w:tc>
                <w:tcPr>
                  <w:tcW w:w="2583" w:type="dxa"/>
                  <w:gridSpan w:val="3"/>
                  <w:tcBorders>
                    <w:top w:val="nil"/>
                    <w:left w:val="nil"/>
                    <w:bottom w:val="nil"/>
                    <w:right w:val="nil"/>
                  </w:tcBorders>
                  <w:shd w:val="clear" w:color="000000" w:fill="74A3BA"/>
                  <w:noWrap/>
                  <w:vAlign w:val="center"/>
                </w:tcPr>
                <w:p w14:paraId="0ECD578B" w14:textId="77777777" w:rsidR="00230008" w:rsidRPr="00230008" w:rsidRDefault="00230008" w:rsidP="00230008">
                  <w:pPr>
                    <w:spacing w:line="240" w:lineRule="auto"/>
                    <w:ind w:firstLineChars="0" w:firstLine="0"/>
                    <w:jc w:val="center"/>
                    <w:rPr>
                      <w:rFonts w:eastAsia="宋体"/>
                      <w:color w:val="000000"/>
                      <w:kern w:val="0"/>
                      <w:sz w:val="20"/>
                      <w:szCs w:val="20"/>
                      <w:lang w:eastAsia="zh-CN" w:bidi="ar-SA"/>
                    </w:rPr>
                  </w:pPr>
                  <w:r w:rsidRPr="00230008">
                    <w:rPr>
                      <w:rFonts w:ascii="楷体" w:eastAsia="楷体" w:hAnsi="楷体" w:hint="eastAsia"/>
                      <w:color w:val="000000"/>
                      <w:kern w:val="0"/>
                      <w:sz w:val="20"/>
                      <w:szCs w:val="20"/>
                      <w:lang w:eastAsia="zh-CN" w:bidi="ar-SA"/>
                    </w:rPr>
                    <w:t>（美元同比</w:t>
                  </w:r>
                  <w:r w:rsidRPr="00230008">
                    <w:rPr>
                      <w:rFonts w:eastAsia="宋体"/>
                      <w:color w:val="000000"/>
                      <w:kern w:val="0"/>
                      <w:sz w:val="20"/>
                      <w:szCs w:val="20"/>
                      <w:lang w:eastAsia="zh-CN" w:bidi="ar-SA"/>
                    </w:rPr>
                    <w:t>/%</w:t>
                  </w:r>
                  <w:r w:rsidRPr="00230008">
                    <w:rPr>
                      <w:rFonts w:ascii="楷体" w:eastAsia="楷体" w:hAnsi="楷体" w:hint="eastAsia"/>
                      <w:color w:val="000000"/>
                      <w:kern w:val="0"/>
                      <w:sz w:val="20"/>
                      <w:szCs w:val="20"/>
                      <w:lang w:eastAsia="zh-CN" w:bidi="ar-SA"/>
                    </w:rPr>
                    <w:t>、亿美元）</w:t>
                  </w:r>
                </w:p>
              </w:tc>
            </w:tr>
            <w:tr w:rsidR="00230008" w:rsidRPr="00230008" w14:paraId="18FEB527" w14:textId="77777777" w:rsidTr="00D72849">
              <w:trPr>
                <w:trHeight w:val="312"/>
                <w:jc w:val="center"/>
              </w:trPr>
              <w:tc>
                <w:tcPr>
                  <w:tcW w:w="1416" w:type="dxa"/>
                  <w:tcBorders>
                    <w:top w:val="nil"/>
                    <w:left w:val="nil"/>
                    <w:bottom w:val="single" w:sz="4" w:space="0" w:color="auto"/>
                    <w:right w:val="nil"/>
                  </w:tcBorders>
                  <w:shd w:val="clear" w:color="000000" w:fill="74A3BA"/>
                  <w:noWrap/>
                  <w:vAlign w:val="center"/>
                </w:tcPr>
                <w:p w14:paraId="104EEE1C" w14:textId="77777777" w:rsidR="00230008" w:rsidRPr="00230008" w:rsidRDefault="00230008" w:rsidP="00230008">
                  <w:pPr>
                    <w:spacing w:line="240" w:lineRule="auto"/>
                    <w:ind w:firstLineChars="0" w:firstLine="0"/>
                    <w:jc w:val="left"/>
                    <w:rPr>
                      <w:rFonts w:eastAsia="宋体"/>
                      <w:color w:val="000000"/>
                      <w:kern w:val="0"/>
                      <w:sz w:val="20"/>
                      <w:szCs w:val="20"/>
                      <w:lang w:eastAsia="zh-CN" w:bidi="ar-SA"/>
                    </w:rPr>
                  </w:pPr>
                  <w:r w:rsidRPr="00230008">
                    <w:rPr>
                      <w:rFonts w:eastAsia="宋体"/>
                      <w:color w:val="000000"/>
                      <w:kern w:val="0"/>
                      <w:sz w:val="20"/>
                      <w:szCs w:val="20"/>
                      <w:lang w:eastAsia="zh-CN" w:bidi="ar-SA"/>
                    </w:rPr>
                    <w:t xml:space="preserve">　</w:t>
                  </w:r>
                </w:p>
              </w:tc>
              <w:tc>
                <w:tcPr>
                  <w:tcW w:w="861" w:type="dxa"/>
                  <w:tcBorders>
                    <w:top w:val="nil"/>
                    <w:left w:val="nil"/>
                    <w:bottom w:val="single" w:sz="4" w:space="0" w:color="auto"/>
                    <w:right w:val="nil"/>
                  </w:tcBorders>
                  <w:shd w:val="clear" w:color="000000" w:fill="74A3BA"/>
                  <w:noWrap/>
                  <w:vAlign w:val="center"/>
                </w:tcPr>
                <w:p w14:paraId="3F1158A7"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2024Q3</w:t>
                  </w:r>
                </w:p>
              </w:tc>
              <w:tc>
                <w:tcPr>
                  <w:tcW w:w="861" w:type="dxa"/>
                  <w:tcBorders>
                    <w:top w:val="nil"/>
                    <w:left w:val="nil"/>
                    <w:bottom w:val="single" w:sz="4" w:space="0" w:color="auto"/>
                    <w:right w:val="nil"/>
                  </w:tcBorders>
                  <w:shd w:val="clear" w:color="000000" w:fill="74A3BA"/>
                  <w:noWrap/>
                  <w:vAlign w:val="center"/>
                </w:tcPr>
                <w:p w14:paraId="1782C627"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2024Q4</w:t>
                  </w:r>
                </w:p>
              </w:tc>
              <w:tc>
                <w:tcPr>
                  <w:tcW w:w="861" w:type="dxa"/>
                  <w:tcBorders>
                    <w:top w:val="nil"/>
                    <w:left w:val="nil"/>
                    <w:bottom w:val="single" w:sz="4" w:space="0" w:color="auto"/>
                    <w:right w:val="nil"/>
                  </w:tcBorders>
                  <w:shd w:val="clear" w:color="000000" w:fill="74A3BA"/>
                  <w:noWrap/>
                  <w:vAlign w:val="center"/>
                </w:tcPr>
                <w:p w14:paraId="0EF88496"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2025Q1</w:t>
                  </w:r>
                </w:p>
              </w:tc>
              <w:tc>
                <w:tcPr>
                  <w:tcW w:w="861" w:type="dxa"/>
                  <w:tcBorders>
                    <w:top w:val="nil"/>
                    <w:left w:val="nil"/>
                    <w:bottom w:val="single" w:sz="4" w:space="0" w:color="auto"/>
                    <w:right w:val="nil"/>
                  </w:tcBorders>
                  <w:shd w:val="clear" w:color="000000" w:fill="74A3BA"/>
                  <w:noWrap/>
                  <w:vAlign w:val="center"/>
                </w:tcPr>
                <w:p w14:paraId="6F032DBB"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2022</w:t>
                  </w:r>
                </w:p>
              </w:tc>
              <w:tc>
                <w:tcPr>
                  <w:tcW w:w="861" w:type="dxa"/>
                  <w:tcBorders>
                    <w:top w:val="nil"/>
                    <w:left w:val="nil"/>
                    <w:bottom w:val="single" w:sz="4" w:space="0" w:color="auto"/>
                    <w:right w:val="nil"/>
                  </w:tcBorders>
                  <w:shd w:val="clear" w:color="000000" w:fill="74A3BA"/>
                  <w:noWrap/>
                  <w:vAlign w:val="center"/>
                </w:tcPr>
                <w:p w14:paraId="67FE4476"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2023</w:t>
                  </w:r>
                </w:p>
              </w:tc>
              <w:tc>
                <w:tcPr>
                  <w:tcW w:w="861" w:type="dxa"/>
                  <w:tcBorders>
                    <w:top w:val="nil"/>
                    <w:left w:val="nil"/>
                    <w:bottom w:val="single" w:sz="4" w:space="0" w:color="auto"/>
                    <w:right w:val="nil"/>
                  </w:tcBorders>
                  <w:shd w:val="clear" w:color="000000" w:fill="74A3BA"/>
                  <w:noWrap/>
                  <w:vAlign w:val="center"/>
                </w:tcPr>
                <w:p w14:paraId="20954181"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2024</w:t>
                  </w:r>
                </w:p>
              </w:tc>
            </w:tr>
            <w:tr w:rsidR="00230008" w:rsidRPr="00230008" w14:paraId="08C8F960" w14:textId="77777777" w:rsidTr="00D72849">
              <w:trPr>
                <w:trHeight w:val="312"/>
                <w:jc w:val="center"/>
              </w:trPr>
              <w:tc>
                <w:tcPr>
                  <w:tcW w:w="1416" w:type="dxa"/>
                  <w:tcBorders>
                    <w:top w:val="nil"/>
                    <w:left w:val="nil"/>
                    <w:bottom w:val="nil"/>
                    <w:right w:val="nil"/>
                  </w:tcBorders>
                  <w:shd w:val="clear" w:color="auto" w:fill="auto"/>
                  <w:noWrap/>
                  <w:vAlign w:val="center"/>
                </w:tcPr>
                <w:p w14:paraId="7E7850FC" w14:textId="77777777" w:rsidR="00230008" w:rsidRPr="00230008" w:rsidRDefault="00230008" w:rsidP="00230008">
                  <w:pPr>
                    <w:spacing w:line="240" w:lineRule="auto"/>
                    <w:ind w:firstLineChars="0" w:firstLine="0"/>
                    <w:jc w:val="left"/>
                    <w:rPr>
                      <w:rFonts w:eastAsia="宋体"/>
                      <w:color w:val="000000"/>
                      <w:kern w:val="0"/>
                      <w:sz w:val="20"/>
                      <w:szCs w:val="20"/>
                      <w:lang w:eastAsia="zh-CN" w:bidi="ar-SA"/>
                    </w:rPr>
                  </w:pPr>
                  <w:r w:rsidRPr="00230008">
                    <w:rPr>
                      <w:rFonts w:ascii="楷体" w:eastAsia="楷体" w:hAnsi="楷体" w:hint="eastAsia"/>
                      <w:color w:val="000000"/>
                      <w:kern w:val="0"/>
                      <w:sz w:val="20"/>
                      <w:szCs w:val="20"/>
                      <w:lang w:eastAsia="zh-CN" w:bidi="ar-SA"/>
                    </w:rPr>
                    <w:t>出口</w:t>
                  </w:r>
                </w:p>
              </w:tc>
              <w:tc>
                <w:tcPr>
                  <w:tcW w:w="861" w:type="dxa"/>
                  <w:tcBorders>
                    <w:top w:val="nil"/>
                    <w:left w:val="nil"/>
                    <w:bottom w:val="nil"/>
                    <w:right w:val="nil"/>
                  </w:tcBorders>
                  <w:shd w:val="clear" w:color="auto" w:fill="auto"/>
                  <w:noWrap/>
                  <w:vAlign w:val="center"/>
                </w:tcPr>
                <w:p w14:paraId="68C7E01C"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5.4</w:t>
                  </w:r>
                </w:p>
              </w:tc>
              <w:tc>
                <w:tcPr>
                  <w:tcW w:w="861" w:type="dxa"/>
                  <w:tcBorders>
                    <w:top w:val="nil"/>
                    <w:left w:val="nil"/>
                    <w:bottom w:val="nil"/>
                    <w:right w:val="nil"/>
                  </w:tcBorders>
                  <w:shd w:val="clear" w:color="auto" w:fill="auto"/>
                  <w:noWrap/>
                  <w:vAlign w:val="center"/>
                </w:tcPr>
                <w:p w14:paraId="56ED8915"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10</w:t>
                  </w:r>
                </w:p>
              </w:tc>
              <w:tc>
                <w:tcPr>
                  <w:tcW w:w="861" w:type="dxa"/>
                  <w:tcBorders>
                    <w:top w:val="nil"/>
                    <w:left w:val="nil"/>
                    <w:bottom w:val="nil"/>
                    <w:right w:val="nil"/>
                  </w:tcBorders>
                  <w:shd w:val="clear" w:color="auto" w:fill="auto"/>
                  <w:noWrap/>
                  <w:vAlign w:val="center"/>
                </w:tcPr>
                <w:p w14:paraId="71B0CE95"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5.7</w:t>
                  </w:r>
                </w:p>
              </w:tc>
              <w:tc>
                <w:tcPr>
                  <w:tcW w:w="861" w:type="dxa"/>
                  <w:tcBorders>
                    <w:top w:val="nil"/>
                    <w:left w:val="nil"/>
                    <w:bottom w:val="nil"/>
                    <w:right w:val="nil"/>
                  </w:tcBorders>
                  <w:shd w:val="clear" w:color="auto" w:fill="auto"/>
                  <w:noWrap/>
                  <w:vAlign w:val="center"/>
                </w:tcPr>
                <w:p w14:paraId="26F20FCF"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6.9</w:t>
                  </w:r>
                </w:p>
              </w:tc>
              <w:tc>
                <w:tcPr>
                  <w:tcW w:w="861" w:type="dxa"/>
                  <w:tcBorders>
                    <w:top w:val="nil"/>
                    <w:left w:val="nil"/>
                    <w:bottom w:val="nil"/>
                    <w:right w:val="nil"/>
                  </w:tcBorders>
                  <w:shd w:val="clear" w:color="auto" w:fill="auto"/>
                  <w:noWrap/>
                  <w:vAlign w:val="center"/>
                </w:tcPr>
                <w:p w14:paraId="2F553E69"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-4.7</w:t>
                  </w:r>
                </w:p>
              </w:tc>
              <w:tc>
                <w:tcPr>
                  <w:tcW w:w="861" w:type="dxa"/>
                  <w:tcBorders>
                    <w:top w:val="nil"/>
                    <w:left w:val="nil"/>
                    <w:bottom w:val="nil"/>
                    <w:right w:val="nil"/>
                  </w:tcBorders>
                  <w:shd w:val="clear" w:color="auto" w:fill="auto"/>
                  <w:noWrap/>
                  <w:vAlign w:val="center"/>
                </w:tcPr>
                <w:p w14:paraId="7447FD2F"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5.8</w:t>
                  </w:r>
                </w:p>
              </w:tc>
            </w:tr>
            <w:tr w:rsidR="00230008" w:rsidRPr="00230008" w14:paraId="4BF40440" w14:textId="77777777" w:rsidTr="00D72849">
              <w:trPr>
                <w:trHeight w:val="288"/>
                <w:jc w:val="center"/>
              </w:trPr>
              <w:tc>
                <w:tcPr>
                  <w:tcW w:w="1416" w:type="dxa"/>
                  <w:tcBorders>
                    <w:top w:val="nil"/>
                    <w:left w:val="nil"/>
                    <w:bottom w:val="nil"/>
                    <w:right w:val="nil"/>
                  </w:tcBorders>
                  <w:shd w:val="clear" w:color="auto" w:fill="auto"/>
                  <w:noWrap/>
                  <w:vAlign w:val="center"/>
                </w:tcPr>
                <w:p w14:paraId="211390BF" w14:textId="77777777" w:rsidR="00230008" w:rsidRPr="00230008" w:rsidRDefault="00230008" w:rsidP="00230008">
                  <w:pPr>
                    <w:spacing w:line="240" w:lineRule="auto"/>
                    <w:ind w:firstLineChars="0" w:firstLine="0"/>
                    <w:jc w:val="left"/>
                    <w:rPr>
                      <w:rFonts w:eastAsia="宋体"/>
                      <w:color w:val="000000"/>
                      <w:kern w:val="0"/>
                      <w:sz w:val="20"/>
                      <w:szCs w:val="20"/>
                      <w:lang w:eastAsia="zh-CN" w:bidi="ar-SA"/>
                    </w:rPr>
                  </w:pPr>
                  <w:r w:rsidRPr="00230008">
                    <w:rPr>
                      <w:rFonts w:ascii="楷体" w:eastAsia="楷体" w:hAnsi="楷体" w:hint="eastAsia"/>
                      <w:color w:val="000000"/>
                      <w:kern w:val="0"/>
                      <w:sz w:val="20"/>
                      <w:szCs w:val="20"/>
                      <w:lang w:eastAsia="zh-CN" w:bidi="ar-SA"/>
                    </w:rPr>
                    <w:t>进口</w:t>
                  </w:r>
                </w:p>
              </w:tc>
              <w:tc>
                <w:tcPr>
                  <w:tcW w:w="861" w:type="dxa"/>
                  <w:tcBorders>
                    <w:top w:val="nil"/>
                    <w:left w:val="nil"/>
                    <w:bottom w:val="nil"/>
                    <w:right w:val="nil"/>
                  </w:tcBorders>
                  <w:shd w:val="clear" w:color="auto" w:fill="auto"/>
                  <w:noWrap/>
                  <w:vAlign w:val="center"/>
                </w:tcPr>
                <w:p w14:paraId="06A4C40F"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2.6</w:t>
                  </w:r>
                </w:p>
              </w:tc>
              <w:tc>
                <w:tcPr>
                  <w:tcW w:w="861" w:type="dxa"/>
                  <w:tcBorders>
                    <w:top w:val="nil"/>
                    <w:left w:val="nil"/>
                    <w:bottom w:val="nil"/>
                    <w:right w:val="nil"/>
                  </w:tcBorders>
                  <w:shd w:val="clear" w:color="auto" w:fill="auto"/>
                  <w:noWrap/>
                  <w:vAlign w:val="center"/>
                </w:tcPr>
                <w:p w14:paraId="7A0230AA"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-1.7</w:t>
                  </w:r>
                </w:p>
              </w:tc>
              <w:tc>
                <w:tcPr>
                  <w:tcW w:w="861" w:type="dxa"/>
                  <w:tcBorders>
                    <w:top w:val="nil"/>
                    <w:left w:val="nil"/>
                    <w:bottom w:val="nil"/>
                    <w:right w:val="nil"/>
                  </w:tcBorders>
                  <w:shd w:val="clear" w:color="auto" w:fill="auto"/>
                  <w:noWrap/>
                  <w:vAlign w:val="center"/>
                </w:tcPr>
                <w:p w14:paraId="4111D2F5"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-6.9</w:t>
                  </w:r>
                </w:p>
              </w:tc>
              <w:tc>
                <w:tcPr>
                  <w:tcW w:w="861" w:type="dxa"/>
                  <w:tcBorders>
                    <w:top w:val="nil"/>
                    <w:left w:val="nil"/>
                    <w:bottom w:val="nil"/>
                    <w:right w:val="nil"/>
                  </w:tcBorders>
                  <w:shd w:val="clear" w:color="auto" w:fill="auto"/>
                  <w:noWrap/>
                  <w:vAlign w:val="center"/>
                </w:tcPr>
                <w:p w14:paraId="63D6DBBD"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1.0</w:t>
                  </w:r>
                </w:p>
              </w:tc>
              <w:tc>
                <w:tcPr>
                  <w:tcW w:w="861" w:type="dxa"/>
                  <w:tcBorders>
                    <w:top w:val="nil"/>
                    <w:left w:val="nil"/>
                    <w:bottom w:val="nil"/>
                    <w:right w:val="nil"/>
                  </w:tcBorders>
                  <w:shd w:val="clear" w:color="auto" w:fill="auto"/>
                  <w:noWrap/>
                  <w:vAlign w:val="center"/>
                </w:tcPr>
                <w:p w14:paraId="44B8E097"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-5.5</w:t>
                  </w:r>
                </w:p>
              </w:tc>
              <w:tc>
                <w:tcPr>
                  <w:tcW w:w="861" w:type="dxa"/>
                  <w:tcBorders>
                    <w:top w:val="nil"/>
                    <w:left w:val="nil"/>
                    <w:bottom w:val="nil"/>
                    <w:right w:val="nil"/>
                  </w:tcBorders>
                  <w:shd w:val="clear" w:color="auto" w:fill="auto"/>
                  <w:noWrap/>
                  <w:vAlign w:val="center"/>
                </w:tcPr>
                <w:p w14:paraId="038CCF29"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1.1</w:t>
                  </w:r>
                </w:p>
              </w:tc>
            </w:tr>
            <w:tr w:rsidR="00230008" w:rsidRPr="00230008" w14:paraId="17785231" w14:textId="77777777" w:rsidTr="00D72849">
              <w:trPr>
                <w:trHeight w:val="288"/>
                <w:jc w:val="center"/>
              </w:trPr>
              <w:tc>
                <w:tcPr>
                  <w:tcW w:w="1416" w:type="dxa"/>
                  <w:tcBorders>
                    <w:top w:val="nil"/>
                    <w:left w:val="nil"/>
                    <w:bottom w:val="nil"/>
                    <w:right w:val="nil"/>
                  </w:tcBorders>
                  <w:shd w:val="clear" w:color="auto" w:fill="auto"/>
                  <w:noWrap/>
                  <w:vAlign w:val="center"/>
                </w:tcPr>
                <w:p w14:paraId="6B53F978" w14:textId="77777777" w:rsidR="00230008" w:rsidRPr="00230008" w:rsidRDefault="00230008" w:rsidP="00230008">
                  <w:pPr>
                    <w:spacing w:line="240" w:lineRule="auto"/>
                    <w:ind w:firstLineChars="0" w:firstLine="0"/>
                    <w:jc w:val="left"/>
                    <w:rPr>
                      <w:rFonts w:eastAsia="宋体"/>
                      <w:color w:val="000000"/>
                      <w:kern w:val="0"/>
                      <w:sz w:val="20"/>
                      <w:szCs w:val="20"/>
                      <w:lang w:eastAsia="zh-CN" w:bidi="ar-SA"/>
                    </w:rPr>
                  </w:pPr>
                  <w:r w:rsidRPr="00230008">
                    <w:rPr>
                      <w:rFonts w:ascii="楷体" w:eastAsia="楷体" w:hAnsi="楷体" w:hint="eastAsia"/>
                      <w:color w:val="000000"/>
                      <w:kern w:val="0"/>
                      <w:sz w:val="20"/>
                      <w:szCs w:val="20"/>
                      <w:lang w:eastAsia="zh-CN" w:bidi="ar-SA"/>
                    </w:rPr>
                    <w:t>出口额</w:t>
                  </w:r>
                </w:p>
              </w:tc>
              <w:tc>
                <w:tcPr>
                  <w:tcW w:w="861" w:type="dxa"/>
                  <w:tcBorders>
                    <w:top w:val="nil"/>
                    <w:left w:val="nil"/>
                    <w:bottom w:val="nil"/>
                    <w:right w:val="nil"/>
                  </w:tcBorders>
                  <w:shd w:val="clear" w:color="auto" w:fill="auto"/>
                  <w:noWrap/>
                  <w:vAlign w:val="center"/>
                </w:tcPr>
                <w:p w14:paraId="0F9651DB"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9120</w:t>
                  </w:r>
                </w:p>
              </w:tc>
              <w:tc>
                <w:tcPr>
                  <w:tcW w:w="861" w:type="dxa"/>
                  <w:tcBorders>
                    <w:top w:val="nil"/>
                    <w:left w:val="nil"/>
                    <w:bottom w:val="nil"/>
                    <w:right w:val="nil"/>
                  </w:tcBorders>
                  <w:shd w:val="clear" w:color="auto" w:fill="auto"/>
                  <w:noWrap/>
                  <w:vAlign w:val="center"/>
                </w:tcPr>
                <w:p w14:paraId="14CEE958"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9565</w:t>
                  </w:r>
                </w:p>
              </w:tc>
              <w:tc>
                <w:tcPr>
                  <w:tcW w:w="861" w:type="dxa"/>
                  <w:tcBorders>
                    <w:top w:val="nil"/>
                    <w:left w:val="nil"/>
                    <w:bottom w:val="nil"/>
                    <w:right w:val="nil"/>
                  </w:tcBorders>
                  <w:shd w:val="clear" w:color="auto" w:fill="auto"/>
                  <w:noWrap/>
                  <w:vAlign w:val="center"/>
                </w:tcPr>
                <w:p w14:paraId="60DAA3F1"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8537</w:t>
                  </w:r>
                </w:p>
              </w:tc>
              <w:tc>
                <w:tcPr>
                  <w:tcW w:w="861" w:type="dxa"/>
                  <w:tcBorders>
                    <w:top w:val="nil"/>
                    <w:left w:val="nil"/>
                    <w:bottom w:val="nil"/>
                    <w:right w:val="nil"/>
                  </w:tcBorders>
                  <w:shd w:val="clear" w:color="auto" w:fill="auto"/>
                  <w:noWrap/>
                  <w:vAlign w:val="center"/>
                </w:tcPr>
                <w:p w14:paraId="3ED03FA0"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35444</w:t>
                  </w:r>
                </w:p>
              </w:tc>
              <w:tc>
                <w:tcPr>
                  <w:tcW w:w="861" w:type="dxa"/>
                  <w:tcBorders>
                    <w:top w:val="nil"/>
                    <w:left w:val="nil"/>
                    <w:bottom w:val="nil"/>
                    <w:right w:val="nil"/>
                  </w:tcBorders>
                  <w:shd w:val="clear" w:color="auto" w:fill="auto"/>
                  <w:noWrap/>
                  <w:vAlign w:val="center"/>
                </w:tcPr>
                <w:p w14:paraId="5625A641"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33790</w:t>
                  </w:r>
                </w:p>
              </w:tc>
              <w:tc>
                <w:tcPr>
                  <w:tcW w:w="861" w:type="dxa"/>
                  <w:tcBorders>
                    <w:top w:val="nil"/>
                    <w:left w:val="nil"/>
                    <w:bottom w:val="nil"/>
                    <w:right w:val="nil"/>
                  </w:tcBorders>
                  <w:shd w:val="clear" w:color="auto" w:fill="auto"/>
                  <w:noWrap/>
                  <w:vAlign w:val="center"/>
                </w:tcPr>
                <w:p w14:paraId="7D67F03D"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35766</w:t>
                  </w:r>
                </w:p>
              </w:tc>
            </w:tr>
            <w:tr w:rsidR="00230008" w:rsidRPr="00230008" w14:paraId="21E78C54" w14:textId="77777777" w:rsidTr="00D72849">
              <w:trPr>
                <w:trHeight w:val="288"/>
                <w:jc w:val="center"/>
              </w:trPr>
              <w:tc>
                <w:tcPr>
                  <w:tcW w:w="1416" w:type="dxa"/>
                  <w:tcBorders>
                    <w:top w:val="nil"/>
                    <w:left w:val="nil"/>
                    <w:bottom w:val="nil"/>
                    <w:right w:val="nil"/>
                  </w:tcBorders>
                  <w:shd w:val="clear" w:color="auto" w:fill="auto"/>
                  <w:noWrap/>
                  <w:vAlign w:val="center"/>
                </w:tcPr>
                <w:p w14:paraId="7DF5E95B" w14:textId="77777777" w:rsidR="00230008" w:rsidRPr="00230008" w:rsidRDefault="00230008" w:rsidP="00230008">
                  <w:pPr>
                    <w:spacing w:line="240" w:lineRule="auto"/>
                    <w:ind w:firstLineChars="0" w:firstLine="0"/>
                    <w:jc w:val="left"/>
                    <w:rPr>
                      <w:rFonts w:eastAsia="宋体"/>
                      <w:color w:val="000000"/>
                      <w:kern w:val="0"/>
                      <w:sz w:val="20"/>
                      <w:szCs w:val="20"/>
                      <w:lang w:eastAsia="zh-CN" w:bidi="ar-SA"/>
                    </w:rPr>
                  </w:pPr>
                  <w:r w:rsidRPr="00230008">
                    <w:rPr>
                      <w:rFonts w:ascii="楷体" w:eastAsia="楷体" w:hAnsi="楷体" w:hint="eastAsia"/>
                      <w:color w:val="000000"/>
                      <w:kern w:val="0"/>
                      <w:sz w:val="20"/>
                      <w:szCs w:val="20"/>
                      <w:lang w:eastAsia="zh-CN" w:bidi="ar-SA"/>
                    </w:rPr>
                    <w:t>进口额</w:t>
                  </w:r>
                </w:p>
              </w:tc>
              <w:tc>
                <w:tcPr>
                  <w:tcW w:w="861" w:type="dxa"/>
                  <w:tcBorders>
                    <w:top w:val="nil"/>
                    <w:left w:val="nil"/>
                    <w:bottom w:val="nil"/>
                    <w:right w:val="nil"/>
                  </w:tcBorders>
                  <w:shd w:val="clear" w:color="auto" w:fill="auto"/>
                  <w:noWrap/>
                  <w:vAlign w:val="center"/>
                </w:tcPr>
                <w:p w14:paraId="5E0633CE"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6534</w:t>
                  </w:r>
                </w:p>
              </w:tc>
              <w:tc>
                <w:tcPr>
                  <w:tcW w:w="861" w:type="dxa"/>
                  <w:tcBorders>
                    <w:top w:val="nil"/>
                    <w:left w:val="nil"/>
                    <w:bottom w:val="nil"/>
                    <w:right w:val="nil"/>
                  </w:tcBorders>
                  <w:shd w:val="clear" w:color="auto" w:fill="auto"/>
                  <w:noWrap/>
                  <w:vAlign w:val="center"/>
                </w:tcPr>
                <w:p w14:paraId="2EFE4778"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6588</w:t>
                  </w:r>
                </w:p>
              </w:tc>
              <w:tc>
                <w:tcPr>
                  <w:tcW w:w="861" w:type="dxa"/>
                  <w:tcBorders>
                    <w:top w:val="nil"/>
                    <w:left w:val="nil"/>
                    <w:bottom w:val="nil"/>
                    <w:right w:val="nil"/>
                  </w:tcBorders>
                  <w:shd w:val="clear" w:color="auto" w:fill="auto"/>
                  <w:noWrap/>
                  <w:vAlign w:val="center"/>
                </w:tcPr>
                <w:p w14:paraId="6C089411"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5807</w:t>
                  </w:r>
                </w:p>
              </w:tc>
              <w:tc>
                <w:tcPr>
                  <w:tcW w:w="861" w:type="dxa"/>
                  <w:tcBorders>
                    <w:top w:val="nil"/>
                    <w:left w:val="nil"/>
                    <w:bottom w:val="nil"/>
                    <w:right w:val="nil"/>
                  </w:tcBorders>
                  <w:shd w:val="clear" w:color="auto" w:fill="auto"/>
                  <w:noWrap/>
                  <w:vAlign w:val="center"/>
                </w:tcPr>
                <w:p w14:paraId="20254956"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27065</w:t>
                  </w:r>
                </w:p>
              </w:tc>
              <w:tc>
                <w:tcPr>
                  <w:tcW w:w="861" w:type="dxa"/>
                  <w:tcBorders>
                    <w:top w:val="nil"/>
                    <w:left w:val="nil"/>
                    <w:bottom w:val="nil"/>
                    <w:right w:val="nil"/>
                  </w:tcBorders>
                  <w:shd w:val="clear" w:color="auto" w:fill="auto"/>
                  <w:noWrap/>
                  <w:vAlign w:val="center"/>
                </w:tcPr>
                <w:p w14:paraId="517B3724"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25569</w:t>
                  </w:r>
                </w:p>
              </w:tc>
              <w:tc>
                <w:tcPr>
                  <w:tcW w:w="861" w:type="dxa"/>
                  <w:tcBorders>
                    <w:top w:val="nil"/>
                    <w:left w:val="nil"/>
                    <w:bottom w:val="nil"/>
                    <w:right w:val="nil"/>
                  </w:tcBorders>
                  <w:shd w:val="clear" w:color="auto" w:fill="auto"/>
                  <w:noWrap/>
                  <w:vAlign w:val="center"/>
                </w:tcPr>
                <w:p w14:paraId="7EFF442E"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25847</w:t>
                  </w:r>
                </w:p>
              </w:tc>
            </w:tr>
            <w:tr w:rsidR="00230008" w:rsidRPr="00230008" w14:paraId="772A3E79" w14:textId="77777777" w:rsidTr="00D72849">
              <w:trPr>
                <w:trHeight w:val="324"/>
                <w:jc w:val="center"/>
              </w:trPr>
              <w:tc>
                <w:tcPr>
                  <w:tcW w:w="1416" w:type="dxa"/>
                  <w:tcBorders>
                    <w:top w:val="nil"/>
                    <w:left w:val="nil"/>
                    <w:bottom w:val="nil"/>
                    <w:right w:val="nil"/>
                  </w:tcBorders>
                  <w:shd w:val="clear" w:color="auto" w:fill="auto"/>
                  <w:noWrap/>
                  <w:vAlign w:val="center"/>
                </w:tcPr>
                <w:p w14:paraId="4AFF307B" w14:textId="77777777" w:rsidR="00230008" w:rsidRPr="00230008" w:rsidRDefault="00230008" w:rsidP="00230008">
                  <w:pPr>
                    <w:spacing w:line="240" w:lineRule="auto"/>
                    <w:ind w:firstLineChars="0" w:firstLine="0"/>
                    <w:jc w:val="left"/>
                    <w:rPr>
                      <w:rFonts w:eastAsia="宋体"/>
                      <w:color w:val="000000"/>
                      <w:kern w:val="0"/>
                      <w:sz w:val="20"/>
                      <w:szCs w:val="20"/>
                      <w:lang w:eastAsia="zh-CN" w:bidi="ar-SA"/>
                    </w:rPr>
                  </w:pPr>
                  <w:r w:rsidRPr="00230008">
                    <w:rPr>
                      <w:rFonts w:ascii="楷体" w:eastAsia="楷体" w:hAnsi="楷体" w:hint="eastAsia"/>
                      <w:color w:val="000000"/>
                      <w:kern w:val="0"/>
                      <w:sz w:val="20"/>
                      <w:szCs w:val="20"/>
                      <w:lang w:eastAsia="zh-CN" w:bidi="ar-SA"/>
                    </w:rPr>
                    <w:t>货物贸易余额</w:t>
                  </w:r>
                </w:p>
              </w:tc>
              <w:tc>
                <w:tcPr>
                  <w:tcW w:w="861" w:type="dxa"/>
                  <w:tcBorders>
                    <w:top w:val="nil"/>
                    <w:left w:val="nil"/>
                    <w:bottom w:val="nil"/>
                    <w:right w:val="nil"/>
                  </w:tcBorders>
                  <w:shd w:val="clear" w:color="auto" w:fill="auto"/>
                  <w:noWrap/>
                  <w:vAlign w:val="center"/>
                </w:tcPr>
                <w:p w14:paraId="3AF3C0D7"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2586</w:t>
                  </w:r>
                </w:p>
              </w:tc>
              <w:tc>
                <w:tcPr>
                  <w:tcW w:w="861" w:type="dxa"/>
                  <w:tcBorders>
                    <w:top w:val="nil"/>
                    <w:left w:val="nil"/>
                    <w:bottom w:val="nil"/>
                    <w:right w:val="nil"/>
                  </w:tcBorders>
                  <w:shd w:val="clear" w:color="auto" w:fill="auto"/>
                  <w:noWrap/>
                  <w:vAlign w:val="center"/>
                </w:tcPr>
                <w:p w14:paraId="3439CFFF"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2976</w:t>
                  </w:r>
                </w:p>
              </w:tc>
              <w:tc>
                <w:tcPr>
                  <w:tcW w:w="861" w:type="dxa"/>
                  <w:tcBorders>
                    <w:top w:val="nil"/>
                    <w:left w:val="nil"/>
                    <w:bottom w:val="nil"/>
                    <w:right w:val="nil"/>
                  </w:tcBorders>
                  <w:shd w:val="clear" w:color="auto" w:fill="auto"/>
                  <w:noWrap/>
                  <w:vAlign w:val="center"/>
                </w:tcPr>
                <w:p w14:paraId="28ED45F3"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2730</w:t>
                  </w:r>
                </w:p>
              </w:tc>
              <w:tc>
                <w:tcPr>
                  <w:tcW w:w="861" w:type="dxa"/>
                  <w:tcBorders>
                    <w:top w:val="nil"/>
                    <w:left w:val="nil"/>
                    <w:bottom w:val="nil"/>
                    <w:right w:val="nil"/>
                  </w:tcBorders>
                  <w:shd w:val="clear" w:color="auto" w:fill="auto"/>
                  <w:noWrap/>
                  <w:vAlign w:val="center"/>
                </w:tcPr>
                <w:p w14:paraId="31A14CBA"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8379</w:t>
                  </w:r>
                </w:p>
              </w:tc>
              <w:tc>
                <w:tcPr>
                  <w:tcW w:w="861" w:type="dxa"/>
                  <w:tcBorders>
                    <w:top w:val="nil"/>
                    <w:left w:val="nil"/>
                    <w:bottom w:val="nil"/>
                    <w:right w:val="nil"/>
                  </w:tcBorders>
                  <w:shd w:val="clear" w:color="auto" w:fill="auto"/>
                  <w:noWrap/>
                  <w:vAlign w:val="center"/>
                </w:tcPr>
                <w:p w14:paraId="1409400F"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8221</w:t>
                  </w:r>
                </w:p>
              </w:tc>
              <w:tc>
                <w:tcPr>
                  <w:tcW w:w="861" w:type="dxa"/>
                  <w:tcBorders>
                    <w:top w:val="nil"/>
                    <w:left w:val="nil"/>
                    <w:bottom w:val="nil"/>
                    <w:right w:val="nil"/>
                  </w:tcBorders>
                  <w:shd w:val="clear" w:color="auto" w:fill="auto"/>
                  <w:noWrap/>
                  <w:vAlign w:val="center"/>
                </w:tcPr>
                <w:p w14:paraId="41EB33AD"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9919</w:t>
                  </w:r>
                </w:p>
              </w:tc>
            </w:tr>
            <w:tr w:rsidR="00230008" w:rsidRPr="00230008" w14:paraId="0CCCA74F" w14:textId="77777777" w:rsidTr="00D72849">
              <w:trPr>
                <w:trHeight w:val="288"/>
                <w:jc w:val="center"/>
              </w:trPr>
              <w:tc>
                <w:tcPr>
                  <w:tcW w:w="1416" w:type="dxa"/>
                  <w:tcBorders>
                    <w:top w:val="single" w:sz="4" w:space="0" w:color="auto"/>
                    <w:left w:val="nil"/>
                    <w:bottom w:val="nil"/>
                    <w:right w:val="nil"/>
                  </w:tcBorders>
                  <w:shd w:val="clear" w:color="000000" w:fill="74A3BA"/>
                  <w:noWrap/>
                  <w:vAlign w:val="center"/>
                </w:tcPr>
                <w:p w14:paraId="2AABA4DD" w14:textId="77777777" w:rsidR="00230008" w:rsidRPr="00230008" w:rsidRDefault="00230008" w:rsidP="00230008">
                  <w:pPr>
                    <w:spacing w:line="240" w:lineRule="auto"/>
                    <w:ind w:firstLineChars="0" w:firstLine="0"/>
                    <w:jc w:val="left"/>
                    <w:rPr>
                      <w:rFonts w:eastAsia="宋体"/>
                      <w:color w:val="000000"/>
                      <w:kern w:val="0"/>
                      <w:sz w:val="20"/>
                      <w:szCs w:val="20"/>
                      <w:lang w:eastAsia="zh-CN" w:bidi="ar-SA"/>
                    </w:rPr>
                  </w:pPr>
                  <w:r w:rsidRPr="00230008">
                    <w:rPr>
                      <w:rFonts w:eastAsia="宋体"/>
                      <w:color w:val="000000"/>
                      <w:kern w:val="0"/>
                      <w:sz w:val="20"/>
                      <w:szCs w:val="20"/>
                      <w:lang w:eastAsia="zh-CN" w:bidi="ar-SA"/>
                    </w:rPr>
                    <w:t>2.</w:t>
                  </w:r>
                  <w:r w:rsidRPr="00230008">
                    <w:rPr>
                      <w:rFonts w:ascii="楷体" w:eastAsia="楷体" w:hAnsi="楷体" w:hint="eastAsia"/>
                      <w:color w:val="000000"/>
                      <w:kern w:val="0"/>
                      <w:sz w:val="20"/>
                      <w:szCs w:val="20"/>
                      <w:lang w:eastAsia="zh-CN" w:bidi="ar-SA"/>
                    </w:rPr>
                    <w:t>地区出口</w:t>
                  </w:r>
                </w:p>
              </w:tc>
              <w:tc>
                <w:tcPr>
                  <w:tcW w:w="861" w:type="dxa"/>
                  <w:tcBorders>
                    <w:top w:val="single" w:sz="4" w:space="0" w:color="auto"/>
                    <w:left w:val="nil"/>
                    <w:bottom w:val="nil"/>
                    <w:right w:val="nil"/>
                  </w:tcBorders>
                  <w:shd w:val="clear" w:color="000000" w:fill="74A3BA"/>
                  <w:noWrap/>
                  <w:vAlign w:val="center"/>
                </w:tcPr>
                <w:p w14:paraId="15E08456" w14:textId="77777777" w:rsidR="00230008" w:rsidRPr="00230008" w:rsidRDefault="00230008" w:rsidP="00230008">
                  <w:pPr>
                    <w:spacing w:line="240" w:lineRule="auto"/>
                    <w:ind w:firstLineChars="0" w:firstLine="0"/>
                    <w:jc w:val="center"/>
                    <w:rPr>
                      <w:rFonts w:eastAsia="宋体"/>
                      <w:color w:val="000000"/>
                      <w:kern w:val="0"/>
                      <w:sz w:val="20"/>
                      <w:szCs w:val="20"/>
                      <w:lang w:eastAsia="zh-CN" w:bidi="ar-SA"/>
                    </w:rPr>
                  </w:pPr>
                  <w:r w:rsidRPr="00230008">
                    <w:rPr>
                      <w:rFonts w:eastAsia="宋体"/>
                      <w:color w:val="000000"/>
                      <w:kern w:val="0"/>
                      <w:sz w:val="20"/>
                      <w:szCs w:val="20"/>
                      <w:lang w:eastAsia="zh-CN" w:bidi="ar-SA"/>
                    </w:rPr>
                    <w:t xml:space="preserve">　</w:t>
                  </w:r>
                </w:p>
              </w:tc>
              <w:tc>
                <w:tcPr>
                  <w:tcW w:w="861" w:type="dxa"/>
                  <w:tcBorders>
                    <w:top w:val="single" w:sz="4" w:space="0" w:color="auto"/>
                    <w:left w:val="nil"/>
                    <w:bottom w:val="nil"/>
                    <w:right w:val="nil"/>
                  </w:tcBorders>
                  <w:shd w:val="clear" w:color="000000" w:fill="74A3BA"/>
                  <w:noWrap/>
                  <w:vAlign w:val="center"/>
                </w:tcPr>
                <w:p w14:paraId="614186BF" w14:textId="77777777" w:rsidR="00230008" w:rsidRPr="00230008" w:rsidRDefault="00230008" w:rsidP="00230008">
                  <w:pPr>
                    <w:spacing w:line="240" w:lineRule="auto"/>
                    <w:ind w:firstLineChars="0" w:firstLine="0"/>
                    <w:jc w:val="center"/>
                    <w:rPr>
                      <w:rFonts w:eastAsia="宋体"/>
                      <w:color w:val="000000"/>
                      <w:kern w:val="0"/>
                      <w:sz w:val="20"/>
                      <w:szCs w:val="20"/>
                      <w:lang w:eastAsia="zh-CN" w:bidi="ar-SA"/>
                    </w:rPr>
                  </w:pPr>
                  <w:r w:rsidRPr="00230008">
                    <w:rPr>
                      <w:rFonts w:eastAsia="宋体"/>
                      <w:color w:val="000000"/>
                      <w:kern w:val="0"/>
                      <w:sz w:val="20"/>
                      <w:szCs w:val="20"/>
                      <w:lang w:eastAsia="zh-CN" w:bidi="ar-SA"/>
                    </w:rPr>
                    <w:t xml:space="preserve">　</w:t>
                  </w:r>
                </w:p>
              </w:tc>
              <w:tc>
                <w:tcPr>
                  <w:tcW w:w="861" w:type="dxa"/>
                  <w:tcBorders>
                    <w:top w:val="single" w:sz="4" w:space="0" w:color="auto"/>
                    <w:left w:val="nil"/>
                    <w:bottom w:val="nil"/>
                    <w:right w:val="nil"/>
                  </w:tcBorders>
                  <w:shd w:val="clear" w:color="000000" w:fill="74A3BA"/>
                  <w:noWrap/>
                  <w:vAlign w:val="center"/>
                </w:tcPr>
                <w:p w14:paraId="29DB2D5F" w14:textId="77777777" w:rsidR="00230008" w:rsidRPr="00230008" w:rsidRDefault="00230008" w:rsidP="00230008">
                  <w:pPr>
                    <w:spacing w:line="240" w:lineRule="auto"/>
                    <w:ind w:firstLineChars="0" w:firstLine="0"/>
                    <w:jc w:val="center"/>
                    <w:rPr>
                      <w:rFonts w:eastAsia="宋体"/>
                      <w:color w:val="000000"/>
                      <w:kern w:val="0"/>
                      <w:sz w:val="20"/>
                      <w:szCs w:val="20"/>
                      <w:lang w:eastAsia="zh-CN" w:bidi="ar-SA"/>
                    </w:rPr>
                  </w:pPr>
                  <w:r w:rsidRPr="00230008">
                    <w:rPr>
                      <w:rFonts w:eastAsia="宋体"/>
                      <w:color w:val="000000"/>
                      <w:kern w:val="0"/>
                      <w:sz w:val="20"/>
                      <w:szCs w:val="20"/>
                      <w:lang w:eastAsia="zh-CN" w:bidi="ar-SA"/>
                    </w:rPr>
                    <w:t xml:space="preserve">　</w:t>
                  </w:r>
                </w:p>
              </w:tc>
              <w:tc>
                <w:tcPr>
                  <w:tcW w:w="861" w:type="dxa"/>
                  <w:tcBorders>
                    <w:top w:val="single" w:sz="4" w:space="0" w:color="auto"/>
                    <w:left w:val="nil"/>
                    <w:bottom w:val="nil"/>
                    <w:right w:val="nil"/>
                  </w:tcBorders>
                  <w:shd w:val="clear" w:color="000000" w:fill="74A3BA"/>
                  <w:noWrap/>
                  <w:vAlign w:val="center"/>
                </w:tcPr>
                <w:p w14:paraId="58686323" w14:textId="77777777" w:rsidR="00230008" w:rsidRPr="00230008" w:rsidRDefault="00230008" w:rsidP="00230008">
                  <w:pPr>
                    <w:spacing w:line="240" w:lineRule="auto"/>
                    <w:ind w:firstLineChars="0" w:firstLine="0"/>
                    <w:jc w:val="center"/>
                    <w:rPr>
                      <w:rFonts w:eastAsia="宋体"/>
                      <w:color w:val="000000"/>
                      <w:kern w:val="0"/>
                      <w:sz w:val="20"/>
                      <w:szCs w:val="20"/>
                      <w:lang w:eastAsia="zh-CN" w:bidi="ar-SA"/>
                    </w:rPr>
                  </w:pPr>
                  <w:r w:rsidRPr="00230008">
                    <w:rPr>
                      <w:rFonts w:eastAsia="宋体"/>
                      <w:color w:val="000000"/>
                      <w:kern w:val="0"/>
                      <w:sz w:val="20"/>
                      <w:szCs w:val="20"/>
                      <w:lang w:eastAsia="zh-CN" w:bidi="ar-SA"/>
                    </w:rPr>
                    <w:t xml:space="preserve">　</w:t>
                  </w:r>
                </w:p>
              </w:tc>
              <w:tc>
                <w:tcPr>
                  <w:tcW w:w="861" w:type="dxa"/>
                  <w:tcBorders>
                    <w:top w:val="single" w:sz="4" w:space="0" w:color="auto"/>
                    <w:left w:val="nil"/>
                    <w:bottom w:val="nil"/>
                    <w:right w:val="nil"/>
                  </w:tcBorders>
                  <w:shd w:val="clear" w:color="000000" w:fill="74A3BA"/>
                  <w:noWrap/>
                  <w:vAlign w:val="center"/>
                </w:tcPr>
                <w:p w14:paraId="37B01673" w14:textId="77777777" w:rsidR="00230008" w:rsidRPr="00230008" w:rsidRDefault="00230008" w:rsidP="00230008">
                  <w:pPr>
                    <w:spacing w:line="240" w:lineRule="auto"/>
                    <w:ind w:firstLineChars="0" w:firstLine="0"/>
                    <w:jc w:val="center"/>
                    <w:rPr>
                      <w:rFonts w:eastAsia="宋体"/>
                      <w:color w:val="000000"/>
                      <w:kern w:val="0"/>
                      <w:sz w:val="20"/>
                      <w:szCs w:val="20"/>
                      <w:lang w:eastAsia="zh-CN" w:bidi="ar-SA"/>
                    </w:rPr>
                  </w:pPr>
                  <w:r w:rsidRPr="00230008">
                    <w:rPr>
                      <w:rFonts w:eastAsia="宋体"/>
                      <w:color w:val="000000"/>
                      <w:kern w:val="0"/>
                      <w:sz w:val="20"/>
                      <w:szCs w:val="20"/>
                      <w:lang w:eastAsia="zh-CN" w:bidi="ar-SA"/>
                    </w:rPr>
                    <w:t xml:space="preserve">　</w:t>
                  </w:r>
                </w:p>
              </w:tc>
              <w:tc>
                <w:tcPr>
                  <w:tcW w:w="861" w:type="dxa"/>
                  <w:tcBorders>
                    <w:top w:val="single" w:sz="4" w:space="0" w:color="auto"/>
                    <w:left w:val="nil"/>
                    <w:bottom w:val="nil"/>
                    <w:right w:val="nil"/>
                  </w:tcBorders>
                  <w:shd w:val="clear" w:color="000000" w:fill="74A3BA"/>
                  <w:noWrap/>
                  <w:vAlign w:val="center"/>
                </w:tcPr>
                <w:p w14:paraId="795A005B" w14:textId="77777777" w:rsidR="00230008" w:rsidRPr="00230008" w:rsidRDefault="00230008" w:rsidP="00230008">
                  <w:pPr>
                    <w:spacing w:line="240" w:lineRule="auto"/>
                    <w:ind w:firstLineChars="0" w:firstLine="0"/>
                    <w:jc w:val="center"/>
                    <w:rPr>
                      <w:rFonts w:eastAsia="宋体"/>
                      <w:color w:val="000000"/>
                      <w:kern w:val="0"/>
                      <w:sz w:val="20"/>
                      <w:szCs w:val="20"/>
                      <w:lang w:eastAsia="zh-CN" w:bidi="ar-SA"/>
                    </w:rPr>
                  </w:pPr>
                  <w:r w:rsidRPr="00230008">
                    <w:rPr>
                      <w:rFonts w:eastAsia="宋体"/>
                      <w:color w:val="000000"/>
                      <w:kern w:val="0"/>
                      <w:sz w:val="20"/>
                      <w:szCs w:val="20"/>
                      <w:lang w:eastAsia="zh-CN" w:bidi="ar-SA"/>
                    </w:rPr>
                    <w:t xml:space="preserve">　</w:t>
                  </w:r>
                </w:p>
              </w:tc>
            </w:tr>
            <w:tr w:rsidR="00230008" w:rsidRPr="00230008" w14:paraId="242F4B87" w14:textId="77777777" w:rsidTr="00D72849">
              <w:trPr>
                <w:trHeight w:val="288"/>
                <w:jc w:val="center"/>
              </w:trPr>
              <w:tc>
                <w:tcPr>
                  <w:tcW w:w="1416" w:type="dxa"/>
                  <w:tcBorders>
                    <w:top w:val="nil"/>
                    <w:left w:val="nil"/>
                    <w:bottom w:val="nil"/>
                    <w:right w:val="nil"/>
                  </w:tcBorders>
                  <w:shd w:val="clear" w:color="000000" w:fill="74A3BA"/>
                  <w:noWrap/>
                  <w:vAlign w:val="center"/>
                </w:tcPr>
                <w:p w14:paraId="223B4C1B" w14:textId="77777777" w:rsidR="00230008" w:rsidRPr="00230008" w:rsidRDefault="00230008" w:rsidP="00230008">
                  <w:pPr>
                    <w:spacing w:line="240" w:lineRule="auto"/>
                    <w:ind w:firstLineChars="0" w:firstLine="0"/>
                    <w:jc w:val="left"/>
                    <w:rPr>
                      <w:rFonts w:eastAsia="宋体"/>
                      <w:color w:val="000000"/>
                      <w:kern w:val="0"/>
                      <w:sz w:val="20"/>
                      <w:szCs w:val="20"/>
                      <w:lang w:eastAsia="zh-CN" w:bidi="ar-SA"/>
                    </w:rPr>
                  </w:pPr>
                  <w:r w:rsidRPr="00230008">
                    <w:rPr>
                      <w:rFonts w:eastAsia="宋体"/>
                      <w:color w:val="000000"/>
                      <w:kern w:val="0"/>
                      <w:sz w:val="20"/>
                      <w:szCs w:val="20"/>
                      <w:lang w:eastAsia="zh-CN" w:bidi="ar-SA"/>
                    </w:rPr>
                    <w:t xml:space="preserve">　</w:t>
                  </w:r>
                </w:p>
              </w:tc>
              <w:tc>
                <w:tcPr>
                  <w:tcW w:w="2583" w:type="dxa"/>
                  <w:gridSpan w:val="3"/>
                  <w:tcBorders>
                    <w:top w:val="nil"/>
                    <w:left w:val="nil"/>
                    <w:bottom w:val="nil"/>
                    <w:right w:val="nil"/>
                  </w:tcBorders>
                  <w:shd w:val="clear" w:color="000000" w:fill="74A3BA"/>
                  <w:noWrap/>
                  <w:vAlign w:val="center"/>
                </w:tcPr>
                <w:p w14:paraId="57E36972" w14:textId="77777777" w:rsidR="00230008" w:rsidRPr="00230008" w:rsidRDefault="00230008" w:rsidP="00230008">
                  <w:pPr>
                    <w:spacing w:line="240" w:lineRule="auto"/>
                    <w:ind w:firstLineChars="0" w:firstLine="0"/>
                    <w:jc w:val="center"/>
                    <w:rPr>
                      <w:rFonts w:eastAsia="宋体"/>
                      <w:color w:val="000000"/>
                      <w:kern w:val="0"/>
                      <w:sz w:val="20"/>
                      <w:szCs w:val="20"/>
                      <w:lang w:eastAsia="zh-CN" w:bidi="ar-SA"/>
                    </w:rPr>
                  </w:pPr>
                  <w:r w:rsidRPr="00230008">
                    <w:rPr>
                      <w:rFonts w:ascii="楷体" w:eastAsia="楷体" w:hAnsi="楷体" w:hint="eastAsia"/>
                      <w:color w:val="000000"/>
                      <w:kern w:val="0"/>
                      <w:sz w:val="20"/>
                      <w:szCs w:val="20"/>
                      <w:lang w:eastAsia="zh-CN" w:bidi="ar-SA"/>
                    </w:rPr>
                    <w:t>（美元同比</w:t>
                  </w:r>
                  <w:r w:rsidRPr="00230008">
                    <w:rPr>
                      <w:rFonts w:eastAsia="宋体"/>
                      <w:color w:val="000000"/>
                      <w:kern w:val="0"/>
                      <w:sz w:val="20"/>
                      <w:szCs w:val="20"/>
                      <w:lang w:eastAsia="zh-CN" w:bidi="ar-SA"/>
                    </w:rPr>
                    <w:t>/%</w:t>
                  </w:r>
                  <w:r w:rsidRPr="00230008">
                    <w:rPr>
                      <w:rFonts w:ascii="楷体" w:eastAsia="楷体" w:hAnsi="楷体" w:hint="eastAsia"/>
                      <w:color w:val="000000"/>
                      <w:kern w:val="0"/>
                      <w:sz w:val="20"/>
                      <w:szCs w:val="20"/>
                      <w:lang w:eastAsia="zh-CN" w:bidi="ar-SA"/>
                    </w:rPr>
                    <w:t>）</w:t>
                  </w:r>
                </w:p>
              </w:tc>
              <w:tc>
                <w:tcPr>
                  <w:tcW w:w="2583" w:type="dxa"/>
                  <w:gridSpan w:val="3"/>
                  <w:tcBorders>
                    <w:top w:val="nil"/>
                    <w:left w:val="nil"/>
                    <w:bottom w:val="nil"/>
                    <w:right w:val="nil"/>
                  </w:tcBorders>
                  <w:shd w:val="clear" w:color="000000" w:fill="74A3BA"/>
                  <w:noWrap/>
                  <w:vAlign w:val="center"/>
                </w:tcPr>
                <w:p w14:paraId="4A5118C0" w14:textId="77777777" w:rsidR="00230008" w:rsidRPr="00230008" w:rsidRDefault="00230008" w:rsidP="00230008">
                  <w:pPr>
                    <w:spacing w:line="240" w:lineRule="auto"/>
                    <w:ind w:firstLineChars="0" w:firstLine="0"/>
                    <w:jc w:val="center"/>
                    <w:rPr>
                      <w:rFonts w:eastAsia="宋体"/>
                      <w:color w:val="000000"/>
                      <w:kern w:val="0"/>
                      <w:sz w:val="20"/>
                      <w:szCs w:val="20"/>
                      <w:lang w:eastAsia="zh-CN" w:bidi="ar-SA"/>
                    </w:rPr>
                  </w:pPr>
                  <w:r w:rsidRPr="00230008">
                    <w:rPr>
                      <w:rFonts w:ascii="楷体" w:eastAsia="楷体" w:hAnsi="楷体" w:hint="eastAsia"/>
                      <w:color w:val="000000"/>
                      <w:kern w:val="0"/>
                      <w:sz w:val="20"/>
                      <w:szCs w:val="20"/>
                      <w:lang w:eastAsia="zh-CN" w:bidi="ar-SA"/>
                    </w:rPr>
                    <w:t>（规模</w:t>
                  </w:r>
                  <w:r w:rsidRPr="00230008">
                    <w:rPr>
                      <w:rFonts w:eastAsia="宋体"/>
                      <w:color w:val="000000"/>
                      <w:kern w:val="0"/>
                      <w:sz w:val="20"/>
                      <w:szCs w:val="20"/>
                      <w:lang w:eastAsia="zh-CN" w:bidi="ar-SA"/>
                    </w:rPr>
                    <w:t>/</w:t>
                  </w:r>
                  <w:r w:rsidRPr="00230008">
                    <w:rPr>
                      <w:rFonts w:ascii="楷体" w:eastAsia="楷体" w:hAnsi="楷体" w:hint="eastAsia"/>
                      <w:color w:val="000000"/>
                      <w:kern w:val="0"/>
                      <w:sz w:val="20"/>
                      <w:szCs w:val="20"/>
                      <w:lang w:eastAsia="zh-CN" w:bidi="ar-SA"/>
                    </w:rPr>
                    <w:t>亿美元）</w:t>
                  </w:r>
                </w:p>
              </w:tc>
            </w:tr>
            <w:tr w:rsidR="00230008" w:rsidRPr="00230008" w14:paraId="7A1406B2" w14:textId="77777777" w:rsidTr="00D72849">
              <w:trPr>
                <w:trHeight w:val="288"/>
                <w:jc w:val="center"/>
              </w:trPr>
              <w:tc>
                <w:tcPr>
                  <w:tcW w:w="1416" w:type="dxa"/>
                  <w:tcBorders>
                    <w:top w:val="nil"/>
                    <w:left w:val="nil"/>
                    <w:bottom w:val="single" w:sz="4" w:space="0" w:color="auto"/>
                    <w:right w:val="nil"/>
                  </w:tcBorders>
                  <w:shd w:val="clear" w:color="000000" w:fill="74A3BA"/>
                  <w:noWrap/>
                  <w:vAlign w:val="center"/>
                </w:tcPr>
                <w:p w14:paraId="45714259" w14:textId="77777777" w:rsidR="00230008" w:rsidRPr="00230008" w:rsidRDefault="00230008" w:rsidP="00230008">
                  <w:pPr>
                    <w:spacing w:line="240" w:lineRule="auto"/>
                    <w:ind w:firstLineChars="0" w:firstLine="0"/>
                    <w:jc w:val="left"/>
                    <w:rPr>
                      <w:rFonts w:eastAsia="宋体"/>
                      <w:color w:val="000000"/>
                      <w:kern w:val="0"/>
                      <w:sz w:val="20"/>
                      <w:szCs w:val="20"/>
                      <w:lang w:eastAsia="zh-CN" w:bidi="ar-SA"/>
                    </w:rPr>
                  </w:pPr>
                  <w:r w:rsidRPr="00230008">
                    <w:rPr>
                      <w:rFonts w:eastAsia="宋体"/>
                      <w:color w:val="000000"/>
                      <w:kern w:val="0"/>
                      <w:sz w:val="20"/>
                      <w:szCs w:val="20"/>
                      <w:lang w:eastAsia="zh-CN" w:bidi="ar-SA"/>
                    </w:rPr>
                    <w:t xml:space="preserve">　</w:t>
                  </w:r>
                </w:p>
              </w:tc>
              <w:tc>
                <w:tcPr>
                  <w:tcW w:w="861" w:type="dxa"/>
                  <w:tcBorders>
                    <w:top w:val="nil"/>
                    <w:left w:val="nil"/>
                    <w:bottom w:val="single" w:sz="4" w:space="0" w:color="auto"/>
                    <w:right w:val="nil"/>
                  </w:tcBorders>
                  <w:shd w:val="clear" w:color="000000" w:fill="74A3BA"/>
                  <w:noWrap/>
                  <w:vAlign w:val="center"/>
                </w:tcPr>
                <w:p w14:paraId="250B350A"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2024Q3</w:t>
                  </w:r>
                </w:p>
              </w:tc>
              <w:tc>
                <w:tcPr>
                  <w:tcW w:w="861" w:type="dxa"/>
                  <w:tcBorders>
                    <w:top w:val="nil"/>
                    <w:left w:val="nil"/>
                    <w:bottom w:val="single" w:sz="4" w:space="0" w:color="auto"/>
                    <w:right w:val="nil"/>
                  </w:tcBorders>
                  <w:shd w:val="clear" w:color="000000" w:fill="74A3BA"/>
                  <w:noWrap/>
                  <w:vAlign w:val="center"/>
                </w:tcPr>
                <w:p w14:paraId="39FE78E8"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2024Q4</w:t>
                  </w:r>
                </w:p>
              </w:tc>
              <w:tc>
                <w:tcPr>
                  <w:tcW w:w="861" w:type="dxa"/>
                  <w:tcBorders>
                    <w:top w:val="nil"/>
                    <w:left w:val="nil"/>
                    <w:bottom w:val="single" w:sz="4" w:space="0" w:color="auto"/>
                    <w:right w:val="nil"/>
                  </w:tcBorders>
                  <w:shd w:val="clear" w:color="000000" w:fill="74A3BA"/>
                  <w:noWrap/>
                  <w:vAlign w:val="center"/>
                </w:tcPr>
                <w:p w14:paraId="72711F90"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2025Q1</w:t>
                  </w:r>
                </w:p>
              </w:tc>
              <w:tc>
                <w:tcPr>
                  <w:tcW w:w="861" w:type="dxa"/>
                  <w:tcBorders>
                    <w:top w:val="nil"/>
                    <w:left w:val="nil"/>
                    <w:bottom w:val="single" w:sz="4" w:space="0" w:color="auto"/>
                    <w:right w:val="nil"/>
                  </w:tcBorders>
                  <w:shd w:val="clear" w:color="000000" w:fill="74A3BA"/>
                  <w:noWrap/>
                  <w:vAlign w:val="center"/>
                </w:tcPr>
                <w:p w14:paraId="78D4DBDC"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2024Q3</w:t>
                  </w:r>
                </w:p>
              </w:tc>
              <w:tc>
                <w:tcPr>
                  <w:tcW w:w="861" w:type="dxa"/>
                  <w:tcBorders>
                    <w:top w:val="nil"/>
                    <w:left w:val="nil"/>
                    <w:bottom w:val="single" w:sz="4" w:space="0" w:color="auto"/>
                    <w:right w:val="nil"/>
                  </w:tcBorders>
                  <w:shd w:val="clear" w:color="000000" w:fill="74A3BA"/>
                  <w:noWrap/>
                  <w:vAlign w:val="center"/>
                </w:tcPr>
                <w:p w14:paraId="19036D34"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2024Q4</w:t>
                  </w:r>
                </w:p>
              </w:tc>
              <w:tc>
                <w:tcPr>
                  <w:tcW w:w="861" w:type="dxa"/>
                  <w:tcBorders>
                    <w:top w:val="nil"/>
                    <w:left w:val="nil"/>
                    <w:bottom w:val="single" w:sz="4" w:space="0" w:color="auto"/>
                    <w:right w:val="nil"/>
                  </w:tcBorders>
                  <w:shd w:val="clear" w:color="000000" w:fill="74A3BA"/>
                  <w:noWrap/>
                  <w:vAlign w:val="center"/>
                </w:tcPr>
                <w:p w14:paraId="3381151F"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2025Q1</w:t>
                  </w:r>
                </w:p>
              </w:tc>
            </w:tr>
            <w:tr w:rsidR="00230008" w:rsidRPr="00230008" w14:paraId="05EA71BF" w14:textId="77777777" w:rsidTr="00D72849">
              <w:trPr>
                <w:trHeight w:val="288"/>
                <w:jc w:val="center"/>
              </w:trPr>
              <w:tc>
                <w:tcPr>
                  <w:tcW w:w="1416" w:type="dxa"/>
                  <w:tcBorders>
                    <w:top w:val="nil"/>
                    <w:left w:val="nil"/>
                    <w:bottom w:val="nil"/>
                    <w:right w:val="nil"/>
                  </w:tcBorders>
                  <w:shd w:val="clear" w:color="auto" w:fill="auto"/>
                  <w:noWrap/>
                  <w:vAlign w:val="center"/>
                </w:tcPr>
                <w:p w14:paraId="6D51E2F5" w14:textId="77777777" w:rsidR="00230008" w:rsidRPr="00230008" w:rsidRDefault="00230008" w:rsidP="00230008">
                  <w:pPr>
                    <w:spacing w:line="240" w:lineRule="auto"/>
                    <w:ind w:firstLineChars="0" w:firstLine="0"/>
                    <w:jc w:val="left"/>
                    <w:rPr>
                      <w:rFonts w:eastAsia="宋体"/>
                      <w:color w:val="000000"/>
                      <w:kern w:val="0"/>
                      <w:sz w:val="20"/>
                      <w:szCs w:val="20"/>
                      <w:lang w:eastAsia="zh-CN" w:bidi="ar-SA"/>
                    </w:rPr>
                  </w:pPr>
                  <w:r w:rsidRPr="00230008">
                    <w:rPr>
                      <w:rFonts w:ascii="楷体" w:eastAsia="楷体" w:hAnsi="楷体" w:hint="eastAsia"/>
                      <w:color w:val="000000"/>
                      <w:kern w:val="0"/>
                      <w:sz w:val="20"/>
                      <w:szCs w:val="20"/>
                      <w:lang w:eastAsia="zh-CN" w:bidi="ar-SA"/>
                    </w:rPr>
                    <w:t>出口</w:t>
                  </w:r>
                </w:p>
              </w:tc>
              <w:tc>
                <w:tcPr>
                  <w:tcW w:w="861" w:type="dxa"/>
                  <w:tcBorders>
                    <w:top w:val="nil"/>
                    <w:left w:val="nil"/>
                    <w:bottom w:val="nil"/>
                    <w:right w:val="nil"/>
                  </w:tcBorders>
                  <w:shd w:val="clear" w:color="auto" w:fill="auto"/>
                  <w:noWrap/>
                  <w:vAlign w:val="center"/>
                </w:tcPr>
                <w:p w14:paraId="797CBA6D"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5.4</w:t>
                  </w:r>
                </w:p>
              </w:tc>
              <w:tc>
                <w:tcPr>
                  <w:tcW w:w="861" w:type="dxa"/>
                  <w:tcBorders>
                    <w:top w:val="nil"/>
                    <w:left w:val="nil"/>
                    <w:bottom w:val="nil"/>
                    <w:right w:val="nil"/>
                  </w:tcBorders>
                  <w:shd w:val="clear" w:color="auto" w:fill="auto"/>
                  <w:noWrap/>
                  <w:vAlign w:val="center"/>
                </w:tcPr>
                <w:p w14:paraId="4108D751"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10</w:t>
                  </w:r>
                </w:p>
              </w:tc>
              <w:tc>
                <w:tcPr>
                  <w:tcW w:w="861" w:type="dxa"/>
                  <w:tcBorders>
                    <w:top w:val="nil"/>
                    <w:left w:val="nil"/>
                    <w:bottom w:val="nil"/>
                    <w:right w:val="nil"/>
                  </w:tcBorders>
                  <w:shd w:val="clear" w:color="auto" w:fill="auto"/>
                  <w:noWrap/>
                  <w:vAlign w:val="center"/>
                </w:tcPr>
                <w:p w14:paraId="0B3911AD"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5.7</w:t>
                  </w:r>
                </w:p>
              </w:tc>
              <w:tc>
                <w:tcPr>
                  <w:tcW w:w="861" w:type="dxa"/>
                  <w:tcBorders>
                    <w:top w:val="nil"/>
                    <w:left w:val="nil"/>
                    <w:bottom w:val="nil"/>
                    <w:right w:val="nil"/>
                  </w:tcBorders>
                  <w:shd w:val="clear" w:color="auto" w:fill="auto"/>
                  <w:noWrap/>
                  <w:vAlign w:val="center"/>
                </w:tcPr>
                <w:p w14:paraId="2767C5C2"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5882</w:t>
                  </w:r>
                </w:p>
              </w:tc>
              <w:tc>
                <w:tcPr>
                  <w:tcW w:w="861" w:type="dxa"/>
                  <w:tcBorders>
                    <w:top w:val="nil"/>
                    <w:left w:val="nil"/>
                    <w:bottom w:val="nil"/>
                    <w:right w:val="nil"/>
                  </w:tcBorders>
                  <w:shd w:val="clear" w:color="auto" w:fill="auto"/>
                  <w:noWrap/>
                  <w:vAlign w:val="center"/>
                </w:tcPr>
                <w:p w14:paraId="531A67E3"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6355</w:t>
                  </w:r>
                </w:p>
              </w:tc>
              <w:tc>
                <w:tcPr>
                  <w:tcW w:w="861" w:type="dxa"/>
                  <w:tcBorders>
                    <w:top w:val="nil"/>
                    <w:left w:val="nil"/>
                    <w:bottom w:val="nil"/>
                    <w:right w:val="nil"/>
                  </w:tcBorders>
                  <w:shd w:val="clear" w:color="auto" w:fill="auto"/>
                  <w:noWrap/>
                  <w:vAlign w:val="center"/>
                </w:tcPr>
                <w:p w14:paraId="37104316"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3721</w:t>
                  </w:r>
                </w:p>
              </w:tc>
            </w:tr>
            <w:tr w:rsidR="00230008" w:rsidRPr="00230008" w14:paraId="77BBF815" w14:textId="77777777" w:rsidTr="00D72849">
              <w:trPr>
                <w:trHeight w:val="288"/>
                <w:jc w:val="center"/>
              </w:trPr>
              <w:tc>
                <w:tcPr>
                  <w:tcW w:w="1416" w:type="dxa"/>
                  <w:tcBorders>
                    <w:top w:val="nil"/>
                    <w:left w:val="nil"/>
                    <w:bottom w:val="nil"/>
                    <w:right w:val="nil"/>
                  </w:tcBorders>
                  <w:shd w:val="clear" w:color="auto" w:fill="auto"/>
                  <w:noWrap/>
                  <w:vAlign w:val="center"/>
                </w:tcPr>
                <w:p w14:paraId="0E1A5C32" w14:textId="77777777" w:rsidR="00230008" w:rsidRPr="00230008" w:rsidRDefault="00230008" w:rsidP="00230008">
                  <w:pPr>
                    <w:spacing w:line="240" w:lineRule="auto"/>
                    <w:ind w:firstLineChars="0" w:firstLine="0"/>
                    <w:jc w:val="left"/>
                    <w:rPr>
                      <w:rFonts w:eastAsia="宋体"/>
                      <w:color w:val="000000"/>
                      <w:kern w:val="0"/>
                      <w:sz w:val="20"/>
                      <w:szCs w:val="20"/>
                      <w:lang w:eastAsia="zh-CN" w:bidi="ar-SA"/>
                    </w:rPr>
                  </w:pPr>
                  <w:r w:rsidRPr="00230008">
                    <w:rPr>
                      <w:rFonts w:ascii="楷体" w:eastAsia="楷体" w:hAnsi="楷体" w:hint="eastAsia"/>
                      <w:color w:val="000000"/>
                      <w:kern w:val="0"/>
                      <w:sz w:val="20"/>
                      <w:szCs w:val="20"/>
                      <w:lang w:eastAsia="zh-CN" w:bidi="ar-SA"/>
                    </w:rPr>
                    <w:t>美国</w:t>
                  </w:r>
                </w:p>
              </w:tc>
              <w:tc>
                <w:tcPr>
                  <w:tcW w:w="861" w:type="dxa"/>
                  <w:tcBorders>
                    <w:top w:val="nil"/>
                    <w:left w:val="nil"/>
                    <w:bottom w:val="nil"/>
                    <w:right w:val="nil"/>
                  </w:tcBorders>
                  <w:shd w:val="clear" w:color="auto" w:fill="auto"/>
                  <w:noWrap/>
                  <w:vAlign w:val="center"/>
                </w:tcPr>
                <w:p w14:paraId="244F994C"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5.0</w:t>
                  </w:r>
                </w:p>
              </w:tc>
              <w:tc>
                <w:tcPr>
                  <w:tcW w:w="861" w:type="dxa"/>
                  <w:tcBorders>
                    <w:top w:val="nil"/>
                    <w:left w:val="nil"/>
                    <w:bottom w:val="nil"/>
                    <w:right w:val="nil"/>
                  </w:tcBorders>
                  <w:shd w:val="clear" w:color="auto" w:fill="auto"/>
                  <w:noWrap/>
                  <w:vAlign w:val="center"/>
                </w:tcPr>
                <w:p w14:paraId="1CB8B5C1"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10.5</w:t>
                  </w:r>
                </w:p>
              </w:tc>
              <w:tc>
                <w:tcPr>
                  <w:tcW w:w="861" w:type="dxa"/>
                  <w:tcBorders>
                    <w:top w:val="nil"/>
                    <w:left w:val="nil"/>
                    <w:bottom w:val="nil"/>
                    <w:right w:val="nil"/>
                  </w:tcBorders>
                  <w:shd w:val="clear" w:color="auto" w:fill="auto"/>
                  <w:noWrap/>
                  <w:vAlign w:val="center"/>
                </w:tcPr>
                <w:p w14:paraId="752168FA"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5.0</w:t>
                  </w:r>
                </w:p>
              </w:tc>
              <w:tc>
                <w:tcPr>
                  <w:tcW w:w="861" w:type="dxa"/>
                  <w:tcBorders>
                    <w:top w:val="nil"/>
                    <w:left w:val="nil"/>
                    <w:bottom w:val="nil"/>
                    <w:right w:val="nil"/>
                  </w:tcBorders>
                  <w:shd w:val="clear" w:color="auto" w:fill="auto"/>
                  <w:noWrap/>
                  <w:vAlign w:val="center"/>
                </w:tcPr>
                <w:p w14:paraId="1DC5440C"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1400</w:t>
                  </w:r>
                </w:p>
              </w:tc>
              <w:tc>
                <w:tcPr>
                  <w:tcW w:w="861" w:type="dxa"/>
                  <w:tcBorders>
                    <w:top w:val="nil"/>
                    <w:left w:val="nil"/>
                    <w:bottom w:val="nil"/>
                    <w:right w:val="nil"/>
                  </w:tcBorders>
                  <w:shd w:val="clear" w:color="auto" w:fill="auto"/>
                  <w:noWrap/>
                  <w:vAlign w:val="center"/>
                </w:tcPr>
                <w:p w14:paraId="33D03256"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1428</w:t>
                  </w:r>
                </w:p>
              </w:tc>
              <w:tc>
                <w:tcPr>
                  <w:tcW w:w="861" w:type="dxa"/>
                  <w:tcBorders>
                    <w:top w:val="nil"/>
                    <w:left w:val="nil"/>
                    <w:bottom w:val="nil"/>
                    <w:right w:val="nil"/>
                  </w:tcBorders>
                  <w:shd w:val="clear" w:color="auto" w:fill="auto"/>
                  <w:noWrap/>
                  <w:vAlign w:val="center"/>
                </w:tcPr>
                <w:p w14:paraId="5527ED00"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1156</w:t>
                  </w:r>
                </w:p>
              </w:tc>
            </w:tr>
            <w:tr w:rsidR="00230008" w:rsidRPr="00230008" w14:paraId="3197A9AF" w14:textId="77777777" w:rsidTr="00D72849">
              <w:trPr>
                <w:trHeight w:val="288"/>
                <w:jc w:val="center"/>
              </w:trPr>
              <w:tc>
                <w:tcPr>
                  <w:tcW w:w="1416" w:type="dxa"/>
                  <w:tcBorders>
                    <w:top w:val="nil"/>
                    <w:left w:val="nil"/>
                    <w:bottom w:val="nil"/>
                    <w:right w:val="nil"/>
                  </w:tcBorders>
                  <w:shd w:val="clear" w:color="auto" w:fill="auto"/>
                  <w:noWrap/>
                  <w:vAlign w:val="center"/>
                </w:tcPr>
                <w:p w14:paraId="01292ABB" w14:textId="77777777" w:rsidR="00230008" w:rsidRPr="00230008" w:rsidRDefault="00230008" w:rsidP="00230008">
                  <w:pPr>
                    <w:spacing w:line="240" w:lineRule="auto"/>
                    <w:ind w:firstLineChars="0" w:firstLine="0"/>
                    <w:jc w:val="left"/>
                    <w:rPr>
                      <w:rFonts w:eastAsia="宋体"/>
                      <w:color w:val="000000"/>
                      <w:kern w:val="0"/>
                      <w:sz w:val="20"/>
                      <w:szCs w:val="20"/>
                      <w:lang w:eastAsia="zh-CN" w:bidi="ar-SA"/>
                    </w:rPr>
                  </w:pPr>
                  <w:r w:rsidRPr="00230008">
                    <w:rPr>
                      <w:rFonts w:ascii="楷体" w:eastAsia="楷体" w:hAnsi="楷体" w:hint="eastAsia"/>
                      <w:color w:val="000000"/>
                      <w:kern w:val="0"/>
                      <w:sz w:val="20"/>
                      <w:szCs w:val="20"/>
                      <w:lang w:eastAsia="zh-CN" w:bidi="ar-SA"/>
                    </w:rPr>
                    <w:t>欧盟</w:t>
                  </w:r>
                </w:p>
              </w:tc>
              <w:tc>
                <w:tcPr>
                  <w:tcW w:w="861" w:type="dxa"/>
                  <w:tcBorders>
                    <w:top w:val="nil"/>
                    <w:left w:val="nil"/>
                    <w:bottom w:val="nil"/>
                    <w:right w:val="nil"/>
                  </w:tcBorders>
                  <w:shd w:val="clear" w:color="auto" w:fill="auto"/>
                  <w:noWrap/>
                  <w:vAlign w:val="center"/>
                </w:tcPr>
                <w:p w14:paraId="2358E708"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7.6</w:t>
                  </w:r>
                </w:p>
              </w:tc>
              <w:tc>
                <w:tcPr>
                  <w:tcW w:w="861" w:type="dxa"/>
                  <w:tcBorders>
                    <w:top w:val="nil"/>
                    <w:left w:val="nil"/>
                    <w:bottom w:val="nil"/>
                    <w:right w:val="nil"/>
                  </w:tcBorders>
                  <w:shd w:val="clear" w:color="auto" w:fill="auto"/>
                  <w:noWrap/>
                  <w:vAlign w:val="center"/>
                </w:tcPr>
                <w:p w14:paraId="24A3DFFF"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9.6</w:t>
                  </w:r>
                </w:p>
              </w:tc>
              <w:tc>
                <w:tcPr>
                  <w:tcW w:w="861" w:type="dxa"/>
                  <w:tcBorders>
                    <w:top w:val="nil"/>
                    <w:left w:val="nil"/>
                    <w:bottom w:val="nil"/>
                    <w:right w:val="nil"/>
                  </w:tcBorders>
                  <w:shd w:val="clear" w:color="auto" w:fill="auto"/>
                  <w:noWrap/>
                  <w:vAlign w:val="center"/>
                </w:tcPr>
                <w:p w14:paraId="3DD5008F"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4.1</w:t>
                  </w:r>
                </w:p>
              </w:tc>
              <w:tc>
                <w:tcPr>
                  <w:tcW w:w="861" w:type="dxa"/>
                  <w:tcBorders>
                    <w:top w:val="nil"/>
                    <w:left w:val="nil"/>
                    <w:bottom w:val="nil"/>
                    <w:right w:val="nil"/>
                  </w:tcBorders>
                  <w:shd w:val="clear" w:color="auto" w:fill="auto"/>
                  <w:noWrap/>
                  <w:vAlign w:val="center"/>
                </w:tcPr>
                <w:p w14:paraId="2F8331A6"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1347</w:t>
                  </w:r>
                </w:p>
              </w:tc>
              <w:tc>
                <w:tcPr>
                  <w:tcW w:w="861" w:type="dxa"/>
                  <w:tcBorders>
                    <w:top w:val="nil"/>
                    <w:left w:val="nil"/>
                    <w:bottom w:val="nil"/>
                    <w:right w:val="nil"/>
                  </w:tcBorders>
                  <w:shd w:val="clear" w:color="auto" w:fill="auto"/>
                  <w:noWrap/>
                  <w:vAlign w:val="center"/>
                </w:tcPr>
                <w:p w14:paraId="5714783B"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1311</w:t>
                  </w:r>
                </w:p>
              </w:tc>
              <w:tc>
                <w:tcPr>
                  <w:tcW w:w="861" w:type="dxa"/>
                  <w:tcBorders>
                    <w:top w:val="nil"/>
                    <w:left w:val="nil"/>
                    <w:bottom w:val="nil"/>
                    <w:right w:val="nil"/>
                  </w:tcBorders>
                  <w:shd w:val="clear" w:color="auto" w:fill="auto"/>
                  <w:noWrap/>
                  <w:vAlign w:val="center"/>
                </w:tcPr>
                <w:p w14:paraId="475561D9"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1221</w:t>
                  </w:r>
                </w:p>
              </w:tc>
            </w:tr>
            <w:tr w:rsidR="00230008" w:rsidRPr="00230008" w14:paraId="4864A7CA" w14:textId="77777777" w:rsidTr="00D72849">
              <w:trPr>
                <w:trHeight w:val="288"/>
                <w:jc w:val="center"/>
              </w:trPr>
              <w:tc>
                <w:tcPr>
                  <w:tcW w:w="1416" w:type="dxa"/>
                  <w:tcBorders>
                    <w:top w:val="nil"/>
                    <w:left w:val="nil"/>
                    <w:bottom w:val="nil"/>
                    <w:right w:val="nil"/>
                  </w:tcBorders>
                  <w:shd w:val="clear" w:color="auto" w:fill="auto"/>
                  <w:noWrap/>
                  <w:vAlign w:val="center"/>
                </w:tcPr>
                <w:p w14:paraId="22556EF9" w14:textId="77777777" w:rsidR="00230008" w:rsidRPr="00230008" w:rsidRDefault="00230008" w:rsidP="00230008">
                  <w:pPr>
                    <w:spacing w:line="240" w:lineRule="auto"/>
                    <w:ind w:firstLineChars="0" w:firstLine="0"/>
                    <w:jc w:val="left"/>
                    <w:rPr>
                      <w:rFonts w:ascii="楷体" w:eastAsia="楷体" w:hAnsi="楷体" w:cs="宋体"/>
                      <w:color w:val="000000"/>
                      <w:kern w:val="0"/>
                      <w:sz w:val="20"/>
                      <w:szCs w:val="20"/>
                      <w:lang w:eastAsia="zh-CN" w:bidi="ar-SA"/>
                    </w:rPr>
                  </w:pPr>
                  <w:r w:rsidRPr="00230008">
                    <w:rPr>
                      <w:rFonts w:ascii="楷体" w:eastAsia="楷体" w:hAnsi="楷体" w:cs="宋体" w:hint="eastAsia"/>
                      <w:color w:val="000000"/>
                      <w:kern w:val="0"/>
                      <w:sz w:val="20"/>
                      <w:szCs w:val="20"/>
                      <w:lang w:eastAsia="zh-CN" w:bidi="ar-SA"/>
                    </w:rPr>
                    <w:t>中国香港</w:t>
                  </w:r>
                </w:p>
              </w:tc>
              <w:tc>
                <w:tcPr>
                  <w:tcW w:w="861" w:type="dxa"/>
                  <w:tcBorders>
                    <w:top w:val="nil"/>
                    <w:left w:val="nil"/>
                    <w:bottom w:val="nil"/>
                    <w:right w:val="nil"/>
                  </w:tcBorders>
                  <w:shd w:val="clear" w:color="auto" w:fill="auto"/>
                  <w:noWrap/>
                  <w:vAlign w:val="center"/>
                </w:tcPr>
                <w:p w14:paraId="428F1C7A"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8.5</w:t>
                  </w:r>
                </w:p>
              </w:tc>
              <w:tc>
                <w:tcPr>
                  <w:tcW w:w="861" w:type="dxa"/>
                  <w:tcBorders>
                    <w:top w:val="nil"/>
                    <w:left w:val="nil"/>
                    <w:bottom w:val="nil"/>
                    <w:right w:val="nil"/>
                  </w:tcBorders>
                  <w:shd w:val="clear" w:color="auto" w:fill="auto"/>
                  <w:noWrap/>
                  <w:vAlign w:val="center"/>
                </w:tcPr>
                <w:p w14:paraId="07443BE1"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-3</w:t>
                  </w:r>
                </w:p>
              </w:tc>
              <w:tc>
                <w:tcPr>
                  <w:tcW w:w="861" w:type="dxa"/>
                  <w:tcBorders>
                    <w:top w:val="nil"/>
                    <w:left w:val="nil"/>
                    <w:bottom w:val="nil"/>
                    <w:right w:val="nil"/>
                  </w:tcBorders>
                  <w:shd w:val="clear" w:color="auto" w:fill="auto"/>
                  <w:noWrap/>
                  <w:vAlign w:val="center"/>
                </w:tcPr>
                <w:p w14:paraId="5FB9EC1F"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7.3</w:t>
                  </w:r>
                </w:p>
              </w:tc>
              <w:tc>
                <w:tcPr>
                  <w:tcW w:w="861" w:type="dxa"/>
                  <w:tcBorders>
                    <w:top w:val="nil"/>
                    <w:left w:val="nil"/>
                    <w:bottom w:val="nil"/>
                    <w:right w:val="nil"/>
                  </w:tcBorders>
                  <w:shd w:val="clear" w:color="auto" w:fill="auto"/>
                  <w:noWrap/>
                  <w:vAlign w:val="center"/>
                </w:tcPr>
                <w:p w14:paraId="7AA442BD"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767</w:t>
                  </w:r>
                </w:p>
              </w:tc>
              <w:tc>
                <w:tcPr>
                  <w:tcW w:w="861" w:type="dxa"/>
                  <w:tcBorders>
                    <w:top w:val="nil"/>
                    <w:left w:val="nil"/>
                    <w:bottom w:val="nil"/>
                    <w:right w:val="nil"/>
                  </w:tcBorders>
                  <w:shd w:val="clear" w:color="auto" w:fill="auto"/>
                  <w:noWrap/>
                  <w:vAlign w:val="center"/>
                </w:tcPr>
                <w:p w14:paraId="0AA158EE"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787</w:t>
                  </w:r>
                </w:p>
              </w:tc>
              <w:tc>
                <w:tcPr>
                  <w:tcW w:w="861" w:type="dxa"/>
                  <w:tcBorders>
                    <w:top w:val="nil"/>
                    <w:left w:val="nil"/>
                    <w:bottom w:val="nil"/>
                    <w:right w:val="nil"/>
                  </w:tcBorders>
                  <w:shd w:val="clear" w:color="auto" w:fill="auto"/>
                  <w:noWrap/>
                  <w:vAlign w:val="center"/>
                </w:tcPr>
                <w:p w14:paraId="6ADD5722"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712</w:t>
                  </w:r>
                </w:p>
              </w:tc>
            </w:tr>
            <w:tr w:rsidR="00230008" w:rsidRPr="00230008" w14:paraId="3063EC51" w14:textId="77777777" w:rsidTr="00D72849">
              <w:trPr>
                <w:trHeight w:val="288"/>
                <w:jc w:val="center"/>
              </w:trPr>
              <w:tc>
                <w:tcPr>
                  <w:tcW w:w="1416" w:type="dxa"/>
                  <w:tcBorders>
                    <w:top w:val="nil"/>
                    <w:left w:val="nil"/>
                    <w:bottom w:val="nil"/>
                    <w:right w:val="nil"/>
                  </w:tcBorders>
                  <w:shd w:val="clear" w:color="auto" w:fill="auto"/>
                  <w:noWrap/>
                  <w:vAlign w:val="center"/>
                </w:tcPr>
                <w:p w14:paraId="5885D4B6" w14:textId="77777777" w:rsidR="00230008" w:rsidRPr="00230008" w:rsidRDefault="00230008" w:rsidP="00230008">
                  <w:pPr>
                    <w:spacing w:line="240" w:lineRule="auto"/>
                    <w:ind w:firstLineChars="0" w:firstLine="0"/>
                    <w:jc w:val="left"/>
                    <w:rPr>
                      <w:rFonts w:eastAsia="宋体"/>
                      <w:color w:val="000000"/>
                      <w:kern w:val="0"/>
                      <w:sz w:val="20"/>
                      <w:szCs w:val="20"/>
                      <w:lang w:eastAsia="zh-CN" w:bidi="ar-SA"/>
                    </w:rPr>
                  </w:pPr>
                  <w:r w:rsidRPr="00230008">
                    <w:rPr>
                      <w:rFonts w:ascii="楷体" w:eastAsia="楷体" w:hAnsi="楷体" w:hint="eastAsia"/>
                      <w:color w:val="000000"/>
                      <w:kern w:val="0"/>
                      <w:sz w:val="20"/>
                      <w:szCs w:val="20"/>
                      <w:lang w:eastAsia="zh-CN" w:bidi="ar-SA"/>
                    </w:rPr>
                    <w:t>日本</w:t>
                  </w:r>
                </w:p>
              </w:tc>
              <w:tc>
                <w:tcPr>
                  <w:tcW w:w="861" w:type="dxa"/>
                  <w:tcBorders>
                    <w:top w:val="nil"/>
                    <w:left w:val="nil"/>
                    <w:bottom w:val="nil"/>
                    <w:right w:val="nil"/>
                  </w:tcBorders>
                  <w:shd w:val="clear" w:color="auto" w:fill="auto"/>
                  <w:noWrap/>
                  <w:vAlign w:val="center"/>
                </w:tcPr>
                <w:p w14:paraId="213E2C47"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-4.4</w:t>
                  </w:r>
                </w:p>
              </w:tc>
              <w:tc>
                <w:tcPr>
                  <w:tcW w:w="861" w:type="dxa"/>
                  <w:tcBorders>
                    <w:top w:val="nil"/>
                    <w:left w:val="nil"/>
                    <w:bottom w:val="nil"/>
                    <w:right w:val="nil"/>
                  </w:tcBorders>
                  <w:shd w:val="clear" w:color="auto" w:fill="auto"/>
                  <w:noWrap/>
                  <w:vAlign w:val="center"/>
                </w:tcPr>
                <w:p w14:paraId="69355152"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3</w:t>
                  </w:r>
                </w:p>
              </w:tc>
              <w:tc>
                <w:tcPr>
                  <w:tcW w:w="861" w:type="dxa"/>
                  <w:tcBorders>
                    <w:top w:val="nil"/>
                    <w:left w:val="nil"/>
                    <w:bottom w:val="nil"/>
                    <w:right w:val="nil"/>
                  </w:tcBorders>
                  <w:shd w:val="clear" w:color="auto" w:fill="auto"/>
                  <w:noWrap/>
                  <w:vAlign w:val="center"/>
                </w:tcPr>
                <w:p w14:paraId="3D7D931A"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2.8</w:t>
                  </w:r>
                </w:p>
              </w:tc>
              <w:tc>
                <w:tcPr>
                  <w:tcW w:w="861" w:type="dxa"/>
                  <w:tcBorders>
                    <w:top w:val="nil"/>
                    <w:left w:val="nil"/>
                    <w:bottom w:val="nil"/>
                    <w:right w:val="nil"/>
                  </w:tcBorders>
                  <w:shd w:val="clear" w:color="auto" w:fill="auto"/>
                  <w:noWrap/>
                  <w:vAlign w:val="center"/>
                </w:tcPr>
                <w:p w14:paraId="15811DE5"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375</w:t>
                  </w:r>
                </w:p>
              </w:tc>
              <w:tc>
                <w:tcPr>
                  <w:tcW w:w="861" w:type="dxa"/>
                  <w:tcBorders>
                    <w:top w:val="nil"/>
                    <w:left w:val="nil"/>
                    <w:bottom w:val="nil"/>
                    <w:right w:val="nil"/>
                  </w:tcBorders>
                  <w:shd w:val="clear" w:color="auto" w:fill="auto"/>
                  <w:noWrap/>
                  <w:vAlign w:val="center"/>
                </w:tcPr>
                <w:p w14:paraId="15649EAE"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404</w:t>
                  </w:r>
                </w:p>
              </w:tc>
              <w:tc>
                <w:tcPr>
                  <w:tcW w:w="861" w:type="dxa"/>
                  <w:tcBorders>
                    <w:top w:val="nil"/>
                    <w:left w:val="nil"/>
                    <w:bottom w:val="nil"/>
                    <w:right w:val="nil"/>
                  </w:tcBorders>
                  <w:shd w:val="clear" w:color="auto" w:fill="auto"/>
                  <w:noWrap/>
                  <w:vAlign w:val="center"/>
                </w:tcPr>
                <w:p w14:paraId="50282D6F"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380</w:t>
                  </w:r>
                </w:p>
              </w:tc>
            </w:tr>
            <w:tr w:rsidR="00230008" w:rsidRPr="00230008" w14:paraId="2A9E34D5" w14:textId="77777777" w:rsidTr="00D72849">
              <w:trPr>
                <w:trHeight w:val="288"/>
                <w:jc w:val="center"/>
              </w:trPr>
              <w:tc>
                <w:tcPr>
                  <w:tcW w:w="1416" w:type="dxa"/>
                  <w:tcBorders>
                    <w:top w:val="nil"/>
                    <w:left w:val="nil"/>
                    <w:bottom w:val="nil"/>
                    <w:right w:val="nil"/>
                  </w:tcBorders>
                  <w:shd w:val="clear" w:color="auto" w:fill="auto"/>
                  <w:noWrap/>
                  <w:vAlign w:val="center"/>
                </w:tcPr>
                <w:p w14:paraId="046DB5F9" w14:textId="77777777" w:rsidR="00230008" w:rsidRPr="00230008" w:rsidRDefault="00230008" w:rsidP="00230008">
                  <w:pPr>
                    <w:spacing w:line="240" w:lineRule="auto"/>
                    <w:ind w:firstLineChars="0" w:firstLine="0"/>
                    <w:jc w:val="left"/>
                    <w:rPr>
                      <w:rFonts w:eastAsia="宋体"/>
                      <w:color w:val="000000"/>
                      <w:kern w:val="0"/>
                      <w:sz w:val="20"/>
                      <w:szCs w:val="20"/>
                      <w:lang w:eastAsia="zh-CN" w:bidi="ar-SA"/>
                    </w:rPr>
                  </w:pPr>
                  <w:r w:rsidRPr="00230008">
                    <w:rPr>
                      <w:rFonts w:ascii="楷体" w:eastAsia="楷体" w:hAnsi="楷体" w:hint="eastAsia"/>
                      <w:color w:val="000000"/>
                      <w:kern w:val="0"/>
                      <w:sz w:val="20"/>
                      <w:szCs w:val="20"/>
                      <w:lang w:eastAsia="zh-CN" w:bidi="ar-SA"/>
                    </w:rPr>
                    <w:t>东盟</w:t>
                  </w:r>
                </w:p>
              </w:tc>
              <w:tc>
                <w:tcPr>
                  <w:tcW w:w="861" w:type="dxa"/>
                  <w:tcBorders>
                    <w:top w:val="nil"/>
                    <w:left w:val="nil"/>
                    <w:bottom w:val="nil"/>
                    <w:right w:val="nil"/>
                  </w:tcBorders>
                  <w:shd w:val="clear" w:color="auto" w:fill="auto"/>
                  <w:noWrap/>
                  <w:vAlign w:val="center"/>
                </w:tcPr>
                <w:p w14:paraId="7FEABD10"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8.8</w:t>
                  </w:r>
                </w:p>
              </w:tc>
              <w:tc>
                <w:tcPr>
                  <w:tcW w:w="861" w:type="dxa"/>
                  <w:tcBorders>
                    <w:top w:val="nil"/>
                    <w:left w:val="nil"/>
                    <w:bottom w:val="nil"/>
                    <w:right w:val="nil"/>
                  </w:tcBorders>
                  <w:shd w:val="clear" w:color="auto" w:fill="auto"/>
                  <w:noWrap/>
                  <w:vAlign w:val="center"/>
                </w:tcPr>
                <w:p w14:paraId="6B640413"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16.6</w:t>
                  </w:r>
                </w:p>
              </w:tc>
              <w:tc>
                <w:tcPr>
                  <w:tcW w:w="861" w:type="dxa"/>
                  <w:tcBorders>
                    <w:top w:val="nil"/>
                    <w:left w:val="nil"/>
                    <w:bottom w:val="nil"/>
                    <w:right w:val="nil"/>
                  </w:tcBorders>
                  <w:shd w:val="clear" w:color="auto" w:fill="auto"/>
                  <w:noWrap/>
                  <w:vAlign w:val="center"/>
                </w:tcPr>
                <w:p w14:paraId="76FD3114"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7.8</w:t>
                  </w:r>
                </w:p>
              </w:tc>
              <w:tc>
                <w:tcPr>
                  <w:tcW w:w="861" w:type="dxa"/>
                  <w:tcBorders>
                    <w:top w:val="nil"/>
                    <w:left w:val="nil"/>
                    <w:bottom w:val="nil"/>
                    <w:right w:val="nil"/>
                  </w:tcBorders>
                  <w:shd w:val="clear" w:color="auto" w:fill="auto"/>
                  <w:noWrap/>
                  <w:vAlign w:val="center"/>
                </w:tcPr>
                <w:p w14:paraId="6A50C6EC"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1399</w:t>
                  </w:r>
                </w:p>
              </w:tc>
              <w:tc>
                <w:tcPr>
                  <w:tcW w:w="861" w:type="dxa"/>
                  <w:tcBorders>
                    <w:top w:val="nil"/>
                    <w:left w:val="nil"/>
                    <w:bottom w:val="nil"/>
                    <w:right w:val="nil"/>
                  </w:tcBorders>
                  <w:shd w:val="clear" w:color="auto" w:fill="auto"/>
                  <w:noWrap/>
                  <w:vAlign w:val="center"/>
                </w:tcPr>
                <w:p w14:paraId="37EC32E9"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1614</w:t>
                  </w:r>
                </w:p>
              </w:tc>
              <w:tc>
                <w:tcPr>
                  <w:tcW w:w="861" w:type="dxa"/>
                  <w:tcBorders>
                    <w:top w:val="nil"/>
                    <w:left w:val="nil"/>
                    <w:bottom w:val="nil"/>
                    <w:right w:val="nil"/>
                  </w:tcBorders>
                  <w:shd w:val="clear" w:color="auto" w:fill="auto"/>
                  <w:noWrap/>
                  <w:vAlign w:val="center"/>
                </w:tcPr>
                <w:p w14:paraId="7B69F30D"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1462</w:t>
                  </w:r>
                </w:p>
              </w:tc>
            </w:tr>
            <w:tr w:rsidR="00230008" w:rsidRPr="00230008" w14:paraId="6534CD38" w14:textId="77777777" w:rsidTr="00D72849">
              <w:trPr>
                <w:trHeight w:val="300"/>
                <w:jc w:val="center"/>
              </w:trPr>
              <w:tc>
                <w:tcPr>
                  <w:tcW w:w="1416" w:type="dxa"/>
                  <w:tcBorders>
                    <w:top w:val="nil"/>
                    <w:left w:val="nil"/>
                    <w:bottom w:val="nil"/>
                    <w:right w:val="nil"/>
                  </w:tcBorders>
                  <w:shd w:val="clear" w:color="auto" w:fill="auto"/>
                  <w:noWrap/>
                  <w:vAlign w:val="center"/>
                </w:tcPr>
                <w:p w14:paraId="125D93A4" w14:textId="77777777" w:rsidR="00230008" w:rsidRPr="00230008" w:rsidRDefault="00230008" w:rsidP="00230008">
                  <w:pPr>
                    <w:spacing w:line="240" w:lineRule="auto"/>
                    <w:ind w:firstLineChars="0" w:firstLine="0"/>
                    <w:jc w:val="left"/>
                    <w:rPr>
                      <w:rFonts w:eastAsia="宋体"/>
                      <w:color w:val="000000"/>
                      <w:kern w:val="0"/>
                      <w:sz w:val="20"/>
                      <w:szCs w:val="20"/>
                      <w:lang w:eastAsia="zh-CN" w:bidi="ar-SA"/>
                    </w:rPr>
                  </w:pPr>
                  <w:r w:rsidRPr="00230008">
                    <w:rPr>
                      <w:rFonts w:ascii="楷体" w:eastAsia="楷体" w:hAnsi="楷体" w:hint="eastAsia"/>
                      <w:color w:val="000000"/>
                      <w:kern w:val="0"/>
                      <w:sz w:val="20"/>
                      <w:szCs w:val="20"/>
                      <w:lang w:eastAsia="zh-CN" w:bidi="ar-SA"/>
                    </w:rPr>
                    <w:t>俄罗斯</w:t>
                  </w:r>
                </w:p>
              </w:tc>
              <w:tc>
                <w:tcPr>
                  <w:tcW w:w="861" w:type="dxa"/>
                  <w:tcBorders>
                    <w:top w:val="nil"/>
                    <w:left w:val="nil"/>
                    <w:bottom w:val="nil"/>
                    <w:right w:val="nil"/>
                  </w:tcBorders>
                  <w:shd w:val="clear" w:color="auto" w:fill="auto"/>
                  <w:noWrap/>
                  <w:vAlign w:val="center"/>
                </w:tcPr>
                <w:p w14:paraId="2AF5C043"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7.8</w:t>
                  </w:r>
                </w:p>
              </w:tc>
              <w:tc>
                <w:tcPr>
                  <w:tcW w:w="861" w:type="dxa"/>
                  <w:tcBorders>
                    <w:top w:val="nil"/>
                    <w:left w:val="nil"/>
                    <w:bottom w:val="nil"/>
                    <w:right w:val="nil"/>
                  </w:tcBorders>
                  <w:shd w:val="clear" w:color="auto" w:fill="auto"/>
                  <w:noWrap/>
                  <w:vAlign w:val="center"/>
                </w:tcPr>
                <w:p w14:paraId="30DDA155"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8.9</w:t>
                  </w:r>
                </w:p>
              </w:tc>
              <w:tc>
                <w:tcPr>
                  <w:tcW w:w="861" w:type="dxa"/>
                  <w:tcBorders>
                    <w:top w:val="nil"/>
                    <w:left w:val="nil"/>
                    <w:bottom w:val="nil"/>
                    <w:right w:val="nil"/>
                  </w:tcBorders>
                  <w:shd w:val="clear" w:color="auto" w:fill="auto"/>
                  <w:noWrap/>
                  <w:vAlign w:val="center"/>
                </w:tcPr>
                <w:p w14:paraId="41830F4C"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-7</w:t>
                  </w:r>
                </w:p>
              </w:tc>
              <w:tc>
                <w:tcPr>
                  <w:tcW w:w="861" w:type="dxa"/>
                  <w:tcBorders>
                    <w:top w:val="nil"/>
                    <w:left w:val="nil"/>
                    <w:bottom w:val="nil"/>
                    <w:right w:val="nil"/>
                  </w:tcBorders>
                  <w:shd w:val="clear" w:color="auto" w:fill="auto"/>
                  <w:noWrap/>
                  <w:vAlign w:val="center"/>
                </w:tcPr>
                <w:p w14:paraId="5BEEB325"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315</w:t>
                  </w:r>
                </w:p>
              </w:tc>
              <w:tc>
                <w:tcPr>
                  <w:tcW w:w="861" w:type="dxa"/>
                  <w:tcBorders>
                    <w:top w:val="nil"/>
                    <w:left w:val="nil"/>
                    <w:bottom w:val="nil"/>
                    <w:right w:val="nil"/>
                  </w:tcBorders>
                  <w:shd w:val="clear" w:color="auto" w:fill="auto"/>
                  <w:noWrap/>
                  <w:vAlign w:val="center"/>
                </w:tcPr>
                <w:p w14:paraId="6F5B78CA"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324</w:t>
                  </w:r>
                </w:p>
              </w:tc>
              <w:tc>
                <w:tcPr>
                  <w:tcW w:w="861" w:type="dxa"/>
                  <w:tcBorders>
                    <w:top w:val="nil"/>
                    <w:left w:val="nil"/>
                    <w:bottom w:val="nil"/>
                    <w:right w:val="nil"/>
                  </w:tcBorders>
                  <w:shd w:val="clear" w:color="auto" w:fill="auto"/>
                  <w:noWrap/>
                  <w:vAlign w:val="center"/>
                </w:tcPr>
                <w:p w14:paraId="2335E23C"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227</w:t>
                  </w:r>
                </w:p>
              </w:tc>
            </w:tr>
            <w:tr w:rsidR="00230008" w:rsidRPr="00230008" w14:paraId="3722F137" w14:textId="77777777" w:rsidTr="00D72849">
              <w:trPr>
                <w:trHeight w:val="312"/>
                <w:jc w:val="center"/>
              </w:trPr>
              <w:tc>
                <w:tcPr>
                  <w:tcW w:w="1416" w:type="dxa"/>
                  <w:tcBorders>
                    <w:top w:val="single" w:sz="4" w:space="0" w:color="auto"/>
                    <w:left w:val="nil"/>
                    <w:bottom w:val="nil"/>
                    <w:right w:val="nil"/>
                  </w:tcBorders>
                  <w:shd w:val="clear" w:color="000000" w:fill="74A3BA"/>
                  <w:noWrap/>
                  <w:vAlign w:val="center"/>
                </w:tcPr>
                <w:p w14:paraId="35B1CABD" w14:textId="77777777" w:rsidR="00230008" w:rsidRPr="00230008" w:rsidRDefault="00230008" w:rsidP="00230008">
                  <w:pPr>
                    <w:spacing w:line="240" w:lineRule="auto"/>
                    <w:ind w:firstLineChars="0" w:firstLine="0"/>
                    <w:jc w:val="left"/>
                    <w:rPr>
                      <w:rFonts w:eastAsia="宋体"/>
                      <w:color w:val="000000"/>
                      <w:kern w:val="0"/>
                      <w:sz w:val="20"/>
                      <w:szCs w:val="20"/>
                      <w:lang w:eastAsia="zh-CN" w:bidi="ar-SA"/>
                    </w:rPr>
                  </w:pPr>
                  <w:r w:rsidRPr="00230008">
                    <w:rPr>
                      <w:rFonts w:eastAsia="宋体"/>
                      <w:color w:val="000000"/>
                      <w:kern w:val="0"/>
                      <w:sz w:val="20"/>
                      <w:szCs w:val="20"/>
                      <w:lang w:eastAsia="zh-CN" w:bidi="ar-SA"/>
                    </w:rPr>
                    <w:t>3.</w:t>
                  </w:r>
                  <w:r w:rsidRPr="00230008">
                    <w:rPr>
                      <w:rFonts w:ascii="楷体" w:eastAsia="楷体" w:hAnsi="楷体" w:hint="eastAsia"/>
                      <w:color w:val="000000"/>
                      <w:kern w:val="0"/>
                      <w:sz w:val="20"/>
                      <w:szCs w:val="20"/>
                      <w:lang w:eastAsia="zh-CN" w:bidi="ar-SA"/>
                    </w:rPr>
                    <w:t>贸易方式</w:t>
                  </w:r>
                </w:p>
              </w:tc>
              <w:tc>
                <w:tcPr>
                  <w:tcW w:w="861" w:type="dxa"/>
                  <w:tcBorders>
                    <w:top w:val="single" w:sz="4" w:space="0" w:color="auto"/>
                    <w:left w:val="nil"/>
                    <w:bottom w:val="nil"/>
                    <w:right w:val="nil"/>
                  </w:tcBorders>
                  <w:shd w:val="clear" w:color="000000" w:fill="74A3BA"/>
                  <w:noWrap/>
                  <w:vAlign w:val="center"/>
                </w:tcPr>
                <w:p w14:paraId="00BB95FF" w14:textId="77777777" w:rsidR="00230008" w:rsidRPr="00230008" w:rsidRDefault="00230008" w:rsidP="00230008">
                  <w:pPr>
                    <w:spacing w:line="240" w:lineRule="auto"/>
                    <w:ind w:firstLineChars="0" w:firstLine="0"/>
                    <w:jc w:val="center"/>
                    <w:rPr>
                      <w:rFonts w:eastAsia="宋体"/>
                      <w:color w:val="000000"/>
                      <w:kern w:val="0"/>
                      <w:sz w:val="20"/>
                      <w:szCs w:val="20"/>
                      <w:lang w:eastAsia="zh-CN" w:bidi="ar-SA"/>
                    </w:rPr>
                  </w:pPr>
                  <w:r w:rsidRPr="00230008">
                    <w:rPr>
                      <w:rFonts w:eastAsia="宋体"/>
                      <w:color w:val="000000"/>
                      <w:kern w:val="0"/>
                      <w:sz w:val="20"/>
                      <w:szCs w:val="20"/>
                      <w:lang w:eastAsia="zh-CN" w:bidi="ar-SA"/>
                    </w:rPr>
                    <w:t xml:space="preserve">　</w:t>
                  </w:r>
                </w:p>
              </w:tc>
              <w:tc>
                <w:tcPr>
                  <w:tcW w:w="861" w:type="dxa"/>
                  <w:tcBorders>
                    <w:top w:val="single" w:sz="4" w:space="0" w:color="auto"/>
                    <w:left w:val="nil"/>
                    <w:bottom w:val="nil"/>
                    <w:right w:val="nil"/>
                  </w:tcBorders>
                  <w:shd w:val="clear" w:color="000000" w:fill="74A3BA"/>
                  <w:noWrap/>
                  <w:vAlign w:val="center"/>
                </w:tcPr>
                <w:p w14:paraId="3776093D" w14:textId="77777777" w:rsidR="00230008" w:rsidRPr="00230008" w:rsidRDefault="00230008" w:rsidP="00230008">
                  <w:pPr>
                    <w:spacing w:line="240" w:lineRule="auto"/>
                    <w:ind w:firstLineChars="0" w:firstLine="0"/>
                    <w:jc w:val="center"/>
                    <w:rPr>
                      <w:rFonts w:eastAsia="宋体"/>
                      <w:color w:val="000000"/>
                      <w:kern w:val="0"/>
                      <w:sz w:val="20"/>
                      <w:szCs w:val="20"/>
                      <w:lang w:eastAsia="zh-CN" w:bidi="ar-SA"/>
                    </w:rPr>
                  </w:pPr>
                  <w:r w:rsidRPr="00230008">
                    <w:rPr>
                      <w:rFonts w:eastAsia="宋体"/>
                      <w:color w:val="000000"/>
                      <w:kern w:val="0"/>
                      <w:sz w:val="20"/>
                      <w:szCs w:val="20"/>
                      <w:lang w:eastAsia="zh-CN" w:bidi="ar-SA"/>
                    </w:rPr>
                    <w:t xml:space="preserve">　</w:t>
                  </w:r>
                </w:p>
              </w:tc>
              <w:tc>
                <w:tcPr>
                  <w:tcW w:w="861" w:type="dxa"/>
                  <w:tcBorders>
                    <w:top w:val="single" w:sz="4" w:space="0" w:color="auto"/>
                    <w:left w:val="nil"/>
                    <w:bottom w:val="nil"/>
                    <w:right w:val="nil"/>
                  </w:tcBorders>
                  <w:shd w:val="clear" w:color="000000" w:fill="74A3BA"/>
                  <w:noWrap/>
                  <w:vAlign w:val="center"/>
                </w:tcPr>
                <w:p w14:paraId="464D4C71" w14:textId="77777777" w:rsidR="00230008" w:rsidRPr="00230008" w:rsidRDefault="00230008" w:rsidP="00230008">
                  <w:pPr>
                    <w:spacing w:line="240" w:lineRule="auto"/>
                    <w:ind w:firstLineChars="0" w:firstLine="0"/>
                    <w:jc w:val="center"/>
                    <w:rPr>
                      <w:rFonts w:eastAsia="宋体"/>
                      <w:color w:val="000000"/>
                      <w:kern w:val="0"/>
                      <w:sz w:val="20"/>
                      <w:szCs w:val="20"/>
                      <w:lang w:eastAsia="zh-CN" w:bidi="ar-SA"/>
                    </w:rPr>
                  </w:pPr>
                  <w:r w:rsidRPr="00230008">
                    <w:rPr>
                      <w:rFonts w:eastAsia="宋体"/>
                      <w:color w:val="000000"/>
                      <w:kern w:val="0"/>
                      <w:sz w:val="20"/>
                      <w:szCs w:val="20"/>
                      <w:lang w:eastAsia="zh-CN" w:bidi="ar-SA"/>
                    </w:rPr>
                    <w:t xml:space="preserve">　</w:t>
                  </w:r>
                </w:p>
              </w:tc>
              <w:tc>
                <w:tcPr>
                  <w:tcW w:w="861" w:type="dxa"/>
                  <w:tcBorders>
                    <w:top w:val="single" w:sz="4" w:space="0" w:color="auto"/>
                    <w:left w:val="nil"/>
                    <w:bottom w:val="nil"/>
                    <w:right w:val="nil"/>
                  </w:tcBorders>
                  <w:shd w:val="clear" w:color="000000" w:fill="74A3BA"/>
                  <w:noWrap/>
                  <w:vAlign w:val="center"/>
                </w:tcPr>
                <w:p w14:paraId="1E7A63D8" w14:textId="77777777" w:rsidR="00230008" w:rsidRPr="00230008" w:rsidRDefault="00230008" w:rsidP="00230008">
                  <w:pPr>
                    <w:spacing w:line="240" w:lineRule="auto"/>
                    <w:ind w:firstLineChars="0" w:firstLine="0"/>
                    <w:jc w:val="center"/>
                    <w:rPr>
                      <w:rFonts w:eastAsia="宋体"/>
                      <w:color w:val="000000"/>
                      <w:kern w:val="0"/>
                      <w:sz w:val="20"/>
                      <w:szCs w:val="20"/>
                      <w:lang w:eastAsia="zh-CN" w:bidi="ar-SA"/>
                    </w:rPr>
                  </w:pPr>
                  <w:r w:rsidRPr="00230008">
                    <w:rPr>
                      <w:rFonts w:eastAsia="宋体"/>
                      <w:color w:val="000000"/>
                      <w:kern w:val="0"/>
                      <w:sz w:val="20"/>
                      <w:szCs w:val="20"/>
                      <w:lang w:eastAsia="zh-CN" w:bidi="ar-SA"/>
                    </w:rPr>
                    <w:t xml:space="preserve">　</w:t>
                  </w:r>
                </w:p>
              </w:tc>
              <w:tc>
                <w:tcPr>
                  <w:tcW w:w="861" w:type="dxa"/>
                  <w:tcBorders>
                    <w:top w:val="single" w:sz="4" w:space="0" w:color="auto"/>
                    <w:left w:val="nil"/>
                    <w:bottom w:val="nil"/>
                    <w:right w:val="nil"/>
                  </w:tcBorders>
                  <w:shd w:val="clear" w:color="000000" w:fill="74A3BA"/>
                  <w:noWrap/>
                  <w:vAlign w:val="center"/>
                </w:tcPr>
                <w:p w14:paraId="5855124F" w14:textId="77777777" w:rsidR="00230008" w:rsidRPr="00230008" w:rsidRDefault="00230008" w:rsidP="00230008">
                  <w:pPr>
                    <w:spacing w:line="240" w:lineRule="auto"/>
                    <w:ind w:firstLineChars="0" w:firstLine="0"/>
                    <w:jc w:val="center"/>
                    <w:rPr>
                      <w:rFonts w:eastAsia="宋体"/>
                      <w:color w:val="000000"/>
                      <w:kern w:val="0"/>
                      <w:sz w:val="20"/>
                      <w:szCs w:val="20"/>
                      <w:lang w:eastAsia="zh-CN" w:bidi="ar-SA"/>
                    </w:rPr>
                  </w:pPr>
                  <w:r w:rsidRPr="00230008">
                    <w:rPr>
                      <w:rFonts w:eastAsia="宋体"/>
                      <w:color w:val="000000"/>
                      <w:kern w:val="0"/>
                      <w:sz w:val="20"/>
                      <w:szCs w:val="20"/>
                      <w:lang w:eastAsia="zh-CN" w:bidi="ar-SA"/>
                    </w:rPr>
                    <w:t xml:space="preserve">　</w:t>
                  </w:r>
                </w:p>
              </w:tc>
              <w:tc>
                <w:tcPr>
                  <w:tcW w:w="861" w:type="dxa"/>
                  <w:tcBorders>
                    <w:top w:val="single" w:sz="4" w:space="0" w:color="auto"/>
                    <w:left w:val="nil"/>
                    <w:bottom w:val="nil"/>
                    <w:right w:val="nil"/>
                  </w:tcBorders>
                  <w:shd w:val="clear" w:color="000000" w:fill="74A3BA"/>
                  <w:noWrap/>
                  <w:vAlign w:val="center"/>
                </w:tcPr>
                <w:p w14:paraId="52AC4D6B" w14:textId="77777777" w:rsidR="00230008" w:rsidRPr="00230008" w:rsidRDefault="00230008" w:rsidP="00230008">
                  <w:pPr>
                    <w:spacing w:line="240" w:lineRule="auto"/>
                    <w:ind w:firstLineChars="0" w:firstLine="0"/>
                    <w:jc w:val="center"/>
                    <w:rPr>
                      <w:rFonts w:eastAsia="宋体"/>
                      <w:color w:val="000000"/>
                      <w:kern w:val="0"/>
                      <w:sz w:val="20"/>
                      <w:szCs w:val="20"/>
                      <w:lang w:eastAsia="zh-CN" w:bidi="ar-SA"/>
                    </w:rPr>
                  </w:pPr>
                  <w:r w:rsidRPr="00230008">
                    <w:rPr>
                      <w:rFonts w:eastAsia="宋体"/>
                      <w:color w:val="000000"/>
                      <w:kern w:val="0"/>
                      <w:sz w:val="20"/>
                      <w:szCs w:val="20"/>
                      <w:lang w:eastAsia="zh-CN" w:bidi="ar-SA"/>
                    </w:rPr>
                    <w:t xml:space="preserve">　</w:t>
                  </w:r>
                </w:p>
              </w:tc>
            </w:tr>
            <w:tr w:rsidR="00230008" w:rsidRPr="00230008" w14:paraId="7A415B42" w14:textId="77777777" w:rsidTr="00D72849">
              <w:trPr>
                <w:trHeight w:val="312"/>
                <w:jc w:val="center"/>
              </w:trPr>
              <w:tc>
                <w:tcPr>
                  <w:tcW w:w="1416" w:type="dxa"/>
                  <w:tcBorders>
                    <w:top w:val="nil"/>
                    <w:left w:val="nil"/>
                    <w:bottom w:val="nil"/>
                    <w:right w:val="nil"/>
                  </w:tcBorders>
                  <w:shd w:val="clear" w:color="000000" w:fill="74A3BA"/>
                  <w:noWrap/>
                  <w:vAlign w:val="center"/>
                </w:tcPr>
                <w:p w14:paraId="528CA1AC" w14:textId="77777777" w:rsidR="00230008" w:rsidRPr="00230008" w:rsidRDefault="00230008" w:rsidP="00230008">
                  <w:pPr>
                    <w:spacing w:line="240" w:lineRule="auto"/>
                    <w:ind w:firstLineChars="0" w:firstLine="0"/>
                    <w:jc w:val="left"/>
                    <w:rPr>
                      <w:rFonts w:eastAsia="宋体"/>
                      <w:color w:val="000000"/>
                      <w:kern w:val="0"/>
                      <w:sz w:val="20"/>
                      <w:szCs w:val="20"/>
                      <w:lang w:eastAsia="zh-CN" w:bidi="ar-SA"/>
                    </w:rPr>
                  </w:pPr>
                  <w:r w:rsidRPr="00230008">
                    <w:rPr>
                      <w:rFonts w:eastAsia="宋体"/>
                      <w:color w:val="000000"/>
                      <w:kern w:val="0"/>
                      <w:sz w:val="20"/>
                      <w:szCs w:val="20"/>
                      <w:lang w:eastAsia="zh-CN" w:bidi="ar-SA"/>
                    </w:rPr>
                    <w:t xml:space="preserve">　</w:t>
                  </w:r>
                </w:p>
              </w:tc>
              <w:tc>
                <w:tcPr>
                  <w:tcW w:w="2583" w:type="dxa"/>
                  <w:gridSpan w:val="3"/>
                  <w:tcBorders>
                    <w:top w:val="nil"/>
                    <w:left w:val="nil"/>
                    <w:bottom w:val="nil"/>
                    <w:right w:val="nil"/>
                  </w:tcBorders>
                  <w:shd w:val="clear" w:color="000000" w:fill="74A3BA"/>
                  <w:noWrap/>
                  <w:vAlign w:val="center"/>
                </w:tcPr>
                <w:p w14:paraId="78232364" w14:textId="77777777" w:rsidR="00230008" w:rsidRPr="00230008" w:rsidRDefault="00230008" w:rsidP="00230008">
                  <w:pPr>
                    <w:spacing w:line="240" w:lineRule="auto"/>
                    <w:ind w:firstLineChars="0" w:firstLine="0"/>
                    <w:jc w:val="center"/>
                    <w:rPr>
                      <w:rFonts w:eastAsia="宋体"/>
                      <w:color w:val="000000"/>
                      <w:kern w:val="0"/>
                      <w:sz w:val="20"/>
                      <w:szCs w:val="20"/>
                      <w:lang w:eastAsia="zh-CN" w:bidi="ar-SA"/>
                    </w:rPr>
                  </w:pPr>
                  <w:r w:rsidRPr="00230008">
                    <w:rPr>
                      <w:rFonts w:ascii="楷体" w:eastAsia="楷体" w:hAnsi="楷体" w:hint="eastAsia"/>
                      <w:color w:val="000000"/>
                      <w:kern w:val="0"/>
                      <w:sz w:val="20"/>
                      <w:szCs w:val="20"/>
                      <w:lang w:eastAsia="zh-CN" w:bidi="ar-SA"/>
                    </w:rPr>
                    <w:t>（美元同比</w:t>
                  </w:r>
                  <w:r w:rsidRPr="00230008">
                    <w:rPr>
                      <w:rFonts w:eastAsia="宋体"/>
                      <w:color w:val="000000"/>
                      <w:kern w:val="0"/>
                      <w:sz w:val="20"/>
                      <w:szCs w:val="20"/>
                      <w:lang w:eastAsia="zh-CN" w:bidi="ar-SA"/>
                    </w:rPr>
                    <w:t>/%</w:t>
                  </w:r>
                  <w:r w:rsidRPr="00230008">
                    <w:rPr>
                      <w:rFonts w:ascii="楷体" w:eastAsia="楷体" w:hAnsi="楷体" w:hint="eastAsia"/>
                      <w:color w:val="000000"/>
                      <w:kern w:val="0"/>
                      <w:sz w:val="20"/>
                      <w:szCs w:val="20"/>
                      <w:lang w:eastAsia="zh-CN" w:bidi="ar-SA"/>
                    </w:rPr>
                    <w:t>）</w:t>
                  </w:r>
                </w:p>
              </w:tc>
              <w:tc>
                <w:tcPr>
                  <w:tcW w:w="2583" w:type="dxa"/>
                  <w:gridSpan w:val="3"/>
                  <w:tcBorders>
                    <w:top w:val="nil"/>
                    <w:left w:val="nil"/>
                    <w:bottom w:val="nil"/>
                    <w:right w:val="nil"/>
                  </w:tcBorders>
                  <w:shd w:val="clear" w:color="000000" w:fill="74A3BA"/>
                  <w:noWrap/>
                  <w:vAlign w:val="center"/>
                </w:tcPr>
                <w:p w14:paraId="7711A059" w14:textId="77777777" w:rsidR="00230008" w:rsidRPr="00230008" w:rsidRDefault="00230008" w:rsidP="00230008">
                  <w:pPr>
                    <w:spacing w:line="240" w:lineRule="auto"/>
                    <w:ind w:firstLineChars="0" w:firstLine="0"/>
                    <w:jc w:val="center"/>
                    <w:rPr>
                      <w:rFonts w:eastAsia="宋体"/>
                      <w:color w:val="000000"/>
                      <w:kern w:val="0"/>
                      <w:sz w:val="20"/>
                      <w:szCs w:val="20"/>
                      <w:lang w:eastAsia="zh-CN" w:bidi="ar-SA"/>
                    </w:rPr>
                  </w:pPr>
                  <w:r w:rsidRPr="00230008">
                    <w:rPr>
                      <w:rFonts w:ascii="楷体" w:eastAsia="楷体" w:hAnsi="楷体" w:hint="eastAsia"/>
                      <w:color w:val="000000"/>
                      <w:kern w:val="0"/>
                      <w:sz w:val="20"/>
                      <w:szCs w:val="20"/>
                      <w:lang w:eastAsia="zh-CN" w:bidi="ar-SA"/>
                    </w:rPr>
                    <w:t>（规模</w:t>
                  </w:r>
                  <w:r w:rsidRPr="00230008">
                    <w:rPr>
                      <w:rFonts w:eastAsia="宋体"/>
                      <w:color w:val="000000"/>
                      <w:kern w:val="0"/>
                      <w:sz w:val="20"/>
                      <w:szCs w:val="20"/>
                      <w:lang w:eastAsia="zh-CN" w:bidi="ar-SA"/>
                    </w:rPr>
                    <w:t>/</w:t>
                  </w:r>
                  <w:r w:rsidRPr="00230008">
                    <w:rPr>
                      <w:rFonts w:ascii="楷体" w:eastAsia="楷体" w:hAnsi="楷体" w:hint="eastAsia"/>
                      <w:color w:val="000000"/>
                      <w:kern w:val="0"/>
                      <w:sz w:val="20"/>
                      <w:szCs w:val="20"/>
                      <w:lang w:eastAsia="zh-CN" w:bidi="ar-SA"/>
                    </w:rPr>
                    <w:t>亿美元）</w:t>
                  </w:r>
                </w:p>
              </w:tc>
            </w:tr>
            <w:tr w:rsidR="00230008" w:rsidRPr="00230008" w14:paraId="092A45FE" w14:textId="77777777" w:rsidTr="00D72849">
              <w:trPr>
                <w:trHeight w:val="312"/>
                <w:jc w:val="center"/>
              </w:trPr>
              <w:tc>
                <w:tcPr>
                  <w:tcW w:w="1416" w:type="dxa"/>
                  <w:tcBorders>
                    <w:top w:val="nil"/>
                    <w:left w:val="nil"/>
                    <w:bottom w:val="single" w:sz="4" w:space="0" w:color="auto"/>
                    <w:right w:val="nil"/>
                  </w:tcBorders>
                  <w:shd w:val="clear" w:color="000000" w:fill="74A3BA"/>
                  <w:noWrap/>
                  <w:vAlign w:val="center"/>
                </w:tcPr>
                <w:p w14:paraId="3856E697" w14:textId="77777777" w:rsidR="00230008" w:rsidRPr="00230008" w:rsidRDefault="00230008" w:rsidP="00230008">
                  <w:pPr>
                    <w:spacing w:line="240" w:lineRule="auto"/>
                    <w:ind w:firstLineChars="0" w:firstLine="0"/>
                    <w:jc w:val="left"/>
                    <w:rPr>
                      <w:rFonts w:eastAsia="宋体"/>
                      <w:color w:val="000000"/>
                      <w:kern w:val="0"/>
                      <w:sz w:val="20"/>
                      <w:szCs w:val="20"/>
                      <w:lang w:eastAsia="zh-CN" w:bidi="ar-SA"/>
                    </w:rPr>
                  </w:pPr>
                  <w:r w:rsidRPr="00230008">
                    <w:rPr>
                      <w:rFonts w:eastAsia="宋体"/>
                      <w:color w:val="000000"/>
                      <w:kern w:val="0"/>
                      <w:sz w:val="20"/>
                      <w:szCs w:val="20"/>
                      <w:lang w:eastAsia="zh-CN" w:bidi="ar-SA"/>
                    </w:rPr>
                    <w:t xml:space="preserve">　</w:t>
                  </w:r>
                </w:p>
              </w:tc>
              <w:tc>
                <w:tcPr>
                  <w:tcW w:w="861" w:type="dxa"/>
                  <w:tcBorders>
                    <w:top w:val="nil"/>
                    <w:left w:val="nil"/>
                    <w:bottom w:val="single" w:sz="4" w:space="0" w:color="auto"/>
                    <w:right w:val="nil"/>
                  </w:tcBorders>
                  <w:shd w:val="clear" w:color="000000" w:fill="74A3BA"/>
                  <w:noWrap/>
                  <w:vAlign w:val="center"/>
                </w:tcPr>
                <w:p w14:paraId="78D9132E"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2024Q3</w:t>
                  </w:r>
                </w:p>
              </w:tc>
              <w:tc>
                <w:tcPr>
                  <w:tcW w:w="861" w:type="dxa"/>
                  <w:tcBorders>
                    <w:top w:val="nil"/>
                    <w:left w:val="nil"/>
                    <w:bottom w:val="single" w:sz="4" w:space="0" w:color="auto"/>
                    <w:right w:val="nil"/>
                  </w:tcBorders>
                  <w:shd w:val="clear" w:color="000000" w:fill="74A3BA"/>
                  <w:noWrap/>
                  <w:vAlign w:val="center"/>
                </w:tcPr>
                <w:p w14:paraId="3AC1D43B"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2024Q4</w:t>
                  </w:r>
                </w:p>
              </w:tc>
              <w:tc>
                <w:tcPr>
                  <w:tcW w:w="861" w:type="dxa"/>
                  <w:tcBorders>
                    <w:top w:val="nil"/>
                    <w:left w:val="nil"/>
                    <w:bottom w:val="single" w:sz="4" w:space="0" w:color="auto"/>
                    <w:right w:val="nil"/>
                  </w:tcBorders>
                  <w:shd w:val="clear" w:color="000000" w:fill="74A3BA"/>
                  <w:noWrap/>
                  <w:vAlign w:val="center"/>
                </w:tcPr>
                <w:p w14:paraId="38F7B37A"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2025Q1</w:t>
                  </w:r>
                </w:p>
              </w:tc>
              <w:tc>
                <w:tcPr>
                  <w:tcW w:w="861" w:type="dxa"/>
                  <w:tcBorders>
                    <w:top w:val="nil"/>
                    <w:left w:val="nil"/>
                    <w:bottom w:val="single" w:sz="4" w:space="0" w:color="auto"/>
                    <w:right w:val="nil"/>
                  </w:tcBorders>
                  <w:shd w:val="clear" w:color="000000" w:fill="74A3BA"/>
                  <w:noWrap/>
                  <w:vAlign w:val="center"/>
                </w:tcPr>
                <w:p w14:paraId="11AD1335"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2024Q3</w:t>
                  </w:r>
                </w:p>
              </w:tc>
              <w:tc>
                <w:tcPr>
                  <w:tcW w:w="861" w:type="dxa"/>
                  <w:tcBorders>
                    <w:top w:val="nil"/>
                    <w:left w:val="nil"/>
                    <w:bottom w:val="single" w:sz="4" w:space="0" w:color="auto"/>
                    <w:right w:val="nil"/>
                  </w:tcBorders>
                  <w:shd w:val="clear" w:color="000000" w:fill="74A3BA"/>
                  <w:noWrap/>
                  <w:vAlign w:val="center"/>
                </w:tcPr>
                <w:p w14:paraId="37C6A176"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2024Q4</w:t>
                  </w:r>
                </w:p>
              </w:tc>
              <w:tc>
                <w:tcPr>
                  <w:tcW w:w="861" w:type="dxa"/>
                  <w:tcBorders>
                    <w:top w:val="nil"/>
                    <w:left w:val="nil"/>
                    <w:bottom w:val="single" w:sz="4" w:space="0" w:color="auto"/>
                    <w:right w:val="nil"/>
                  </w:tcBorders>
                  <w:shd w:val="clear" w:color="000000" w:fill="74A3BA"/>
                  <w:noWrap/>
                  <w:vAlign w:val="center"/>
                </w:tcPr>
                <w:p w14:paraId="5A2CF11A"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2025Q1</w:t>
                  </w:r>
                </w:p>
              </w:tc>
            </w:tr>
            <w:tr w:rsidR="00230008" w:rsidRPr="00230008" w14:paraId="1C74C31A" w14:textId="77777777" w:rsidTr="00D72849">
              <w:trPr>
                <w:trHeight w:val="312"/>
                <w:jc w:val="center"/>
              </w:trPr>
              <w:tc>
                <w:tcPr>
                  <w:tcW w:w="1416" w:type="dxa"/>
                  <w:tcBorders>
                    <w:top w:val="nil"/>
                    <w:left w:val="nil"/>
                    <w:bottom w:val="nil"/>
                    <w:right w:val="nil"/>
                  </w:tcBorders>
                  <w:shd w:val="clear" w:color="auto" w:fill="auto"/>
                  <w:noWrap/>
                  <w:vAlign w:val="center"/>
                </w:tcPr>
                <w:p w14:paraId="35CBE90E" w14:textId="77777777" w:rsidR="00230008" w:rsidRPr="00230008" w:rsidRDefault="00230008" w:rsidP="00230008">
                  <w:pPr>
                    <w:spacing w:line="240" w:lineRule="auto"/>
                    <w:ind w:firstLineChars="0" w:firstLine="0"/>
                    <w:jc w:val="left"/>
                    <w:rPr>
                      <w:rFonts w:eastAsia="宋体"/>
                      <w:color w:val="000000"/>
                      <w:kern w:val="0"/>
                      <w:sz w:val="20"/>
                      <w:szCs w:val="20"/>
                      <w:lang w:eastAsia="zh-CN" w:bidi="ar-SA"/>
                    </w:rPr>
                  </w:pPr>
                  <w:r w:rsidRPr="00230008">
                    <w:rPr>
                      <w:rFonts w:ascii="楷体" w:eastAsia="楷体" w:hAnsi="楷体" w:hint="eastAsia"/>
                      <w:color w:val="000000"/>
                      <w:kern w:val="0"/>
                      <w:sz w:val="20"/>
                      <w:szCs w:val="20"/>
                      <w:lang w:eastAsia="zh-CN" w:bidi="ar-SA"/>
                    </w:rPr>
                    <w:t>一般贸易出口</w:t>
                  </w:r>
                </w:p>
              </w:tc>
              <w:tc>
                <w:tcPr>
                  <w:tcW w:w="861" w:type="dxa"/>
                  <w:tcBorders>
                    <w:top w:val="nil"/>
                    <w:left w:val="nil"/>
                    <w:bottom w:val="nil"/>
                    <w:right w:val="nil"/>
                  </w:tcBorders>
                  <w:shd w:val="clear" w:color="auto" w:fill="auto"/>
                  <w:noWrap/>
                  <w:vAlign w:val="center"/>
                </w:tcPr>
                <w:p w14:paraId="6AB8985F"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4.9</w:t>
                  </w:r>
                </w:p>
              </w:tc>
              <w:tc>
                <w:tcPr>
                  <w:tcW w:w="861" w:type="dxa"/>
                  <w:tcBorders>
                    <w:top w:val="nil"/>
                    <w:left w:val="nil"/>
                    <w:bottom w:val="nil"/>
                    <w:right w:val="nil"/>
                  </w:tcBorders>
                  <w:shd w:val="clear" w:color="auto" w:fill="auto"/>
                  <w:noWrap/>
                  <w:vAlign w:val="center"/>
                </w:tcPr>
                <w:p w14:paraId="46BA6FFE"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12.6</w:t>
                  </w:r>
                </w:p>
              </w:tc>
              <w:tc>
                <w:tcPr>
                  <w:tcW w:w="861" w:type="dxa"/>
                  <w:tcBorders>
                    <w:top w:val="nil"/>
                    <w:left w:val="nil"/>
                    <w:bottom w:val="nil"/>
                    <w:right w:val="nil"/>
                  </w:tcBorders>
                  <w:shd w:val="clear" w:color="auto" w:fill="auto"/>
                  <w:noWrap/>
                  <w:vAlign w:val="center"/>
                </w:tcPr>
                <w:p w14:paraId="79674A4C"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5.6</w:t>
                  </w:r>
                </w:p>
              </w:tc>
              <w:tc>
                <w:tcPr>
                  <w:tcW w:w="861" w:type="dxa"/>
                  <w:tcBorders>
                    <w:top w:val="nil"/>
                    <w:left w:val="nil"/>
                    <w:bottom w:val="nil"/>
                    <w:right w:val="nil"/>
                  </w:tcBorders>
                  <w:shd w:val="clear" w:color="auto" w:fill="auto"/>
                  <w:noWrap/>
                  <w:vAlign w:val="center"/>
                </w:tcPr>
                <w:p w14:paraId="0A9A3C73"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5871</w:t>
                  </w:r>
                </w:p>
              </w:tc>
              <w:tc>
                <w:tcPr>
                  <w:tcW w:w="861" w:type="dxa"/>
                  <w:tcBorders>
                    <w:top w:val="nil"/>
                    <w:left w:val="nil"/>
                    <w:bottom w:val="nil"/>
                    <w:right w:val="nil"/>
                  </w:tcBorders>
                  <w:shd w:val="clear" w:color="auto" w:fill="auto"/>
                  <w:noWrap/>
                  <w:vAlign w:val="center"/>
                </w:tcPr>
                <w:p w14:paraId="5A0DBE8C"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6236</w:t>
                  </w:r>
                </w:p>
              </w:tc>
              <w:tc>
                <w:tcPr>
                  <w:tcW w:w="861" w:type="dxa"/>
                  <w:tcBorders>
                    <w:top w:val="nil"/>
                    <w:left w:val="nil"/>
                    <w:bottom w:val="nil"/>
                    <w:right w:val="nil"/>
                  </w:tcBorders>
                  <w:shd w:val="clear" w:color="auto" w:fill="auto"/>
                  <w:noWrap/>
                  <w:vAlign w:val="center"/>
                </w:tcPr>
                <w:p w14:paraId="5C53F898"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5620</w:t>
                  </w:r>
                </w:p>
              </w:tc>
            </w:tr>
            <w:tr w:rsidR="00230008" w:rsidRPr="00230008" w14:paraId="44B0C681" w14:textId="77777777" w:rsidTr="00D72849">
              <w:trPr>
                <w:trHeight w:val="312"/>
                <w:jc w:val="center"/>
              </w:trPr>
              <w:tc>
                <w:tcPr>
                  <w:tcW w:w="1416" w:type="dxa"/>
                  <w:tcBorders>
                    <w:top w:val="nil"/>
                    <w:left w:val="nil"/>
                    <w:bottom w:val="nil"/>
                    <w:right w:val="nil"/>
                  </w:tcBorders>
                  <w:shd w:val="clear" w:color="auto" w:fill="auto"/>
                  <w:noWrap/>
                  <w:vAlign w:val="center"/>
                </w:tcPr>
                <w:p w14:paraId="466D74CB" w14:textId="77777777" w:rsidR="00230008" w:rsidRPr="00230008" w:rsidRDefault="00230008" w:rsidP="00230008">
                  <w:pPr>
                    <w:spacing w:line="240" w:lineRule="auto"/>
                    <w:ind w:firstLineChars="0" w:firstLine="0"/>
                    <w:jc w:val="left"/>
                    <w:rPr>
                      <w:rFonts w:eastAsia="宋体"/>
                      <w:color w:val="000000"/>
                      <w:kern w:val="0"/>
                      <w:sz w:val="20"/>
                      <w:szCs w:val="20"/>
                      <w:lang w:eastAsia="zh-CN" w:bidi="ar-SA"/>
                    </w:rPr>
                  </w:pPr>
                  <w:r w:rsidRPr="00230008">
                    <w:rPr>
                      <w:rFonts w:ascii="楷体" w:eastAsia="楷体" w:hAnsi="楷体" w:hint="eastAsia"/>
                      <w:color w:val="000000"/>
                      <w:kern w:val="0"/>
                      <w:sz w:val="20"/>
                      <w:szCs w:val="20"/>
                      <w:lang w:eastAsia="zh-CN" w:bidi="ar-SA"/>
                    </w:rPr>
                    <w:t>加工贸易出口</w:t>
                  </w:r>
                </w:p>
              </w:tc>
              <w:tc>
                <w:tcPr>
                  <w:tcW w:w="861" w:type="dxa"/>
                  <w:tcBorders>
                    <w:top w:val="nil"/>
                    <w:left w:val="nil"/>
                    <w:bottom w:val="nil"/>
                    <w:right w:val="nil"/>
                  </w:tcBorders>
                  <w:shd w:val="clear" w:color="auto" w:fill="auto"/>
                  <w:noWrap/>
                  <w:vAlign w:val="center"/>
                </w:tcPr>
                <w:p w14:paraId="702659FF"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5.7</w:t>
                  </w:r>
                </w:p>
              </w:tc>
              <w:tc>
                <w:tcPr>
                  <w:tcW w:w="861" w:type="dxa"/>
                  <w:tcBorders>
                    <w:top w:val="nil"/>
                    <w:left w:val="nil"/>
                    <w:bottom w:val="nil"/>
                    <w:right w:val="nil"/>
                  </w:tcBorders>
                  <w:shd w:val="clear" w:color="auto" w:fill="auto"/>
                  <w:noWrap/>
                  <w:vAlign w:val="center"/>
                </w:tcPr>
                <w:p w14:paraId="0A578C11"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6.9</w:t>
                  </w:r>
                </w:p>
              </w:tc>
              <w:tc>
                <w:tcPr>
                  <w:tcW w:w="861" w:type="dxa"/>
                  <w:tcBorders>
                    <w:top w:val="nil"/>
                    <w:left w:val="nil"/>
                    <w:bottom w:val="nil"/>
                    <w:right w:val="nil"/>
                  </w:tcBorders>
                  <w:shd w:val="clear" w:color="auto" w:fill="auto"/>
                  <w:noWrap/>
                  <w:vAlign w:val="center"/>
                </w:tcPr>
                <w:p w14:paraId="5BA5288A"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5.1</w:t>
                  </w:r>
                </w:p>
              </w:tc>
              <w:tc>
                <w:tcPr>
                  <w:tcW w:w="861" w:type="dxa"/>
                  <w:tcBorders>
                    <w:top w:val="nil"/>
                    <w:left w:val="nil"/>
                    <w:bottom w:val="nil"/>
                    <w:right w:val="nil"/>
                  </w:tcBorders>
                  <w:shd w:val="clear" w:color="auto" w:fill="auto"/>
                  <w:noWrap/>
                  <w:vAlign w:val="center"/>
                </w:tcPr>
                <w:p w14:paraId="6A111118"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1868</w:t>
                  </w:r>
                </w:p>
              </w:tc>
              <w:tc>
                <w:tcPr>
                  <w:tcW w:w="861" w:type="dxa"/>
                  <w:tcBorders>
                    <w:top w:val="nil"/>
                    <w:left w:val="nil"/>
                    <w:bottom w:val="nil"/>
                    <w:right w:val="nil"/>
                  </w:tcBorders>
                  <w:shd w:val="clear" w:color="auto" w:fill="auto"/>
                  <w:noWrap/>
                  <w:vAlign w:val="center"/>
                </w:tcPr>
                <w:p w14:paraId="2BC9B331"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1929</w:t>
                  </w:r>
                </w:p>
              </w:tc>
              <w:tc>
                <w:tcPr>
                  <w:tcW w:w="861" w:type="dxa"/>
                  <w:tcBorders>
                    <w:top w:val="nil"/>
                    <w:left w:val="nil"/>
                    <w:bottom w:val="nil"/>
                    <w:right w:val="nil"/>
                  </w:tcBorders>
                  <w:shd w:val="clear" w:color="auto" w:fill="auto"/>
                  <w:noWrap/>
                  <w:vAlign w:val="center"/>
                </w:tcPr>
                <w:p w14:paraId="73EC20BC"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1628</w:t>
                  </w:r>
                </w:p>
              </w:tc>
            </w:tr>
            <w:tr w:rsidR="00230008" w:rsidRPr="00230008" w14:paraId="144F3E06" w14:textId="77777777" w:rsidTr="00D72849">
              <w:trPr>
                <w:trHeight w:val="312"/>
                <w:jc w:val="center"/>
              </w:trPr>
              <w:tc>
                <w:tcPr>
                  <w:tcW w:w="1416" w:type="dxa"/>
                  <w:tcBorders>
                    <w:top w:val="nil"/>
                    <w:left w:val="nil"/>
                    <w:bottom w:val="nil"/>
                    <w:right w:val="nil"/>
                  </w:tcBorders>
                  <w:shd w:val="clear" w:color="auto" w:fill="auto"/>
                  <w:noWrap/>
                  <w:vAlign w:val="center"/>
                </w:tcPr>
                <w:p w14:paraId="4CBC2698" w14:textId="77777777" w:rsidR="00230008" w:rsidRPr="00230008" w:rsidRDefault="00230008" w:rsidP="00230008">
                  <w:pPr>
                    <w:spacing w:line="240" w:lineRule="auto"/>
                    <w:ind w:firstLineChars="0" w:firstLine="0"/>
                    <w:jc w:val="left"/>
                    <w:rPr>
                      <w:rFonts w:eastAsia="宋体"/>
                      <w:color w:val="000000"/>
                      <w:kern w:val="0"/>
                      <w:sz w:val="20"/>
                      <w:szCs w:val="20"/>
                      <w:lang w:eastAsia="zh-CN" w:bidi="ar-SA"/>
                    </w:rPr>
                  </w:pPr>
                  <w:r w:rsidRPr="00230008">
                    <w:rPr>
                      <w:rFonts w:ascii="楷体" w:eastAsia="楷体" w:hAnsi="楷体" w:hint="eastAsia"/>
                      <w:color w:val="000000"/>
                      <w:kern w:val="0"/>
                      <w:sz w:val="20"/>
                      <w:szCs w:val="20"/>
                      <w:lang w:eastAsia="zh-CN" w:bidi="ar-SA"/>
                    </w:rPr>
                    <w:t>其他贸易出口</w:t>
                  </w:r>
                </w:p>
              </w:tc>
              <w:tc>
                <w:tcPr>
                  <w:tcW w:w="861" w:type="dxa"/>
                  <w:tcBorders>
                    <w:top w:val="nil"/>
                    <w:left w:val="nil"/>
                    <w:bottom w:val="nil"/>
                    <w:right w:val="nil"/>
                  </w:tcBorders>
                  <w:shd w:val="clear" w:color="auto" w:fill="auto"/>
                  <w:noWrap/>
                  <w:vAlign w:val="center"/>
                </w:tcPr>
                <w:p w14:paraId="692165FD"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7.3</w:t>
                  </w:r>
                </w:p>
              </w:tc>
              <w:tc>
                <w:tcPr>
                  <w:tcW w:w="861" w:type="dxa"/>
                  <w:tcBorders>
                    <w:top w:val="nil"/>
                    <w:left w:val="nil"/>
                    <w:bottom w:val="nil"/>
                    <w:right w:val="nil"/>
                  </w:tcBorders>
                  <w:shd w:val="clear" w:color="auto" w:fill="auto"/>
                  <w:noWrap/>
                  <w:vAlign w:val="center"/>
                </w:tcPr>
                <w:p w14:paraId="415293C5"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3.4</w:t>
                  </w:r>
                </w:p>
              </w:tc>
              <w:tc>
                <w:tcPr>
                  <w:tcW w:w="861" w:type="dxa"/>
                  <w:tcBorders>
                    <w:top w:val="nil"/>
                    <w:left w:val="nil"/>
                    <w:bottom w:val="nil"/>
                    <w:right w:val="nil"/>
                  </w:tcBorders>
                  <w:shd w:val="clear" w:color="auto" w:fill="auto"/>
                  <w:noWrap/>
                  <w:vAlign w:val="center"/>
                </w:tcPr>
                <w:p w14:paraId="17FBC5E2"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7.1</w:t>
                  </w:r>
                </w:p>
              </w:tc>
              <w:tc>
                <w:tcPr>
                  <w:tcW w:w="861" w:type="dxa"/>
                  <w:tcBorders>
                    <w:top w:val="nil"/>
                    <w:left w:val="nil"/>
                    <w:bottom w:val="nil"/>
                    <w:right w:val="nil"/>
                  </w:tcBorders>
                  <w:shd w:val="clear" w:color="auto" w:fill="auto"/>
                  <w:noWrap/>
                  <w:vAlign w:val="center"/>
                </w:tcPr>
                <w:p w14:paraId="30E3365C"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1391</w:t>
                  </w:r>
                </w:p>
              </w:tc>
              <w:tc>
                <w:tcPr>
                  <w:tcW w:w="861" w:type="dxa"/>
                  <w:tcBorders>
                    <w:top w:val="nil"/>
                    <w:left w:val="nil"/>
                    <w:bottom w:val="nil"/>
                    <w:right w:val="nil"/>
                  </w:tcBorders>
                  <w:shd w:val="clear" w:color="auto" w:fill="auto"/>
                  <w:noWrap/>
                  <w:vAlign w:val="center"/>
                </w:tcPr>
                <w:p w14:paraId="17A9374C"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1406</w:t>
                  </w:r>
                </w:p>
              </w:tc>
              <w:tc>
                <w:tcPr>
                  <w:tcW w:w="861" w:type="dxa"/>
                  <w:tcBorders>
                    <w:top w:val="nil"/>
                    <w:left w:val="nil"/>
                    <w:bottom w:val="nil"/>
                    <w:right w:val="nil"/>
                  </w:tcBorders>
                  <w:shd w:val="clear" w:color="auto" w:fill="auto"/>
                  <w:noWrap/>
                  <w:vAlign w:val="center"/>
                </w:tcPr>
                <w:p w14:paraId="51BB2A36"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1292</w:t>
                  </w:r>
                </w:p>
              </w:tc>
            </w:tr>
            <w:tr w:rsidR="00230008" w:rsidRPr="00230008" w14:paraId="011C6A81" w14:textId="77777777" w:rsidTr="00D72849">
              <w:trPr>
                <w:trHeight w:val="312"/>
                <w:jc w:val="center"/>
              </w:trPr>
              <w:tc>
                <w:tcPr>
                  <w:tcW w:w="1416" w:type="dxa"/>
                  <w:tcBorders>
                    <w:top w:val="nil"/>
                    <w:left w:val="nil"/>
                    <w:bottom w:val="nil"/>
                    <w:right w:val="nil"/>
                  </w:tcBorders>
                  <w:shd w:val="clear" w:color="auto" w:fill="auto"/>
                  <w:noWrap/>
                  <w:vAlign w:val="center"/>
                </w:tcPr>
                <w:p w14:paraId="3F0B2EF1" w14:textId="77777777" w:rsidR="00230008" w:rsidRPr="00230008" w:rsidRDefault="00230008" w:rsidP="00230008">
                  <w:pPr>
                    <w:spacing w:line="240" w:lineRule="auto"/>
                    <w:ind w:firstLineChars="0" w:firstLine="0"/>
                    <w:jc w:val="left"/>
                    <w:rPr>
                      <w:rFonts w:eastAsia="宋体"/>
                      <w:color w:val="000000"/>
                      <w:kern w:val="0"/>
                      <w:sz w:val="20"/>
                      <w:szCs w:val="20"/>
                      <w:lang w:eastAsia="zh-CN" w:bidi="ar-SA"/>
                    </w:rPr>
                  </w:pPr>
                  <w:r w:rsidRPr="00230008">
                    <w:rPr>
                      <w:rFonts w:ascii="楷体" w:eastAsia="楷体" w:hAnsi="楷体" w:hint="eastAsia"/>
                      <w:color w:val="000000"/>
                      <w:kern w:val="0"/>
                      <w:sz w:val="20"/>
                      <w:szCs w:val="20"/>
                      <w:lang w:eastAsia="zh-CN" w:bidi="ar-SA"/>
                    </w:rPr>
                    <w:t>一般贸易进口</w:t>
                  </w:r>
                </w:p>
              </w:tc>
              <w:tc>
                <w:tcPr>
                  <w:tcW w:w="861" w:type="dxa"/>
                  <w:tcBorders>
                    <w:top w:val="nil"/>
                    <w:left w:val="nil"/>
                    <w:bottom w:val="nil"/>
                    <w:right w:val="nil"/>
                  </w:tcBorders>
                  <w:shd w:val="clear" w:color="auto" w:fill="auto"/>
                  <w:noWrap/>
                  <w:vAlign w:val="center"/>
                </w:tcPr>
                <w:p w14:paraId="2B14A752"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-2.1</w:t>
                  </w:r>
                </w:p>
              </w:tc>
              <w:tc>
                <w:tcPr>
                  <w:tcW w:w="861" w:type="dxa"/>
                  <w:tcBorders>
                    <w:top w:val="nil"/>
                    <w:left w:val="nil"/>
                    <w:bottom w:val="nil"/>
                    <w:right w:val="nil"/>
                  </w:tcBorders>
                  <w:shd w:val="clear" w:color="auto" w:fill="auto"/>
                  <w:noWrap/>
                  <w:vAlign w:val="center"/>
                </w:tcPr>
                <w:p w14:paraId="5263D179"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-5.4</w:t>
                  </w:r>
                </w:p>
              </w:tc>
              <w:tc>
                <w:tcPr>
                  <w:tcW w:w="861" w:type="dxa"/>
                  <w:tcBorders>
                    <w:top w:val="nil"/>
                    <w:left w:val="nil"/>
                    <w:bottom w:val="nil"/>
                    <w:right w:val="nil"/>
                  </w:tcBorders>
                  <w:shd w:val="clear" w:color="auto" w:fill="auto"/>
                  <w:noWrap/>
                  <w:vAlign w:val="center"/>
                </w:tcPr>
                <w:p w14:paraId="5A68033F"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-11.3</w:t>
                  </w:r>
                </w:p>
              </w:tc>
              <w:tc>
                <w:tcPr>
                  <w:tcW w:w="861" w:type="dxa"/>
                  <w:tcBorders>
                    <w:top w:val="nil"/>
                    <w:left w:val="nil"/>
                    <w:bottom w:val="nil"/>
                    <w:right w:val="nil"/>
                  </w:tcBorders>
                  <w:shd w:val="clear" w:color="auto" w:fill="auto"/>
                  <w:noWrap/>
                  <w:vAlign w:val="center"/>
                </w:tcPr>
                <w:p w14:paraId="63515E21"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4007</w:t>
                  </w:r>
                </w:p>
              </w:tc>
              <w:tc>
                <w:tcPr>
                  <w:tcW w:w="861" w:type="dxa"/>
                  <w:tcBorders>
                    <w:top w:val="nil"/>
                    <w:left w:val="nil"/>
                    <w:bottom w:val="nil"/>
                    <w:right w:val="nil"/>
                  </w:tcBorders>
                  <w:shd w:val="clear" w:color="auto" w:fill="auto"/>
                  <w:noWrap/>
                  <w:vAlign w:val="center"/>
                </w:tcPr>
                <w:p w14:paraId="4394F473"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4044</w:t>
                  </w:r>
                </w:p>
              </w:tc>
              <w:tc>
                <w:tcPr>
                  <w:tcW w:w="861" w:type="dxa"/>
                  <w:tcBorders>
                    <w:top w:val="nil"/>
                    <w:left w:val="nil"/>
                    <w:bottom w:val="nil"/>
                    <w:right w:val="nil"/>
                  </w:tcBorders>
                  <w:shd w:val="clear" w:color="auto" w:fill="auto"/>
                  <w:noWrap/>
                  <w:vAlign w:val="center"/>
                </w:tcPr>
                <w:p w14:paraId="4472BF29"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3547</w:t>
                  </w:r>
                </w:p>
              </w:tc>
            </w:tr>
            <w:tr w:rsidR="00230008" w:rsidRPr="00230008" w14:paraId="3949DEB1" w14:textId="77777777" w:rsidTr="00D72849">
              <w:trPr>
                <w:trHeight w:val="312"/>
                <w:jc w:val="center"/>
              </w:trPr>
              <w:tc>
                <w:tcPr>
                  <w:tcW w:w="1416" w:type="dxa"/>
                  <w:tcBorders>
                    <w:top w:val="nil"/>
                    <w:left w:val="nil"/>
                    <w:bottom w:val="nil"/>
                    <w:right w:val="nil"/>
                  </w:tcBorders>
                  <w:shd w:val="clear" w:color="auto" w:fill="auto"/>
                  <w:noWrap/>
                  <w:vAlign w:val="center"/>
                </w:tcPr>
                <w:p w14:paraId="3A2E8BD7" w14:textId="77777777" w:rsidR="00230008" w:rsidRPr="00230008" w:rsidRDefault="00230008" w:rsidP="00230008">
                  <w:pPr>
                    <w:spacing w:line="240" w:lineRule="auto"/>
                    <w:ind w:firstLineChars="0" w:firstLine="0"/>
                    <w:jc w:val="left"/>
                    <w:rPr>
                      <w:rFonts w:eastAsia="宋体"/>
                      <w:color w:val="000000"/>
                      <w:kern w:val="0"/>
                      <w:sz w:val="20"/>
                      <w:szCs w:val="20"/>
                      <w:lang w:eastAsia="zh-CN" w:bidi="ar-SA"/>
                    </w:rPr>
                  </w:pPr>
                  <w:r w:rsidRPr="00230008">
                    <w:rPr>
                      <w:rFonts w:ascii="楷体" w:eastAsia="楷体" w:hAnsi="楷体" w:hint="eastAsia"/>
                      <w:color w:val="000000"/>
                      <w:kern w:val="0"/>
                      <w:sz w:val="20"/>
                      <w:szCs w:val="20"/>
                      <w:lang w:eastAsia="zh-CN" w:bidi="ar-SA"/>
                    </w:rPr>
                    <w:t>加工贸易进口</w:t>
                  </w:r>
                </w:p>
              </w:tc>
              <w:tc>
                <w:tcPr>
                  <w:tcW w:w="861" w:type="dxa"/>
                  <w:tcBorders>
                    <w:top w:val="nil"/>
                    <w:left w:val="nil"/>
                    <w:bottom w:val="nil"/>
                    <w:right w:val="nil"/>
                  </w:tcBorders>
                  <w:shd w:val="clear" w:color="auto" w:fill="auto"/>
                  <w:noWrap/>
                  <w:vAlign w:val="center"/>
                </w:tcPr>
                <w:p w14:paraId="26B77AB2"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11</w:t>
                  </w:r>
                </w:p>
              </w:tc>
              <w:tc>
                <w:tcPr>
                  <w:tcW w:w="861" w:type="dxa"/>
                  <w:tcBorders>
                    <w:top w:val="nil"/>
                    <w:left w:val="nil"/>
                    <w:bottom w:val="nil"/>
                    <w:right w:val="nil"/>
                  </w:tcBorders>
                  <w:shd w:val="clear" w:color="auto" w:fill="auto"/>
                  <w:noWrap/>
                  <w:vAlign w:val="center"/>
                </w:tcPr>
                <w:p w14:paraId="67EAB775"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1.2</w:t>
                  </w:r>
                </w:p>
              </w:tc>
              <w:tc>
                <w:tcPr>
                  <w:tcW w:w="861" w:type="dxa"/>
                  <w:tcBorders>
                    <w:top w:val="nil"/>
                    <w:left w:val="nil"/>
                    <w:bottom w:val="nil"/>
                    <w:right w:val="nil"/>
                  </w:tcBorders>
                  <w:shd w:val="clear" w:color="auto" w:fill="auto"/>
                  <w:noWrap/>
                  <w:vAlign w:val="center"/>
                </w:tcPr>
                <w:p w14:paraId="328CF792"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5.6</w:t>
                  </w:r>
                </w:p>
              </w:tc>
              <w:tc>
                <w:tcPr>
                  <w:tcW w:w="861" w:type="dxa"/>
                  <w:tcBorders>
                    <w:top w:val="nil"/>
                    <w:left w:val="nil"/>
                    <w:bottom w:val="nil"/>
                    <w:right w:val="nil"/>
                  </w:tcBorders>
                  <w:shd w:val="clear" w:color="auto" w:fill="auto"/>
                  <w:noWrap/>
                  <w:vAlign w:val="center"/>
                </w:tcPr>
                <w:p w14:paraId="65025D60"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1116</w:t>
                  </w:r>
                </w:p>
              </w:tc>
              <w:tc>
                <w:tcPr>
                  <w:tcW w:w="861" w:type="dxa"/>
                  <w:tcBorders>
                    <w:top w:val="nil"/>
                    <w:left w:val="nil"/>
                    <w:bottom w:val="nil"/>
                    <w:right w:val="nil"/>
                  </w:tcBorders>
                  <w:shd w:val="clear" w:color="auto" w:fill="auto"/>
                  <w:noWrap/>
                  <w:vAlign w:val="center"/>
                </w:tcPr>
                <w:p w14:paraId="26C514B4"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1061</w:t>
                  </w:r>
                </w:p>
              </w:tc>
              <w:tc>
                <w:tcPr>
                  <w:tcW w:w="861" w:type="dxa"/>
                  <w:tcBorders>
                    <w:top w:val="nil"/>
                    <w:left w:val="nil"/>
                    <w:bottom w:val="nil"/>
                    <w:right w:val="nil"/>
                  </w:tcBorders>
                  <w:shd w:val="clear" w:color="auto" w:fill="auto"/>
                  <w:noWrap/>
                  <w:vAlign w:val="center"/>
                </w:tcPr>
                <w:p w14:paraId="71B7F549"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967</w:t>
                  </w:r>
                </w:p>
              </w:tc>
            </w:tr>
            <w:tr w:rsidR="00230008" w:rsidRPr="00230008" w14:paraId="710EA199" w14:textId="77777777" w:rsidTr="00D72849">
              <w:trPr>
                <w:trHeight w:val="312"/>
                <w:jc w:val="center"/>
              </w:trPr>
              <w:tc>
                <w:tcPr>
                  <w:tcW w:w="1416" w:type="dxa"/>
                  <w:tcBorders>
                    <w:top w:val="nil"/>
                    <w:left w:val="nil"/>
                    <w:bottom w:val="single" w:sz="4" w:space="0" w:color="auto"/>
                    <w:right w:val="nil"/>
                  </w:tcBorders>
                  <w:shd w:val="clear" w:color="auto" w:fill="auto"/>
                  <w:noWrap/>
                  <w:vAlign w:val="center"/>
                </w:tcPr>
                <w:p w14:paraId="61F0F8CD" w14:textId="77777777" w:rsidR="00230008" w:rsidRPr="00230008" w:rsidRDefault="00230008" w:rsidP="00230008">
                  <w:pPr>
                    <w:spacing w:line="240" w:lineRule="auto"/>
                    <w:ind w:firstLineChars="0" w:firstLine="0"/>
                    <w:jc w:val="left"/>
                    <w:rPr>
                      <w:rFonts w:eastAsia="宋体"/>
                      <w:color w:val="000000"/>
                      <w:kern w:val="0"/>
                      <w:sz w:val="20"/>
                      <w:szCs w:val="20"/>
                      <w:lang w:eastAsia="zh-CN" w:bidi="ar-SA"/>
                    </w:rPr>
                  </w:pPr>
                  <w:r w:rsidRPr="00230008">
                    <w:rPr>
                      <w:rFonts w:ascii="楷体" w:eastAsia="楷体" w:hAnsi="楷体" w:hint="eastAsia"/>
                      <w:color w:val="000000"/>
                      <w:kern w:val="0"/>
                      <w:sz w:val="20"/>
                      <w:szCs w:val="20"/>
                      <w:lang w:eastAsia="zh-CN" w:bidi="ar-SA"/>
                    </w:rPr>
                    <w:t>其他贸易进口</w:t>
                  </w:r>
                </w:p>
              </w:tc>
              <w:tc>
                <w:tcPr>
                  <w:tcW w:w="861" w:type="dxa"/>
                  <w:tcBorders>
                    <w:top w:val="nil"/>
                    <w:left w:val="nil"/>
                    <w:bottom w:val="single" w:sz="4" w:space="0" w:color="auto"/>
                    <w:right w:val="nil"/>
                  </w:tcBorders>
                  <w:shd w:val="clear" w:color="auto" w:fill="auto"/>
                  <w:noWrap/>
                  <w:vAlign w:val="center"/>
                </w:tcPr>
                <w:p w14:paraId="7485BBC4"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10.9</w:t>
                  </w:r>
                </w:p>
              </w:tc>
              <w:tc>
                <w:tcPr>
                  <w:tcW w:w="861" w:type="dxa"/>
                  <w:tcBorders>
                    <w:top w:val="nil"/>
                    <w:left w:val="nil"/>
                    <w:bottom w:val="single" w:sz="4" w:space="0" w:color="auto"/>
                    <w:right w:val="nil"/>
                  </w:tcBorders>
                  <w:shd w:val="clear" w:color="auto" w:fill="auto"/>
                  <w:noWrap/>
                  <w:vAlign w:val="center"/>
                </w:tcPr>
                <w:p w14:paraId="4981529A"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7.9</w:t>
                  </w:r>
                </w:p>
              </w:tc>
              <w:tc>
                <w:tcPr>
                  <w:tcW w:w="861" w:type="dxa"/>
                  <w:tcBorders>
                    <w:top w:val="nil"/>
                    <w:left w:val="nil"/>
                    <w:bottom w:val="single" w:sz="4" w:space="0" w:color="auto"/>
                    <w:right w:val="nil"/>
                  </w:tcBorders>
                  <w:shd w:val="clear" w:color="auto" w:fill="auto"/>
                  <w:noWrap/>
                  <w:vAlign w:val="center"/>
                </w:tcPr>
                <w:p w14:paraId="014AB64A"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-2.5</w:t>
                  </w:r>
                </w:p>
              </w:tc>
              <w:tc>
                <w:tcPr>
                  <w:tcW w:w="861" w:type="dxa"/>
                  <w:tcBorders>
                    <w:top w:val="nil"/>
                    <w:left w:val="nil"/>
                    <w:bottom w:val="single" w:sz="4" w:space="0" w:color="auto"/>
                    <w:right w:val="nil"/>
                  </w:tcBorders>
                  <w:shd w:val="clear" w:color="auto" w:fill="auto"/>
                  <w:noWrap/>
                  <w:vAlign w:val="center"/>
                </w:tcPr>
                <w:p w14:paraId="2A3FEE48"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1433</w:t>
                  </w:r>
                </w:p>
              </w:tc>
              <w:tc>
                <w:tcPr>
                  <w:tcW w:w="861" w:type="dxa"/>
                  <w:tcBorders>
                    <w:top w:val="nil"/>
                    <w:left w:val="nil"/>
                    <w:bottom w:val="single" w:sz="4" w:space="0" w:color="auto"/>
                    <w:right w:val="nil"/>
                  </w:tcBorders>
                  <w:shd w:val="clear" w:color="auto" w:fill="auto"/>
                  <w:noWrap/>
                  <w:vAlign w:val="center"/>
                </w:tcPr>
                <w:p w14:paraId="71A4F8E0"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1486</w:t>
                  </w:r>
                </w:p>
              </w:tc>
              <w:tc>
                <w:tcPr>
                  <w:tcW w:w="861" w:type="dxa"/>
                  <w:tcBorders>
                    <w:top w:val="nil"/>
                    <w:left w:val="nil"/>
                    <w:bottom w:val="single" w:sz="4" w:space="0" w:color="auto"/>
                    <w:right w:val="nil"/>
                  </w:tcBorders>
                  <w:shd w:val="clear" w:color="auto" w:fill="auto"/>
                  <w:noWrap/>
                  <w:vAlign w:val="center"/>
                </w:tcPr>
                <w:p w14:paraId="60ECA1F8" w14:textId="77777777" w:rsidR="00230008" w:rsidRPr="00230008" w:rsidRDefault="00230008" w:rsidP="00230008">
                  <w:pPr>
                    <w:spacing w:line="240" w:lineRule="auto"/>
                    <w:ind w:firstLineChars="0" w:firstLine="0"/>
                    <w:jc w:val="right"/>
                    <w:rPr>
                      <w:rFonts w:eastAsia="宋体"/>
                      <w:color w:val="000000"/>
                      <w:kern w:val="0"/>
                      <w:sz w:val="20"/>
                      <w:szCs w:val="20"/>
                      <w:lang w:eastAsia="zh-CN" w:bidi="ar-SA"/>
                    </w:rPr>
                  </w:pPr>
                  <w:r w:rsidRPr="00230008">
                    <w:rPr>
                      <w:rFonts w:eastAsia="宋体"/>
                      <w:color w:val="000000"/>
                      <w:kern w:val="0"/>
                      <w:sz w:val="20"/>
                      <w:szCs w:val="20"/>
                      <w:lang w:eastAsia="zh-CN" w:bidi="ar-SA"/>
                    </w:rPr>
                    <w:t>1293</w:t>
                  </w:r>
                </w:p>
              </w:tc>
            </w:tr>
          </w:tbl>
          <w:p w14:paraId="595A6A1C" w14:textId="77777777" w:rsidR="00230008" w:rsidRPr="00230008" w:rsidRDefault="00230008" w:rsidP="00230008">
            <w:pPr>
              <w:ind w:firstLineChars="0" w:firstLine="0"/>
              <w:rPr>
                <w:rFonts w:eastAsia="宋体"/>
                <w:b/>
                <w:sz w:val="28"/>
                <w:szCs w:val="28"/>
                <w:lang w:eastAsia="zh-CN" w:bidi="ar-SA"/>
              </w:rPr>
            </w:pPr>
            <w:r w:rsidRPr="00230008">
              <w:rPr>
                <w:rFonts w:eastAsia="楷体"/>
                <w:sz w:val="18"/>
                <w:szCs w:val="18"/>
                <w:lang w:eastAsia="zh-CN" w:bidi="ar-SA"/>
              </w:rPr>
              <w:t>数据来源：</w:t>
            </w:r>
            <w:r w:rsidRPr="00230008">
              <w:rPr>
                <w:rFonts w:eastAsia="楷体"/>
                <w:sz w:val="18"/>
                <w:szCs w:val="18"/>
                <w:lang w:eastAsia="zh-CN" w:bidi="ar-SA"/>
              </w:rPr>
              <w:t>CEIC</w:t>
            </w:r>
            <w:r w:rsidRPr="00230008">
              <w:rPr>
                <w:rFonts w:eastAsia="楷体"/>
                <w:sz w:val="18"/>
                <w:szCs w:val="18"/>
                <w:lang w:eastAsia="zh-CN" w:bidi="ar-SA"/>
              </w:rPr>
              <w:t>数据库。</w:t>
            </w:r>
          </w:p>
        </w:tc>
      </w:tr>
    </w:tbl>
    <w:p w14:paraId="65CD702C" w14:textId="77777777" w:rsidR="009F6D12" w:rsidRPr="00230008" w:rsidRDefault="009F6D12" w:rsidP="00CD310D">
      <w:pPr>
        <w:pStyle w:val="1f0"/>
        <w:adjustRightInd w:val="0"/>
        <w:snapToGrid w:val="0"/>
        <w:spacing w:before="240" w:after="0"/>
        <w:ind w:left="0" w:rightChars="-201" w:right="-482" w:firstLineChars="0" w:firstLine="0"/>
        <w:rPr>
          <w:rFonts w:eastAsia="宋体"/>
          <w:lang w:eastAsia="zh-CN"/>
        </w:rPr>
      </w:pPr>
    </w:p>
    <w:sectPr w:rsidR="009F6D12" w:rsidRPr="00230008" w:rsidSect="00B707DA">
      <w:headerReference w:type="default" r:id="rId92"/>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80787D" w14:textId="77777777" w:rsidR="006208B3" w:rsidRDefault="006208B3">
      <w:pPr>
        <w:spacing w:line="240" w:lineRule="auto"/>
        <w:ind w:firstLine="480"/>
      </w:pPr>
    </w:p>
  </w:endnote>
  <w:endnote w:type="continuationSeparator" w:id="0">
    <w:p w14:paraId="3B49CE48" w14:textId="77777777" w:rsidR="006208B3" w:rsidRDefault="006208B3">
      <w:pPr>
        <w:spacing w:line="240" w:lineRule="auto"/>
        <w:ind w:firstLine="48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楷体_GB2312">
    <w:altName w:val="楷体"/>
    <w:charset w:val="00"/>
    <w:family w:val="auto"/>
    <w:pitch w:val="default"/>
  </w:font>
  <w:font w:name="等线">
    <w:altName w:val="DengXian"/>
    <w:panose1 w:val="02010600030101010101"/>
    <w:charset w:val="86"/>
    <w:family w:val="auto"/>
    <w:pitch w:val="variable"/>
    <w:sig w:usb0="A00002BF" w:usb1="38CF7CFA" w:usb2="00000016" w:usb3="00000000" w:csb0="0004000F" w:csb1="00000000"/>
  </w:font>
  <w:font w:name="华文隶书">
    <w:panose1 w:val="02010800040101010101"/>
    <w:charset w:val="86"/>
    <w:family w:val="auto"/>
    <w:pitch w:val="variable"/>
    <w:sig w:usb0="00000001" w:usb1="080F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5FC99A" w14:textId="77777777" w:rsidR="009F6D12" w:rsidRDefault="009F6D12">
    <w:pPr>
      <w:pStyle w:val="a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0132002"/>
      <w:showingPlcHdr/>
    </w:sdtPr>
    <w:sdtEndPr/>
    <w:sdtContent>
      <w:p w14:paraId="71EE6FF4" w14:textId="77777777" w:rsidR="009F6D12" w:rsidRDefault="007F53FD">
        <w:pPr>
          <w:pStyle w:val="a9"/>
          <w:ind w:firstLine="360"/>
          <w:jc w:val="center"/>
        </w:pPr>
        <w:r>
          <w:t xml:space="preserve">     </w:t>
        </w:r>
      </w:p>
    </w:sdtContent>
  </w:sdt>
  <w:p w14:paraId="6349E69D" w14:textId="5B7036AF" w:rsidR="009F6D12" w:rsidRDefault="009F6D12">
    <w:pPr>
      <w:pStyle w:val="a9"/>
      <w:spacing w:before="120"/>
      <w:ind w:firstLineChars="0" w:firstLine="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64376B" w14:textId="77777777" w:rsidR="009F6D12" w:rsidRDefault="009F6D12">
    <w:pPr>
      <w:pStyle w:val="a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2801980"/>
      <w:docPartObj>
        <w:docPartGallery w:val="Page Numbers (Bottom of Page)"/>
        <w:docPartUnique/>
      </w:docPartObj>
    </w:sdtPr>
    <w:sdtEndPr/>
    <w:sdtContent>
      <w:p w14:paraId="632AD3DC" w14:textId="77777777" w:rsidR="00667B47" w:rsidRDefault="00667B47" w:rsidP="00667B47">
        <w:pPr>
          <w:pStyle w:val="a9"/>
          <w:ind w:firstLine="360"/>
          <w:jc w:val="center"/>
          <w:rPr>
            <w:lang w:eastAsia="zh-CN"/>
          </w:rPr>
        </w:pPr>
        <w:r>
          <w:fldChar w:fldCharType="begin"/>
        </w:r>
        <w:r>
          <w:instrText>PAGE   \* MERGEFORMAT</w:instrText>
        </w:r>
        <w:r>
          <w:fldChar w:fldCharType="separate"/>
        </w:r>
        <w:r w:rsidR="005B0295" w:rsidRPr="005B0295">
          <w:rPr>
            <w:noProof/>
            <w:lang w:val="zh-CN" w:eastAsia="zh-CN"/>
          </w:rPr>
          <w:t>1</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1091496"/>
      <w:docPartObj>
        <w:docPartGallery w:val="Page Numbers (Bottom of Page)"/>
        <w:docPartUnique/>
      </w:docPartObj>
    </w:sdtPr>
    <w:sdtEndPr/>
    <w:sdtContent>
      <w:p w14:paraId="6E0813D3" w14:textId="77777777" w:rsidR="00667B47" w:rsidRDefault="00667B47" w:rsidP="00667B47">
        <w:pPr>
          <w:pStyle w:val="a9"/>
          <w:ind w:firstLine="360"/>
          <w:jc w:val="center"/>
        </w:pPr>
        <w:r>
          <w:fldChar w:fldCharType="begin"/>
        </w:r>
        <w:r>
          <w:instrText>PAGE   \* MERGEFORMAT</w:instrText>
        </w:r>
        <w:r>
          <w:fldChar w:fldCharType="separate"/>
        </w:r>
        <w:r w:rsidR="005B0295" w:rsidRPr="005B0295">
          <w:rPr>
            <w:noProof/>
            <w:lang w:val="zh-CN" w:eastAsia="zh-CN"/>
          </w:rPr>
          <w:t>25</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2294719"/>
      <w:docPartObj>
        <w:docPartGallery w:val="Page Numbers (Bottom of Page)"/>
        <w:docPartUnique/>
      </w:docPartObj>
    </w:sdtPr>
    <w:sdtEndPr/>
    <w:sdtContent>
      <w:p w14:paraId="09525D69" w14:textId="77777777" w:rsidR="00667B47" w:rsidRDefault="00667B47" w:rsidP="00667B47">
        <w:pPr>
          <w:pStyle w:val="a9"/>
          <w:ind w:firstLine="360"/>
          <w:jc w:val="center"/>
        </w:pPr>
        <w:r>
          <w:fldChar w:fldCharType="begin"/>
        </w:r>
        <w:r>
          <w:instrText>PAGE   \* MERGEFORMAT</w:instrText>
        </w:r>
        <w:r>
          <w:fldChar w:fldCharType="separate"/>
        </w:r>
        <w:r w:rsidR="005B0295" w:rsidRPr="005B0295">
          <w:rPr>
            <w:noProof/>
            <w:lang w:val="zh-CN" w:eastAsia="zh-CN"/>
          </w:rPr>
          <w:t>48</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5421071"/>
      <w:docPartObj>
        <w:docPartGallery w:val="Page Numbers (Bottom of Page)"/>
        <w:docPartUnique/>
      </w:docPartObj>
    </w:sdtPr>
    <w:sdtEndPr/>
    <w:sdtContent>
      <w:p w14:paraId="5C2AF548" w14:textId="77777777" w:rsidR="00667B47" w:rsidRDefault="00667B47" w:rsidP="00667B47">
        <w:pPr>
          <w:pStyle w:val="a9"/>
          <w:ind w:firstLine="360"/>
          <w:jc w:val="center"/>
        </w:pPr>
        <w:r>
          <w:fldChar w:fldCharType="begin"/>
        </w:r>
        <w:r>
          <w:instrText>PAGE   \* MERGEFORMAT</w:instrText>
        </w:r>
        <w:r>
          <w:fldChar w:fldCharType="separate"/>
        </w:r>
        <w:r w:rsidR="005B0295" w:rsidRPr="005B0295">
          <w:rPr>
            <w:noProof/>
            <w:lang w:val="zh-CN" w:eastAsia="zh-CN"/>
          </w:rPr>
          <w:t>84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BAE39C" w14:textId="77777777" w:rsidR="006208B3" w:rsidRDefault="006208B3">
      <w:pPr>
        <w:ind w:firstLine="480"/>
      </w:pPr>
      <w:r>
        <w:separator/>
      </w:r>
    </w:p>
  </w:footnote>
  <w:footnote w:type="continuationSeparator" w:id="0">
    <w:p w14:paraId="4C4D3660" w14:textId="77777777" w:rsidR="006208B3" w:rsidRDefault="006208B3">
      <w:pPr>
        <w:ind w:firstLine="480"/>
      </w:pPr>
    </w:p>
  </w:footnote>
  <w:footnote w:id="1">
    <w:p w14:paraId="69A2ADA2" w14:textId="77777777" w:rsidR="009F0C37" w:rsidRDefault="009F0C37" w:rsidP="009F0C37">
      <w:pPr>
        <w:pStyle w:val="ac"/>
        <w:ind w:leftChars="-177" w:left="-425"/>
      </w:pPr>
      <w:r>
        <w:rPr>
          <w:rStyle w:val="af9"/>
        </w:rPr>
        <w:footnoteRef/>
      </w:r>
      <w:r>
        <w:t xml:space="preserve"> </w:t>
      </w:r>
      <w:r>
        <w:rPr>
          <w:rFonts w:hint="eastAsia"/>
        </w:rPr>
        <w:t>CEEM</w:t>
      </w:r>
      <w:r>
        <w:rPr>
          <w:rFonts w:hint="eastAsia"/>
        </w:rPr>
        <w:t>大宗商品价格指数（月度）综合计算前五大进口商品月平均价格，并根据中国进口量分配权重。</w:t>
      </w:r>
      <w:r>
        <w:rPr>
          <w:rFonts w:hint="eastAsia"/>
        </w:rPr>
        <w:t>5</w:t>
      </w:r>
      <w:r>
        <w:rPr>
          <w:rFonts w:hint="eastAsia"/>
        </w:rPr>
        <w:t>种商品价格为</w:t>
      </w:r>
      <w:r>
        <w:rPr>
          <w:rFonts w:hint="eastAsia"/>
        </w:rPr>
        <w:t>OPEC</w:t>
      </w:r>
      <w:r>
        <w:rPr>
          <w:rFonts w:hint="eastAsia"/>
        </w:rPr>
        <w:t>一揽子石油价格、普氏铁矿石综合价格指数、澳大利亚动力煤</w:t>
      </w:r>
      <w:r>
        <w:rPr>
          <w:rFonts w:hint="eastAsia"/>
        </w:rPr>
        <w:t>FOB</w:t>
      </w:r>
      <w:r>
        <w:rPr>
          <w:rFonts w:hint="eastAsia"/>
        </w:rPr>
        <w:t>价格、钢材亚太地区远东市场综合到岸价以及美洲综合大豆价格。指数以</w:t>
      </w:r>
      <w:r>
        <w:rPr>
          <w:rFonts w:hint="eastAsia"/>
        </w:rPr>
        <w:t>2012</w:t>
      </w:r>
      <w:r>
        <w:rPr>
          <w:rFonts w:hint="eastAsia"/>
        </w:rPr>
        <w:t>年平均价格为基准。</w:t>
      </w:r>
    </w:p>
  </w:footnote>
  <w:footnote w:id="2">
    <w:p w14:paraId="7B536153" w14:textId="40A0203D" w:rsidR="009F0C37" w:rsidRDefault="009F0C37" w:rsidP="009F0C37">
      <w:pPr>
        <w:pStyle w:val="ac"/>
      </w:pPr>
      <w:r>
        <w:rPr>
          <w:rStyle w:val="af9"/>
        </w:rPr>
        <w:footnoteRef/>
      </w:r>
      <w:r>
        <w:rPr>
          <w:rFonts w:hint="eastAsia"/>
        </w:rPr>
        <w:t xml:space="preserve"> </w:t>
      </w:r>
      <w:r>
        <w:rPr>
          <w:rFonts w:hint="eastAsia"/>
        </w:rPr>
        <w:t>本季报进、</w:t>
      </w:r>
      <w:r w:rsidR="006E654E" w:rsidRPr="006E654E">
        <w:rPr>
          <w:rFonts w:hint="eastAsia"/>
        </w:rPr>
        <w:t>出口总额数据来自中国海关总署，而按贸易方式、产品和地区等分类的子项贸易数据则来自</w:t>
      </w:r>
      <w:r w:rsidR="006E654E" w:rsidRPr="006E654E">
        <w:rPr>
          <w:rFonts w:hint="eastAsia"/>
        </w:rPr>
        <w:t>CEIC</w:t>
      </w:r>
      <w:r w:rsidR="006E654E" w:rsidRPr="006E654E">
        <w:rPr>
          <w:rFonts w:hint="eastAsia"/>
        </w:rPr>
        <w:t>数据库。事实上，</w:t>
      </w:r>
      <w:r w:rsidR="006E654E" w:rsidRPr="006E654E">
        <w:rPr>
          <w:rFonts w:hint="eastAsia"/>
        </w:rPr>
        <w:t>CEIC</w:t>
      </w:r>
      <w:r w:rsidR="006E654E" w:rsidRPr="006E654E">
        <w:rPr>
          <w:rFonts w:hint="eastAsia"/>
        </w:rPr>
        <w:t>数据库中的外贸数据也来自中国海关，但由于海关事后对已公布的贸易总额数据进行了修正，而</w:t>
      </w:r>
      <w:r w:rsidR="006E654E" w:rsidRPr="006E654E">
        <w:rPr>
          <w:rFonts w:hint="eastAsia"/>
        </w:rPr>
        <w:t>CEIC</w:t>
      </w:r>
      <w:r w:rsidR="006E654E" w:rsidRPr="006E654E">
        <w:rPr>
          <w:rFonts w:hint="eastAsia"/>
        </w:rPr>
        <w:t>并没有完全同步调整，导致二者略有不同；对于按贸易方式、产品和地区等分类的子项贸易数据，海关未披露修正后的数值，因此海关统计月报数据和</w:t>
      </w:r>
      <w:r w:rsidR="006E654E" w:rsidRPr="006E654E">
        <w:rPr>
          <w:rFonts w:hint="eastAsia"/>
        </w:rPr>
        <w:t>CEIC</w:t>
      </w:r>
      <w:r w:rsidR="006E654E" w:rsidRPr="006E654E">
        <w:rPr>
          <w:rFonts w:hint="eastAsia"/>
        </w:rPr>
        <w:t>数据库一致。总体上，两个数据来源中外贸数据的变化趋势基本一致，对主要结论影响不大</w:t>
      </w:r>
      <w:r>
        <w:rPr>
          <w:rFonts w:hint="eastAsia"/>
        </w:rPr>
        <w:t>。</w:t>
      </w:r>
    </w:p>
  </w:footnote>
  <w:footnote w:id="3">
    <w:p w14:paraId="48C9B7C5" w14:textId="77777777" w:rsidR="009F0C37" w:rsidRDefault="009F0C37" w:rsidP="009F0C37">
      <w:pPr>
        <w:pStyle w:val="ac"/>
      </w:pPr>
      <w:r>
        <w:rPr>
          <w:rStyle w:val="af9"/>
        </w:rPr>
        <w:footnoteRef/>
      </w:r>
      <w:r>
        <w:rPr>
          <w:rFonts w:hint="eastAsia"/>
        </w:rPr>
        <w:t xml:space="preserve"> </w:t>
      </w:r>
      <w:r>
        <w:rPr>
          <w:rFonts w:hint="eastAsia"/>
        </w:rPr>
        <w:t>除非特别注明，下文</w:t>
      </w:r>
      <w:r>
        <w:t>贸易数据</w:t>
      </w:r>
      <w:r>
        <w:rPr>
          <w:rFonts w:hint="eastAsia"/>
        </w:rPr>
        <w:t>单位为美元，增速为同比增速。按人民币和美元计价增速的差异来自于汇率变化。</w:t>
      </w:r>
    </w:p>
  </w:footnote>
  <w:footnote w:id="4">
    <w:p w14:paraId="7D9BDBE7" w14:textId="77777777" w:rsidR="009F0C37" w:rsidRDefault="009F0C37" w:rsidP="009F0C37">
      <w:pPr>
        <w:pStyle w:val="ac"/>
      </w:pPr>
      <w:r>
        <w:rPr>
          <w:rStyle w:val="af9"/>
        </w:rPr>
        <w:footnoteRef/>
      </w:r>
      <w:r>
        <w:t xml:space="preserve"> </w:t>
      </w:r>
      <w:r>
        <w:rPr>
          <w:rFonts w:hint="eastAsia"/>
        </w:rPr>
        <w:t>自</w:t>
      </w:r>
      <w:r>
        <w:rPr>
          <w:rFonts w:hint="eastAsia"/>
        </w:rPr>
        <w:t>2022</w:t>
      </w:r>
      <w:r>
        <w:rPr>
          <w:rFonts w:hint="eastAsia"/>
        </w:rPr>
        <w:t>年</w:t>
      </w:r>
      <w:r>
        <w:rPr>
          <w:rFonts w:hint="eastAsia"/>
        </w:rPr>
        <w:t>1</w:t>
      </w:r>
      <w:r>
        <w:rPr>
          <w:rFonts w:hint="eastAsia"/>
        </w:rPr>
        <w:t>月起，</w:t>
      </w:r>
      <w:r>
        <w:rPr>
          <w:rFonts w:hint="eastAsia"/>
        </w:rPr>
        <w:t>CEEM-PMI</w:t>
      </w:r>
      <w:r>
        <w:rPr>
          <w:rFonts w:hint="eastAsia"/>
        </w:rPr>
        <w:t>指数中增加东盟</w:t>
      </w:r>
      <w:r>
        <w:rPr>
          <w:rFonts w:hint="eastAsia"/>
        </w:rPr>
        <w:t>PMI</w:t>
      </w:r>
      <w:r>
        <w:rPr>
          <w:rFonts w:hint="eastAsia"/>
        </w:rPr>
        <w:t>，各经济体按照</w:t>
      </w:r>
      <w:r>
        <w:rPr>
          <w:rFonts w:hint="eastAsia"/>
        </w:rPr>
        <w:t>2022</w:t>
      </w:r>
      <w:r>
        <w:rPr>
          <w:rFonts w:hint="eastAsia"/>
        </w:rPr>
        <w:t>年贸易权重加权。为保持数据来源的一致性，各国</w:t>
      </w:r>
      <w:r>
        <w:rPr>
          <w:rFonts w:hint="eastAsia"/>
        </w:rPr>
        <w:t>PMI</w:t>
      </w:r>
      <w:r>
        <w:rPr>
          <w:rFonts w:hint="eastAsia"/>
        </w:rPr>
        <w:t>数据均来自</w:t>
      </w:r>
      <w:r>
        <w:t>CEIC</w:t>
      </w:r>
      <w:r>
        <w:rPr>
          <w:rFonts w:hint="eastAsia"/>
        </w:rPr>
        <w:t>数据库。</w:t>
      </w:r>
    </w:p>
  </w:footnote>
  <w:footnote w:id="5">
    <w:p w14:paraId="5F5016DD" w14:textId="1224E79F" w:rsidR="009F0C37" w:rsidRDefault="009F0C37" w:rsidP="009F0C37">
      <w:pPr>
        <w:pStyle w:val="ac"/>
      </w:pPr>
      <w:r>
        <w:rPr>
          <w:rFonts w:hint="eastAsia"/>
          <w:vertAlign w:val="superscript"/>
        </w:rPr>
        <w:footnoteRef/>
      </w:r>
      <w:r>
        <w:rPr>
          <w:rFonts w:hint="eastAsia"/>
        </w:rPr>
        <w:t xml:space="preserve"> </w:t>
      </w:r>
      <w:r w:rsidR="009F4F13" w:rsidRPr="009F4F13">
        <w:rPr>
          <w:rFonts w:hint="eastAsia"/>
        </w:rPr>
        <w:t>2024</w:t>
      </w:r>
      <w:r w:rsidR="009F4F13" w:rsidRPr="009F4F13">
        <w:rPr>
          <w:rFonts w:hint="eastAsia"/>
        </w:rPr>
        <w:t>年</w:t>
      </w:r>
      <w:r w:rsidR="009F4F13" w:rsidRPr="009F4F13">
        <w:rPr>
          <w:rFonts w:hint="eastAsia"/>
        </w:rPr>
        <w:t>4</w:t>
      </w:r>
      <w:r w:rsidR="009F4F13" w:rsidRPr="009F4F13">
        <w:rPr>
          <w:rFonts w:hint="eastAsia"/>
        </w:rPr>
        <w:t>季度，一般贸易、加工贸易和其它贸易方式出口占总出口的比重分别为</w:t>
      </w:r>
      <w:r w:rsidR="009F4F13" w:rsidRPr="009F4F13">
        <w:rPr>
          <w:rFonts w:hint="eastAsia"/>
        </w:rPr>
        <w:t>65.2%</w:t>
      </w:r>
      <w:r w:rsidR="009F4F13" w:rsidRPr="009F4F13">
        <w:rPr>
          <w:rFonts w:hint="eastAsia"/>
        </w:rPr>
        <w:t>、</w:t>
      </w:r>
      <w:r w:rsidR="009F4F13" w:rsidRPr="009F4F13">
        <w:rPr>
          <w:rFonts w:hint="eastAsia"/>
        </w:rPr>
        <w:t>20.2%</w:t>
      </w:r>
      <w:r w:rsidR="009F4F13" w:rsidRPr="009F4F13">
        <w:rPr>
          <w:rFonts w:hint="eastAsia"/>
        </w:rPr>
        <w:t>、</w:t>
      </w:r>
      <w:r w:rsidR="009F4F13" w:rsidRPr="009F4F13">
        <w:rPr>
          <w:rFonts w:hint="eastAsia"/>
        </w:rPr>
        <w:t>14.7%</w:t>
      </w:r>
      <w:r w:rsidRPr="002D1E90">
        <w:rPr>
          <w:rFonts w:hint="eastAsia"/>
        </w:rPr>
        <w:t>。</w:t>
      </w:r>
    </w:p>
  </w:footnote>
  <w:footnote w:id="6">
    <w:p w14:paraId="1E8A167F" w14:textId="327021F0" w:rsidR="009F0C37" w:rsidRDefault="009F0C37" w:rsidP="009F0C37">
      <w:pPr>
        <w:pStyle w:val="ac"/>
      </w:pPr>
      <w:r>
        <w:rPr>
          <w:rStyle w:val="af9"/>
        </w:rPr>
        <w:footnoteRef/>
      </w:r>
      <w:r>
        <w:t xml:space="preserve"> </w:t>
      </w:r>
      <w:r w:rsidR="009F4F13" w:rsidRPr="009F4F13">
        <w:rPr>
          <w:rFonts w:hint="eastAsia"/>
        </w:rPr>
        <w:t>2024</w:t>
      </w:r>
      <w:r w:rsidR="009F4F13" w:rsidRPr="009F4F13">
        <w:rPr>
          <w:rFonts w:hint="eastAsia"/>
        </w:rPr>
        <w:t>年</w:t>
      </w:r>
      <w:r w:rsidR="009F4F13" w:rsidRPr="009F4F13">
        <w:rPr>
          <w:rFonts w:hint="eastAsia"/>
        </w:rPr>
        <w:t>4</w:t>
      </w:r>
      <w:r w:rsidR="009F4F13" w:rsidRPr="009F4F13">
        <w:rPr>
          <w:rFonts w:hint="eastAsia"/>
        </w:rPr>
        <w:t>季度，机电产品、七大类传统劳动密集型产品和其他产品出口占总出口的比重分别为</w:t>
      </w:r>
      <w:r w:rsidR="009F4F13" w:rsidRPr="009F4F13">
        <w:rPr>
          <w:rFonts w:hint="eastAsia"/>
        </w:rPr>
        <w:t>60.1%</w:t>
      </w:r>
      <w:r w:rsidR="009F4F13" w:rsidRPr="009F4F13">
        <w:rPr>
          <w:rFonts w:hint="eastAsia"/>
        </w:rPr>
        <w:t>、</w:t>
      </w:r>
      <w:r w:rsidR="009F4F13" w:rsidRPr="009F4F13">
        <w:rPr>
          <w:rFonts w:hint="eastAsia"/>
        </w:rPr>
        <w:t>16.3%</w:t>
      </w:r>
      <w:r w:rsidR="009F4F13" w:rsidRPr="009F4F13">
        <w:rPr>
          <w:rFonts w:hint="eastAsia"/>
        </w:rPr>
        <w:t>、</w:t>
      </w:r>
      <w:r w:rsidR="009F4F13" w:rsidRPr="009F4F13">
        <w:rPr>
          <w:rFonts w:hint="eastAsia"/>
        </w:rPr>
        <w:t>23.6%</w:t>
      </w:r>
      <w:r w:rsidRPr="00C35B05">
        <w:rPr>
          <w:rFonts w:hint="eastAsia"/>
        </w:rPr>
        <w:t>。</w:t>
      </w:r>
    </w:p>
  </w:footnote>
  <w:footnote w:id="7">
    <w:p w14:paraId="328DC36E" w14:textId="32A3A473" w:rsidR="009F0C37" w:rsidRDefault="009F0C37" w:rsidP="009F0C37">
      <w:pPr>
        <w:pStyle w:val="ac"/>
      </w:pPr>
      <w:r>
        <w:rPr>
          <w:rStyle w:val="af9"/>
        </w:rPr>
        <w:footnoteRef/>
      </w:r>
      <w:r>
        <w:t xml:space="preserve"> </w:t>
      </w:r>
      <w:r w:rsidR="0057127D" w:rsidRPr="0057127D">
        <w:rPr>
          <w:rFonts w:hint="eastAsia"/>
        </w:rPr>
        <w:t>2017</w:t>
      </w:r>
      <w:r w:rsidR="0057127D" w:rsidRPr="0057127D">
        <w:rPr>
          <w:rFonts w:hint="eastAsia"/>
        </w:rPr>
        <w:t>年</w:t>
      </w:r>
      <w:r w:rsidR="0057127D" w:rsidRPr="0057127D">
        <w:rPr>
          <w:rFonts w:hint="eastAsia"/>
        </w:rPr>
        <w:t>1</w:t>
      </w:r>
      <w:r w:rsidR="0057127D" w:rsidRPr="0057127D">
        <w:rPr>
          <w:rFonts w:hint="eastAsia"/>
        </w:rPr>
        <w:t>月至</w:t>
      </w:r>
      <w:r w:rsidR="0057127D" w:rsidRPr="0057127D">
        <w:rPr>
          <w:rFonts w:hint="eastAsia"/>
        </w:rPr>
        <w:t>2024</w:t>
      </w:r>
      <w:r w:rsidR="0057127D" w:rsidRPr="0057127D">
        <w:rPr>
          <w:rFonts w:hint="eastAsia"/>
        </w:rPr>
        <w:t>年</w:t>
      </w:r>
      <w:r w:rsidR="0057127D" w:rsidRPr="0057127D">
        <w:rPr>
          <w:rFonts w:hint="eastAsia"/>
        </w:rPr>
        <w:t>12</w:t>
      </w:r>
      <w:r w:rsidR="0057127D" w:rsidRPr="0057127D">
        <w:rPr>
          <w:rFonts w:hint="eastAsia"/>
        </w:rPr>
        <w:t>月，摩根大通全球制造业</w:t>
      </w:r>
      <w:r w:rsidR="0057127D" w:rsidRPr="0057127D">
        <w:rPr>
          <w:rFonts w:hint="eastAsia"/>
        </w:rPr>
        <w:t>PMI</w:t>
      </w:r>
      <w:r w:rsidR="0057127D" w:rsidRPr="0057127D">
        <w:rPr>
          <w:rFonts w:hint="eastAsia"/>
        </w:rPr>
        <w:t>指数滞后一期值与来自</w:t>
      </w:r>
      <w:r w:rsidR="0057127D" w:rsidRPr="0057127D">
        <w:rPr>
          <w:rFonts w:hint="eastAsia"/>
        </w:rPr>
        <w:t>WTO</w:t>
      </w:r>
      <w:r w:rsidR="0057127D" w:rsidRPr="0057127D">
        <w:rPr>
          <w:rFonts w:hint="eastAsia"/>
        </w:rPr>
        <w:t>提供的不含中国的全球进口增速（外需增速）的相关系数为</w:t>
      </w:r>
      <w:r w:rsidR="0057127D" w:rsidRPr="0057127D">
        <w:rPr>
          <w:rFonts w:hint="eastAsia"/>
        </w:rPr>
        <w:t>0.81</w:t>
      </w:r>
      <w:r>
        <w:rPr>
          <w:rFonts w:hint="eastAsia"/>
        </w:rPr>
        <w:t>。</w:t>
      </w:r>
    </w:p>
  </w:footnote>
  <w:footnote w:id="8">
    <w:p w14:paraId="431B4795" w14:textId="77777777" w:rsidR="0057127D" w:rsidRDefault="0057127D" w:rsidP="0057127D">
      <w:pPr>
        <w:pStyle w:val="ac"/>
      </w:pPr>
      <w:r>
        <w:rPr>
          <w:rStyle w:val="af9"/>
        </w:rPr>
        <w:footnoteRef/>
      </w:r>
      <w:r>
        <w:t xml:space="preserve"> </w:t>
      </w:r>
      <w:r>
        <w:rPr>
          <w:rFonts w:hint="eastAsia"/>
        </w:rPr>
        <w:t>2017-2024</w:t>
      </w:r>
      <w:r>
        <w:rPr>
          <w:rFonts w:hint="eastAsia"/>
        </w:rPr>
        <w:t>年，新出口订单</w:t>
      </w:r>
      <w:r>
        <w:rPr>
          <w:rFonts w:hint="eastAsia"/>
        </w:rPr>
        <w:t>PMI</w:t>
      </w:r>
      <w:r>
        <w:rPr>
          <w:rFonts w:hint="eastAsia"/>
        </w:rPr>
        <w:t>指数中枢下行，年度均值分别为</w:t>
      </w:r>
      <w:r>
        <w:rPr>
          <w:rFonts w:hint="eastAsia"/>
        </w:rPr>
        <w:t>50.9</w:t>
      </w:r>
      <w:r>
        <w:rPr>
          <w:rFonts w:hint="eastAsia"/>
        </w:rPr>
        <w:t>、</w:t>
      </w:r>
      <w:r>
        <w:rPr>
          <w:rFonts w:hint="eastAsia"/>
        </w:rPr>
        <w:t>49.1</w:t>
      </w:r>
      <w:r>
        <w:rPr>
          <w:rFonts w:hint="eastAsia"/>
        </w:rPr>
        <w:t>、</w:t>
      </w:r>
      <w:r>
        <w:rPr>
          <w:rFonts w:hint="eastAsia"/>
        </w:rPr>
        <w:t>47.5</w:t>
      </w:r>
      <w:r>
        <w:rPr>
          <w:rFonts w:hint="eastAsia"/>
        </w:rPr>
        <w:t>、</w:t>
      </w:r>
      <w:r>
        <w:rPr>
          <w:rFonts w:hint="eastAsia"/>
        </w:rPr>
        <w:t>44.8</w:t>
      </w:r>
      <w:r>
        <w:rPr>
          <w:rFonts w:hint="eastAsia"/>
        </w:rPr>
        <w:t>、</w:t>
      </w:r>
      <w:r>
        <w:rPr>
          <w:rFonts w:hint="eastAsia"/>
        </w:rPr>
        <w:t>48.4</w:t>
      </w:r>
      <w:r>
        <w:rPr>
          <w:rFonts w:hint="eastAsia"/>
        </w:rPr>
        <w:t>、</w:t>
      </w:r>
      <w:r>
        <w:rPr>
          <w:rFonts w:hint="eastAsia"/>
        </w:rPr>
        <w:t>46.9</w:t>
      </w:r>
      <w:r>
        <w:rPr>
          <w:rFonts w:hint="eastAsia"/>
        </w:rPr>
        <w:t>、</w:t>
      </w:r>
      <w:r>
        <w:rPr>
          <w:rFonts w:hint="eastAsia"/>
        </w:rPr>
        <w:t>47.5</w:t>
      </w:r>
      <w:r>
        <w:rPr>
          <w:rFonts w:hint="eastAsia"/>
        </w:rPr>
        <w:t>、</w:t>
      </w:r>
      <w:r>
        <w:rPr>
          <w:rFonts w:hint="eastAsia"/>
        </w:rPr>
        <w:t>48.4</w:t>
      </w:r>
      <w:r>
        <w:rPr>
          <w:rFonts w:hint="eastAsia"/>
        </w:rPr>
        <w:t>，均低于</w:t>
      </w:r>
      <w:r>
        <w:rPr>
          <w:rFonts w:hint="eastAsia"/>
        </w:rPr>
        <w:t>50</w:t>
      </w:r>
      <w:r>
        <w:rPr>
          <w:rFonts w:hint="eastAsia"/>
        </w:rPr>
        <w:t>的荣枯线。</w:t>
      </w:r>
    </w:p>
  </w:footnote>
  <w:footnote w:id="9">
    <w:p w14:paraId="038F1CC5" w14:textId="77777777" w:rsidR="009F0C37" w:rsidRDefault="009F0C37" w:rsidP="009F0C37">
      <w:pPr>
        <w:pStyle w:val="ac"/>
      </w:pPr>
      <w:r>
        <w:rPr>
          <w:rStyle w:val="af9"/>
        </w:rPr>
        <w:footnoteRef/>
      </w:r>
      <w:r>
        <w:t xml:space="preserve"> </w:t>
      </w:r>
      <w:r w:rsidRPr="001F5D2D">
        <w:rPr>
          <w:rFonts w:hint="eastAsia"/>
        </w:rPr>
        <w:t>2024</w:t>
      </w:r>
      <w:r w:rsidRPr="001F5D2D">
        <w:rPr>
          <w:rFonts w:hint="eastAsia"/>
        </w:rPr>
        <w:t>年</w:t>
      </w:r>
      <w:r w:rsidRPr="001F5D2D">
        <w:rPr>
          <w:rFonts w:hint="eastAsia"/>
        </w:rPr>
        <w:t>3</w:t>
      </w:r>
      <w:r w:rsidRPr="001F5D2D">
        <w:rPr>
          <w:rFonts w:hint="eastAsia"/>
        </w:rPr>
        <w:t>季度，一般贸易、加工贸易和其它贸易方式进口占总进口的比重分别为</w:t>
      </w:r>
      <w:r w:rsidRPr="001F5D2D">
        <w:rPr>
          <w:rFonts w:hint="eastAsia"/>
        </w:rPr>
        <w:t>61.1%</w:t>
      </w:r>
      <w:r w:rsidRPr="001F5D2D">
        <w:rPr>
          <w:rFonts w:hint="eastAsia"/>
        </w:rPr>
        <w:t>、</w:t>
      </w:r>
      <w:r w:rsidRPr="001F5D2D">
        <w:rPr>
          <w:rFonts w:hint="eastAsia"/>
        </w:rPr>
        <w:t>17.0%</w:t>
      </w:r>
      <w:r w:rsidRPr="001F5D2D">
        <w:rPr>
          <w:rFonts w:hint="eastAsia"/>
        </w:rPr>
        <w:t>和</w:t>
      </w:r>
      <w:r w:rsidRPr="001F5D2D">
        <w:rPr>
          <w:rFonts w:hint="eastAsia"/>
        </w:rPr>
        <w:t>21.9%</w:t>
      </w:r>
      <w:r w:rsidRPr="001F5D2D">
        <w:rPr>
          <w:rFonts w:hint="eastAsia"/>
        </w:rPr>
        <w:t>。</w:t>
      </w:r>
    </w:p>
  </w:footnote>
  <w:footnote w:id="10">
    <w:p w14:paraId="39E02527" w14:textId="77777777" w:rsidR="0057127D" w:rsidRDefault="0057127D" w:rsidP="0057127D">
      <w:pPr>
        <w:pStyle w:val="ac"/>
      </w:pPr>
      <w:r>
        <w:rPr>
          <w:rStyle w:val="af9"/>
        </w:rPr>
        <w:footnoteRef/>
      </w:r>
      <w:r>
        <w:t xml:space="preserve"> </w:t>
      </w:r>
      <w:r>
        <w:rPr>
          <w:rFonts w:hint="eastAsia"/>
        </w:rPr>
        <w:t>2024</w:t>
      </w:r>
      <w:r>
        <w:rPr>
          <w:rFonts w:hint="eastAsia"/>
        </w:rPr>
        <w:t>年</w:t>
      </w:r>
      <w:r>
        <w:rPr>
          <w:rFonts w:hint="eastAsia"/>
        </w:rPr>
        <w:t>4</w:t>
      </w:r>
      <w:r>
        <w:rPr>
          <w:rFonts w:hint="eastAsia"/>
        </w:rPr>
        <w:t>季度，农产品、铁矿</w:t>
      </w:r>
      <w:r>
        <w:rPr>
          <w:rFonts w:hint="eastAsia"/>
        </w:rPr>
        <w:t>-</w:t>
      </w:r>
      <w:r>
        <w:rPr>
          <w:rFonts w:hint="eastAsia"/>
        </w:rPr>
        <w:t>铜矿</w:t>
      </w:r>
      <w:r>
        <w:rPr>
          <w:rFonts w:hint="eastAsia"/>
        </w:rPr>
        <w:t>-</w:t>
      </w:r>
      <w:r>
        <w:rPr>
          <w:rFonts w:hint="eastAsia"/>
        </w:rPr>
        <w:t>铁材</w:t>
      </w:r>
      <w:r>
        <w:rPr>
          <w:rFonts w:hint="eastAsia"/>
        </w:rPr>
        <w:t>-</w:t>
      </w:r>
      <w:r>
        <w:rPr>
          <w:rFonts w:hint="eastAsia"/>
        </w:rPr>
        <w:t>铜材、煤</w:t>
      </w:r>
      <w:r>
        <w:rPr>
          <w:rFonts w:hint="eastAsia"/>
        </w:rPr>
        <w:t>-</w:t>
      </w:r>
      <w:r>
        <w:rPr>
          <w:rFonts w:hint="eastAsia"/>
        </w:rPr>
        <w:t>油</w:t>
      </w:r>
      <w:r>
        <w:rPr>
          <w:rFonts w:hint="eastAsia"/>
        </w:rPr>
        <w:t>-</w:t>
      </w:r>
      <w:r>
        <w:rPr>
          <w:rFonts w:hint="eastAsia"/>
        </w:rPr>
        <w:t>天然气、医药</w:t>
      </w:r>
      <w:r>
        <w:rPr>
          <w:rFonts w:hint="eastAsia"/>
        </w:rPr>
        <w:t>-</w:t>
      </w:r>
      <w:r>
        <w:rPr>
          <w:rFonts w:hint="eastAsia"/>
        </w:rPr>
        <w:t>肥料</w:t>
      </w:r>
      <w:r>
        <w:rPr>
          <w:rFonts w:hint="eastAsia"/>
        </w:rPr>
        <w:t>-</w:t>
      </w:r>
      <w:r>
        <w:rPr>
          <w:rFonts w:hint="eastAsia"/>
        </w:rPr>
        <w:t>塑料</w:t>
      </w:r>
      <w:r>
        <w:rPr>
          <w:rFonts w:hint="eastAsia"/>
        </w:rPr>
        <w:t>-</w:t>
      </w:r>
      <w:r>
        <w:rPr>
          <w:rFonts w:hint="eastAsia"/>
        </w:rPr>
        <w:t>橡胶、纸浆</w:t>
      </w:r>
      <w:r>
        <w:rPr>
          <w:rFonts w:hint="eastAsia"/>
        </w:rPr>
        <w:t>-</w:t>
      </w:r>
      <w:r>
        <w:rPr>
          <w:rFonts w:hint="eastAsia"/>
        </w:rPr>
        <w:t>锯材</w:t>
      </w:r>
      <w:r>
        <w:rPr>
          <w:rFonts w:hint="eastAsia"/>
        </w:rPr>
        <w:t>-</w:t>
      </w:r>
      <w:r>
        <w:rPr>
          <w:rFonts w:hint="eastAsia"/>
        </w:rPr>
        <w:t>纺织纤维纱线及制品、机电产品进口占总进口的比重依次为</w:t>
      </w:r>
      <w:r>
        <w:rPr>
          <w:rFonts w:hint="eastAsia"/>
        </w:rPr>
        <w:t>7.6%</w:t>
      </w:r>
      <w:r>
        <w:rPr>
          <w:rFonts w:hint="eastAsia"/>
        </w:rPr>
        <w:t>、</w:t>
      </w:r>
      <w:r>
        <w:rPr>
          <w:rFonts w:hint="eastAsia"/>
        </w:rPr>
        <w:t>9.9%</w:t>
      </w:r>
      <w:r>
        <w:rPr>
          <w:rFonts w:hint="eastAsia"/>
        </w:rPr>
        <w:t>、</w:t>
      </w:r>
      <w:r>
        <w:rPr>
          <w:rFonts w:hint="eastAsia"/>
        </w:rPr>
        <w:t>17.1%</w:t>
      </w:r>
      <w:r>
        <w:rPr>
          <w:rFonts w:hint="eastAsia"/>
        </w:rPr>
        <w:t>、</w:t>
      </w:r>
      <w:r>
        <w:rPr>
          <w:rFonts w:hint="eastAsia"/>
        </w:rPr>
        <w:t>4.5%</w:t>
      </w:r>
      <w:r>
        <w:rPr>
          <w:rFonts w:hint="eastAsia"/>
        </w:rPr>
        <w:t>、</w:t>
      </w:r>
      <w:r>
        <w:rPr>
          <w:rFonts w:hint="eastAsia"/>
        </w:rPr>
        <w:t>1.7%</w:t>
      </w:r>
      <w:r>
        <w:rPr>
          <w:rFonts w:hint="eastAsia"/>
        </w:rPr>
        <w:t>、</w:t>
      </w:r>
      <w:r>
        <w:rPr>
          <w:rFonts w:hint="eastAsia"/>
        </w:rPr>
        <w:t>40.1%</w:t>
      </w:r>
      <w:r>
        <w:rPr>
          <w:rFonts w:hint="eastAsia"/>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3CAFD7" w14:textId="7DE73B04" w:rsidR="009F6D12" w:rsidRDefault="00D51929">
    <w:pPr>
      <w:pStyle w:val="21"/>
      <w:spacing w:before="120"/>
      <w:ind w:firstLine="480"/>
    </w:pPr>
    <w:r>
      <w:rPr>
        <w:noProof/>
      </w:rPr>
      <mc:AlternateContent>
        <mc:Choice Requires="wps">
          <w:drawing>
            <wp:anchor distT="0" distB="0" distL="114300" distR="114300" simplePos="0" relativeHeight="251687936" behindDoc="0" locked="0" layoutInCell="1" allowOverlap="1" wp14:anchorId="2AD01312" wp14:editId="4F8763A7">
              <wp:simplePos x="0" y="0"/>
              <wp:positionH relativeFrom="column">
                <wp:posOffset>4907280</wp:posOffset>
              </wp:positionH>
              <wp:positionV relativeFrom="paragraph">
                <wp:posOffset>-174625</wp:posOffset>
              </wp:positionV>
              <wp:extent cx="3810000" cy="327660"/>
              <wp:effectExtent l="0" t="0" r="0" b="0"/>
              <wp:wrapNone/>
              <wp:docPr id="121586266" name="文本框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327660"/>
                      </a:xfrm>
                      <a:prstGeom prst="rect">
                        <a:avLst/>
                      </a:prstGeom>
                      <a:solidFill>
                        <a:srgbClr val="FFFFFF">
                          <a:alpha val="0"/>
                        </a:srgbClr>
                      </a:solidFill>
                      <a:ln>
                        <a:noFill/>
                      </a:ln>
                    </wps:spPr>
                    <wps:txbx>
                      <w:txbxContent>
                        <w:p w14:paraId="7C4FDA16" w14:textId="02666FB1" w:rsidR="00D51929" w:rsidRDefault="00D51929" w:rsidP="00D51929">
                          <w:pPr>
                            <w:ind w:firstLineChars="0" w:firstLine="0"/>
                            <w:rPr>
                              <w:rFonts w:eastAsia="楷体"/>
                              <w:color w:val="106D9C"/>
                              <w:lang w:eastAsia="zh-CN"/>
                            </w:rPr>
                          </w:pPr>
                          <w:r>
                            <w:rPr>
                              <w:rFonts w:eastAsia="楷体" w:hint="eastAsia"/>
                              <w:b/>
                              <w:color w:val="106D9C"/>
                              <w:sz w:val="30"/>
                              <w:szCs w:val="30"/>
                              <w:lang w:eastAsia="zh-CN"/>
                            </w:rPr>
                            <w:t>图表目录</w:t>
                          </w:r>
                        </w:p>
                        <w:p w14:paraId="1E6E7CB3" w14:textId="77777777" w:rsidR="00D51929" w:rsidRDefault="00D51929" w:rsidP="00D51929">
                          <w:pPr>
                            <w:ind w:firstLineChars="0" w:firstLine="0"/>
                            <w:rPr>
                              <w:rFonts w:ascii="楷体" w:eastAsia="楷体" w:hAnsi="楷体"/>
                              <w:lang w:eastAsia="zh-CN"/>
                            </w:rPr>
                          </w:pPr>
                          <w:r>
                            <w:rPr>
                              <w:rFonts w:ascii="楷体" w:eastAsia="楷体" w:hAnsi="楷体" w:hint="eastAsia"/>
                              <w:b/>
                              <w:color w:val="FFFFFF"/>
                              <w:sz w:val="30"/>
                              <w:szCs w:val="30"/>
                              <w:lang w:eastAsia="zh-CN"/>
                            </w:rPr>
                            <w:t>CEEM 全球宏观经济季度报告（专题）</w:t>
                          </w:r>
                        </w:p>
                        <w:p w14:paraId="0FB29880" w14:textId="77777777" w:rsidR="00D51929" w:rsidRDefault="00D51929" w:rsidP="00D51929">
                          <w:pPr>
                            <w:ind w:firstLine="480"/>
                            <w:rPr>
                              <w:rFonts w:ascii="楷体" w:eastAsia="楷体" w:hAnsi="楷体"/>
                              <w:lang w:eastAsia="zh-CN"/>
                            </w:rPr>
                          </w:pPr>
                        </w:p>
                        <w:p w14:paraId="51912630" w14:textId="77777777" w:rsidR="00D51929" w:rsidRDefault="00D51929" w:rsidP="00D51929">
                          <w:pPr>
                            <w:ind w:firstLine="480"/>
                            <w:rPr>
                              <w:rFonts w:ascii="楷体" w:eastAsia="楷体" w:hAnsi="楷体"/>
                              <w:lang w:eastAsia="zh-CN"/>
                            </w:rPr>
                          </w:pPr>
                        </w:p>
                        <w:p w14:paraId="4872E869" w14:textId="77777777" w:rsidR="00D51929" w:rsidRDefault="00D51929" w:rsidP="00D51929">
                          <w:pPr>
                            <w:ind w:firstLine="480"/>
                            <w:rPr>
                              <w:rFonts w:ascii="楷体" w:eastAsia="楷体" w:hAnsi="楷体"/>
                              <w:lang w:eastAsia="zh-CN"/>
                            </w:rPr>
                          </w:pPr>
                        </w:p>
                        <w:p w14:paraId="7B4AF056" w14:textId="77777777" w:rsidR="00D51929" w:rsidRDefault="00D51929" w:rsidP="00D51929">
                          <w:pPr>
                            <w:ind w:firstLineChars="0" w:firstLine="0"/>
                            <w:rPr>
                              <w:rFonts w:ascii="楷体" w:eastAsia="楷体" w:hAnsi="楷体"/>
                              <w:lang w:eastAsia="zh-CN"/>
                            </w:rPr>
                          </w:pPr>
                          <w:r>
                            <w:rPr>
                              <w:rFonts w:ascii="楷体" w:eastAsia="楷体" w:hAnsi="楷体"/>
                              <w:b/>
                              <w:color w:val="FFFFFF"/>
                              <w:sz w:val="30"/>
                              <w:szCs w:val="30"/>
                              <w:lang w:eastAsia="zh-CN"/>
                            </w:rPr>
                            <w:t>C</w:t>
                          </w:r>
                          <w:r>
                            <w:rPr>
                              <w:rFonts w:ascii="楷体" w:eastAsia="楷体" w:hAnsi="楷体" w:hint="eastAsia"/>
                              <w:b/>
                              <w:color w:val="FFFFFF"/>
                              <w:sz w:val="30"/>
                              <w:szCs w:val="30"/>
                              <w:lang w:eastAsia="zh-CN"/>
                            </w:rPr>
                            <w:t>EEM 全球宏观经济季度报告（专题）</w:t>
                          </w:r>
                        </w:p>
                        <w:p w14:paraId="04F31E8A" w14:textId="77777777" w:rsidR="00D51929" w:rsidRDefault="00D51929" w:rsidP="00D51929">
                          <w:pPr>
                            <w:ind w:firstLine="602"/>
                            <w:rPr>
                              <w:rFonts w:ascii="楷体" w:eastAsia="楷体" w:hAnsi="楷体"/>
                              <w:lang w:eastAsia="zh-CN"/>
                            </w:rPr>
                          </w:pPr>
                          <w:r>
                            <w:rPr>
                              <w:rFonts w:ascii="楷体" w:eastAsia="楷体" w:hAnsi="楷体" w:hint="eastAsia"/>
                              <w:b/>
                              <w:color w:val="FFFFFF"/>
                              <w:sz w:val="30"/>
                              <w:szCs w:val="30"/>
                              <w:lang w:eastAsia="zh-CN"/>
                            </w:rPr>
                            <w:t>CEEM 全球宏观经济季度报告（下篇）</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AD01312" id="_x0000_t202" coordsize="21600,21600" o:spt="202" path="m,l,21600r21600,l21600,xe">
              <v:stroke joinstyle="miter"/>
              <v:path gradientshapeok="t" o:connecttype="rect"/>
            </v:shapetype>
            <v:shape id="文本框 30" o:spid="_x0000_s1029" type="#_x0000_t202" style="position:absolute;left:0;text-align:left;margin-left:386.4pt;margin-top:-13.75pt;width:300pt;height:25.8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" stroked="f">
              <v:fill opacity="0"/>
              <v:textbox>
                <w:txbxContent>
                  <w:p w14:paraId="7C4FDA16" w14:textId="02666FB1" w:rsidR="00D51929" w:rsidRDefault="00D51929" w:rsidP="00D51929">
                    <w:pPr>
                      <w:ind w:firstLineChars="0" w:firstLine="0"/>
                      <w:rPr>
                        <w:rFonts w:eastAsia="楷体"/>
                        <w:color w:val="106D9C"/>
                        <w:lang w:eastAsia="zh-CN"/>
                      </w:rPr>
                    </w:pPr>
                    <w:r>
                      <w:rPr>
                        <w:rFonts w:eastAsia="楷体" w:hint="eastAsia"/>
                        <w:b/>
                        <w:color w:val="106D9C"/>
                        <w:sz w:val="30"/>
                        <w:szCs w:val="30"/>
                        <w:lang w:eastAsia="zh-CN"/>
                      </w:rPr>
                      <w:t>图表目录</w:t>
                    </w:r>
                  </w:p>
                  <w:p w14:paraId="1E6E7CB3" w14:textId="77777777" w:rsidR="00D51929" w:rsidRDefault="00D51929" w:rsidP="00D51929">
                    <w:pPr>
                      <w:ind w:firstLineChars="0" w:firstLine="0"/>
                      <w:rPr>
                        <w:rFonts w:ascii="楷体" w:eastAsia="楷体" w:hAnsi="楷体" w:hint="eastAsia"/>
                        <w:lang w:eastAsia="zh-CN"/>
                      </w:rPr>
                    </w:pPr>
                    <w:r>
                      <w:rPr>
                        <w:rFonts w:ascii="楷体" w:eastAsia="楷体" w:hAnsi="楷体" w:hint="eastAsia"/>
                        <w:b/>
                        <w:color w:val="FFFFFF"/>
                        <w:sz w:val="30"/>
                        <w:szCs w:val="30"/>
                        <w:lang w:eastAsia="zh-CN"/>
                      </w:rPr>
                      <w:t>CEEM 全球宏观经济季度报告（专题）</w:t>
                    </w:r>
                  </w:p>
                  <w:p w14:paraId="0FB29880" w14:textId="77777777" w:rsidR="00D51929" w:rsidRDefault="00D51929" w:rsidP="00D51929">
                    <w:pPr>
                      <w:ind w:firstLine="480"/>
                      <w:rPr>
                        <w:rFonts w:ascii="楷体" w:eastAsia="楷体" w:hAnsi="楷体" w:hint="eastAsia"/>
                        <w:lang w:eastAsia="zh-CN"/>
                      </w:rPr>
                    </w:pPr>
                  </w:p>
                  <w:p w14:paraId="51912630" w14:textId="77777777" w:rsidR="00D51929" w:rsidRDefault="00D51929" w:rsidP="00D51929">
                    <w:pPr>
                      <w:ind w:firstLine="480"/>
                      <w:rPr>
                        <w:rFonts w:ascii="楷体" w:eastAsia="楷体" w:hAnsi="楷体" w:hint="eastAsia"/>
                        <w:lang w:eastAsia="zh-CN"/>
                      </w:rPr>
                    </w:pPr>
                  </w:p>
                  <w:p w14:paraId="4872E869" w14:textId="77777777" w:rsidR="00D51929" w:rsidRDefault="00D51929" w:rsidP="00D51929">
                    <w:pPr>
                      <w:ind w:firstLine="480"/>
                      <w:rPr>
                        <w:rFonts w:ascii="楷体" w:eastAsia="楷体" w:hAnsi="楷体" w:hint="eastAsia"/>
                        <w:lang w:eastAsia="zh-CN"/>
                      </w:rPr>
                    </w:pPr>
                  </w:p>
                  <w:p w14:paraId="7B4AF056" w14:textId="77777777" w:rsidR="00D51929" w:rsidRDefault="00D51929" w:rsidP="00D51929">
                    <w:pPr>
                      <w:ind w:firstLineChars="0" w:firstLine="0"/>
                      <w:rPr>
                        <w:rFonts w:ascii="楷体" w:eastAsia="楷体" w:hAnsi="楷体" w:hint="eastAsia"/>
                        <w:lang w:eastAsia="zh-CN"/>
                      </w:rPr>
                    </w:pPr>
                    <w:r>
                      <w:rPr>
                        <w:rFonts w:ascii="楷体" w:eastAsia="楷体" w:hAnsi="楷体"/>
                        <w:b/>
                        <w:color w:val="FFFFFF"/>
                        <w:sz w:val="30"/>
                        <w:szCs w:val="30"/>
                        <w:lang w:eastAsia="zh-CN"/>
                      </w:rPr>
                      <w:t>C</w:t>
                    </w:r>
                    <w:r>
                      <w:rPr>
                        <w:rFonts w:ascii="楷体" w:eastAsia="楷体" w:hAnsi="楷体" w:hint="eastAsia"/>
                        <w:b/>
                        <w:color w:val="FFFFFF"/>
                        <w:sz w:val="30"/>
                        <w:szCs w:val="30"/>
                        <w:lang w:eastAsia="zh-CN"/>
                      </w:rPr>
                      <w:t>EEM 全球宏观经济季度报告（专题）</w:t>
                    </w:r>
                  </w:p>
                  <w:p w14:paraId="04F31E8A" w14:textId="77777777" w:rsidR="00D51929" w:rsidRDefault="00D51929" w:rsidP="00D51929">
                    <w:pPr>
                      <w:ind w:firstLine="602"/>
                      <w:rPr>
                        <w:rFonts w:ascii="楷体" w:eastAsia="楷体" w:hAnsi="楷体" w:hint="eastAsia"/>
                        <w:lang w:eastAsia="zh-CN"/>
                      </w:rPr>
                    </w:pPr>
                    <w:r>
                      <w:rPr>
                        <w:rFonts w:ascii="楷体" w:eastAsia="楷体" w:hAnsi="楷体" w:hint="eastAsia"/>
                        <w:b/>
                        <w:color w:val="FFFFFF"/>
                        <w:sz w:val="30"/>
                        <w:szCs w:val="30"/>
                        <w:lang w:eastAsia="zh-CN"/>
                      </w:rPr>
                      <w:t>CEEM 全球宏观经济季度报告（下篇）</w:t>
                    </w:r>
                  </w:p>
                </w:txbxContent>
              </v:textbox>
            </v:shape>
          </w:pict>
        </mc:Fallback>
      </mc:AlternateContent>
    </w:r>
    <w:r w:rsidR="007F53FD">
      <w:rPr>
        <w:noProof/>
      </w:rPr>
      <mc:AlternateContent>
        <mc:Choice Requires="wps">
          <w:drawing>
            <wp:anchor distT="0" distB="0" distL="114300" distR="114300" simplePos="0" relativeHeight="251661312" behindDoc="0" locked="0" layoutInCell="1" allowOverlap="1" wp14:anchorId="13DEBB3E" wp14:editId="06B1A7E7">
              <wp:simplePos x="0" y="0"/>
              <wp:positionH relativeFrom="column">
                <wp:posOffset>-473075</wp:posOffset>
              </wp:positionH>
              <wp:positionV relativeFrom="paragraph">
                <wp:posOffset>-172085</wp:posOffset>
              </wp:positionV>
              <wp:extent cx="3810000" cy="327660"/>
              <wp:effectExtent l="0" t="0" r="0" b="0"/>
              <wp:wrapNone/>
              <wp:docPr id="20271886" name="文本框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327660"/>
                      </a:xfrm>
                      <a:prstGeom prst="rect">
                        <a:avLst/>
                      </a:prstGeom>
                      <a:solidFill>
                        <a:srgbClr val="FFFFFF">
                          <a:alpha val="0"/>
                        </a:srgbClr>
                      </a:solidFill>
                      <a:ln>
                        <a:noFill/>
                      </a:ln>
                    </wps:spPr>
                    <wps:txbx>
                      <w:txbxContent>
                        <w:p w14:paraId="625C781D" w14:textId="77777777" w:rsidR="009F6D12" w:rsidRDefault="007F53FD">
                          <w:pPr>
                            <w:ind w:firstLineChars="0" w:firstLine="0"/>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w:t>
                          </w:r>
                        </w:p>
                        <w:p w14:paraId="1078DC6F" w14:textId="77777777" w:rsidR="009F6D12" w:rsidRDefault="007F53FD">
                          <w:pPr>
                            <w:ind w:firstLineChars="0" w:firstLine="0"/>
                            <w:rPr>
                              <w:rFonts w:ascii="楷体" w:eastAsia="楷体" w:hAnsi="楷体"/>
                              <w:lang w:eastAsia="zh-CN"/>
                            </w:rPr>
                          </w:pPr>
                          <w:r>
                            <w:rPr>
                              <w:rFonts w:ascii="楷体" w:eastAsia="楷体" w:hAnsi="楷体" w:hint="eastAsia"/>
                              <w:b/>
                              <w:color w:val="FFFFFF"/>
                              <w:sz w:val="30"/>
                              <w:szCs w:val="30"/>
                              <w:lang w:eastAsia="zh-CN"/>
                            </w:rPr>
                            <w:t>CEEM 全球宏观经济季度报告（专题）</w:t>
                          </w:r>
                        </w:p>
                        <w:p w14:paraId="07AD5762" w14:textId="77777777" w:rsidR="009F6D12" w:rsidRDefault="009F6D12">
                          <w:pPr>
                            <w:ind w:firstLine="480"/>
                            <w:rPr>
                              <w:rFonts w:ascii="楷体" w:eastAsia="楷体" w:hAnsi="楷体"/>
                              <w:lang w:eastAsia="zh-CN"/>
                            </w:rPr>
                          </w:pPr>
                        </w:p>
                        <w:p w14:paraId="1FFE01E7" w14:textId="77777777" w:rsidR="009F6D12" w:rsidRDefault="009F6D12">
                          <w:pPr>
                            <w:ind w:firstLine="480"/>
                            <w:rPr>
                              <w:rFonts w:ascii="楷体" w:eastAsia="楷体" w:hAnsi="楷体"/>
                              <w:lang w:eastAsia="zh-CN"/>
                            </w:rPr>
                          </w:pPr>
                        </w:p>
                        <w:p w14:paraId="6E9BB057" w14:textId="77777777" w:rsidR="009F6D12" w:rsidRDefault="009F6D12">
                          <w:pPr>
                            <w:ind w:firstLine="480"/>
                            <w:rPr>
                              <w:rFonts w:ascii="楷体" w:eastAsia="楷体" w:hAnsi="楷体"/>
                              <w:lang w:eastAsia="zh-CN"/>
                            </w:rPr>
                          </w:pPr>
                        </w:p>
                        <w:p w14:paraId="65C8E700" w14:textId="77777777" w:rsidR="009F6D12" w:rsidRDefault="007F53FD">
                          <w:pPr>
                            <w:ind w:firstLineChars="0" w:firstLine="0"/>
                            <w:rPr>
                              <w:rFonts w:ascii="楷体" w:eastAsia="楷体" w:hAnsi="楷体"/>
                              <w:lang w:eastAsia="zh-CN"/>
                            </w:rPr>
                          </w:pPr>
                          <w:r>
                            <w:rPr>
                              <w:rFonts w:ascii="楷体" w:eastAsia="楷体" w:hAnsi="楷体"/>
                              <w:b/>
                              <w:color w:val="FFFFFF"/>
                              <w:sz w:val="30"/>
                              <w:szCs w:val="30"/>
                              <w:lang w:eastAsia="zh-CN"/>
                            </w:rPr>
                            <w:t>C</w:t>
                          </w:r>
                          <w:r>
                            <w:rPr>
                              <w:rFonts w:ascii="楷体" w:eastAsia="楷体" w:hAnsi="楷体" w:hint="eastAsia"/>
                              <w:b/>
                              <w:color w:val="FFFFFF"/>
                              <w:sz w:val="30"/>
                              <w:szCs w:val="30"/>
                              <w:lang w:eastAsia="zh-CN"/>
                            </w:rPr>
                            <w:t>EEM 全球宏观经济季度报告（专题）</w:t>
                          </w:r>
                        </w:p>
                        <w:p w14:paraId="6752CC54" w14:textId="77777777" w:rsidR="009F6D12" w:rsidRDefault="007F53FD">
                          <w:pPr>
                            <w:ind w:firstLine="602"/>
                            <w:rPr>
                              <w:rFonts w:ascii="楷体" w:eastAsia="楷体" w:hAnsi="楷体"/>
                              <w:lang w:eastAsia="zh-CN"/>
                            </w:rPr>
                          </w:pPr>
                          <w:r>
                            <w:rPr>
                              <w:rFonts w:ascii="楷体" w:eastAsia="楷体" w:hAnsi="楷体" w:hint="eastAsia"/>
                              <w:b/>
                              <w:color w:val="FFFFFF"/>
                              <w:sz w:val="30"/>
                              <w:szCs w:val="30"/>
                              <w:lang w:eastAsia="zh-CN"/>
                            </w:rPr>
                            <w:t>CEEM 全球宏观经济季度报告（下篇）</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DEBB3E" id="_x0000_s1030" type="#_x0000_t202" style="position:absolute;left:0;text-align:left;margin-left:-37.25pt;margin-top:-13.55pt;width:300pt;height:25.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" stroked="f">
              <v:fill opacity="0"/>
              <v:textbox>
                <w:txbxContent>
                  <w:p w14:paraId="625C781D" w14:textId="77777777" w:rsidR="009F6D12" w:rsidRDefault="007F53FD">
                    <w:pPr>
                      <w:ind w:firstLineChars="0" w:firstLine="0"/>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w:t>
                    </w:r>
                  </w:p>
                  <w:p w14:paraId="1078DC6F" w14:textId="77777777" w:rsidR="009F6D12" w:rsidRDefault="007F53FD">
                    <w:pPr>
                      <w:ind w:firstLineChars="0" w:firstLine="0"/>
                      <w:rPr>
                        <w:rFonts w:ascii="楷体" w:eastAsia="楷体" w:hAnsi="楷体" w:hint="eastAsia"/>
                        <w:lang w:eastAsia="zh-CN"/>
                      </w:rPr>
                    </w:pPr>
                    <w:r>
                      <w:rPr>
                        <w:rFonts w:ascii="楷体" w:eastAsia="楷体" w:hAnsi="楷体" w:hint="eastAsia"/>
                        <w:b/>
                        <w:color w:val="FFFFFF"/>
                        <w:sz w:val="30"/>
                        <w:szCs w:val="30"/>
                        <w:lang w:eastAsia="zh-CN"/>
                      </w:rPr>
                      <w:t>CEEM 全球宏观经济季度报告（专题）</w:t>
                    </w:r>
                  </w:p>
                  <w:p w14:paraId="07AD5762" w14:textId="77777777" w:rsidR="009F6D12" w:rsidRDefault="009F6D12">
                    <w:pPr>
                      <w:ind w:firstLine="480"/>
                      <w:rPr>
                        <w:rFonts w:ascii="楷体" w:eastAsia="楷体" w:hAnsi="楷体" w:hint="eastAsia"/>
                        <w:lang w:eastAsia="zh-CN"/>
                      </w:rPr>
                    </w:pPr>
                  </w:p>
                  <w:p w14:paraId="1FFE01E7" w14:textId="77777777" w:rsidR="009F6D12" w:rsidRDefault="009F6D12">
                    <w:pPr>
                      <w:ind w:firstLine="480"/>
                      <w:rPr>
                        <w:rFonts w:ascii="楷体" w:eastAsia="楷体" w:hAnsi="楷体" w:hint="eastAsia"/>
                        <w:lang w:eastAsia="zh-CN"/>
                      </w:rPr>
                    </w:pPr>
                  </w:p>
                  <w:p w14:paraId="6E9BB057" w14:textId="77777777" w:rsidR="009F6D12" w:rsidRDefault="009F6D12">
                    <w:pPr>
                      <w:ind w:firstLine="480"/>
                      <w:rPr>
                        <w:rFonts w:ascii="楷体" w:eastAsia="楷体" w:hAnsi="楷体" w:hint="eastAsia"/>
                        <w:lang w:eastAsia="zh-CN"/>
                      </w:rPr>
                    </w:pPr>
                  </w:p>
                  <w:p w14:paraId="65C8E700" w14:textId="77777777" w:rsidR="009F6D12" w:rsidRDefault="007F53FD">
                    <w:pPr>
                      <w:ind w:firstLineChars="0" w:firstLine="0"/>
                      <w:rPr>
                        <w:rFonts w:ascii="楷体" w:eastAsia="楷体" w:hAnsi="楷体" w:hint="eastAsia"/>
                        <w:lang w:eastAsia="zh-CN"/>
                      </w:rPr>
                    </w:pPr>
                    <w:r>
                      <w:rPr>
                        <w:rFonts w:ascii="楷体" w:eastAsia="楷体" w:hAnsi="楷体"/>
                        <w:b/>
                        <w:color w:val="FFFFFF"/>
                        <w:sz w:val="30"/>
                        <w:szCs w:val="30"/>
                        <w:lang w:eastAsia="zh-CN"/>
                      </w:rPr>
                      <w:t>C</w:t>
                    </w:r>
                    <w:r>
                      <w:rPr>
                        <w:rFonts w:ascii="楷体" w:eastAsia="楷体" w:hAnsi="楷体" w:hint="eastAsia"/>
                        <w:b/>
                        <w:color w:val="FFFFFF"/>
                        <w:sz w:val="30"/>
                        <w:szCs w:val="30"/>
                        <w:lang w:eastAsia="zh-CN"/>
                      </w:rPr>
                      <w:t>EEM 全球宏观经济季度报告（专题）</w:t>
                    </w:r>
                  </w:p>
                  <w:p w14:paraId="6752CC54" w14:textId="77777777" w:rsidR="009F6D12" w:rsidRDefault="007F53FD">
                    <w:pPr>
                      <w:ind w:firstLine="602"/>
                      <w:rPr>
                        <w:rFonts w:ascii="楷体" w:eastAsia="楷体" w:hAnsi="楷体" w:hint="eastAsia"/>
                        <w:lang w:eastAsia="zh-CN"/>
                      </w:rPr>
                    </w:pPr>
                    <w:r>
                      <w:rPr>
                        <w:rFonts w:ascii="楷体" w:eastAsia="楷体" w:hAnsi="楷体" w:hint="eastAsia"/>
                        <w:b/>
                        <w:color w:val="FFFFFF"/>
                        <w:sz w:val="30"/>
                        <w:szCs w:val="30"/>
                        <w:lang w:eastAsia="zh-CN"/>
                      </w:rPr>
                      <w:t>CEEM 全球宏观经济季度报告（下篇）</w:t>
                    </w:r>
                  </w:p>
                </w:txbxContent>
              </v:textbox>
            </v:shape>
          </w:pict>
        </mc:Fallback>
      </mc:AlternateContent>
    </w:r>
    <w:r w:rsidR="007F53FD">
      <w:rPr>
        <w:noProof/>
      </w:rPr>
      <mc:AlternateContent>
        <mc:Choice Requires="wps">
          <w:drawing>
            <wp:anchor distT="0" distB="0" distL="114300" distR="114300" simplePos="0" relativeHeight="251660288" behindDoc="0" locked="0" layoutInCell="1" allowOverlap="1" wp14:anchorId="43DEF3FC" wp14:editId="000CA261">
              <wp:simplePos x="0" y="0"/>
              <wp:positionH relativeFrom="column">
                <wp:posOffset>-381000</wp:posOffset>
              </wp:positionH>
              <wp:positionV relativeFrom="paragraph">
                <wp:posOffset>129540</wp:posOffset>
              </wp:positionV>
              <wp:extent cx="6120000" cy="0"/>
              <wp:effectExtent l="0" t="19050" r="33655" b="19050"/>
              <wp:wrapNone/>
              <wp:docPr id="1243909503" name="直接连接符 29"/>
              <wp:cNvGraphicFramePr/>
              <a:graphic xmlns:a="http://schemas.openxmlformats.org/drawingml/2006/main">
                <a:graphicData uri="http://schemas.microsoft.com/office/word/2010/wordprocessingShape">
                  <wps:wsp>
                    <wps:cNvCnPr/>
                    <wps:spPr>
                      <a:xfrm>
                        <a:off x="0" y="0"/>
                        <a:ext cx="6120000" cy="0"/>
                      </a:xfrm>
                      <a:prstGeom prst="line">
                        <a:avLst/>
                      </a:prstGeom>
                      <a:ln w="28575">
                        <a:solidFill>
                          <a:srgbClr val="106D9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9B328F5" id="直接连接符 29"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pt,10.2pt" to="451.9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" strokecolor="#106d9c" strokeweight="2.25pt"/>
          </w:pict>
        </mc:Fallback>
      </mc:AlternateContent>
    </w:r>
    <w:r w:rsidR="007F53FD">
      <w:rPr>
        <w:noProof/>
      </w:rPr>
      <mc:AlternateContent>
        <mc:Choice Requires="wps">
          <w:drawing>
            <wp:anchor distT="0" distB="0" distL="114300" distR="114300" simplePos="0" relativeHeight="251659264" behindDoc="0" locked="0" layoutInCell="1" allowOverlap="1" wp14:anchorId="2EA84E01" wp14:editId="09C53922">
              <wp:simplePos x="0" y="0"/>
              <wp:positionH relativeFrom="column">
                <wp:posOffset>-722630</wp:posOffset>
              </wp:positionH>
              <wp:positionV relativeFrom="paragraph">
                <wp:posOffset>-243840</wp:posOffset>
              </wp:positionV>
              <wp:extent cx="3790950" cy="327660"/>
              <wp:effectExtent l="0" t="0" r="0" b="0"/>
              <wp:wrapNone/>
              <wp:docPr id="216423564" name="文本框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327660"/>
                      </a:xfrm>
                      <a:prstGeom prst="rect">
                        <a:avLst/>
                      </a:prstGeom>
                      <a:solidFill>
                        <a:srgbClr val="FFFFFF">
                          <a:alpha val="0"/>
                        </a:srgbClr>
                      </a:solidFill>
                      <a:ln>
                        <a:noFill/>
                      </a:ln>
                    </wps:spPr>
                    <wps:txbx>
                      <w:txbxContent>
                        <w:p w14:paraId="340E31C0" w14:textId="77777777" w:rsidR="009F6D12" w:rsidRDefault="009F6D12">
                          <w:pPr>
                            <w:ind w:firstLine="480"/>
                          </w:pPr>
                        </w:p>
                        <w:p w14:paraId="1F976027" w14:textId="77777777" w:rsidR="009F6D12" w:rsidRDefault="009F6D12">
                          <w:pPr>
                            <w:ind w:firstLine="480"/>
                          </w:pPr>
                        </w:p>
                        <w:p w14:paraId="0D508400" w14:textId="77777777" w:rsidR="009F6D12" w:rsidRDefault="009F6D12">
                          <w:pPr>
                            <w:ind w:firstLine="480"/>
                          </w:pPr>
                        </w:p>
                        <w:p w14:paraId="64E4A095" w14:textId="77777777" w:rsidR="009F6D12" w:rsidRDefault="007F53FD">
                          <w:pPr>
                            <w:spacing w:line="240" w:lineRule="auto"/>
                            <w:ind w:firstLineChars="0" w:firstLine="0"/>
                            <w:rPr>
                              <w:rFonts w:ascii="黑体" w:eastAsia="黑体" w:hAnsi="黑体"/>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31F150E4" w14:textId="77777777" w:rsidR="009F6D12" w:rsidRDefault="009F6D12">
                          <w:pPr>
                            <w:ind w:firstLine="480"/>
                            <w:rPr>
                              <w:lang w:eastAsia="zh-CN"/>
                            </w:rPr>
                          </w:pPr>
                        </w:p>
                        <w:p w14:paraId="11B90FBA" w14:textId="77777777" w:rsidR="009F6D12" w:rsidRDefault="007F53FD">
                          <w:pPr>
                            <w:spacing w:line="240" w:lineRule="auto"/>
                            <w:ind w:firstLineChars="0" w:firstLine="0"/>
                            <w:rPr>
                              <w:rFonts w:ascii="黑体" w:eastAsia="黑体" w:hAnsi="黑体"/>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039CFE55" w14:textId="77777777" w:rsidR="009F6D12" w:rsidRDefault="009F6D12">
                          <w:pPr>
                            <w:ind w:firstLine="480"/>
                            <w:rPr>
                              <w:lang w:eastAsia="zh-CN"/>
                            </w:rPr>
                          </w:pPr>
                        </w:p>
                        <w:p w14:paraId="38D5B95A" w14:textId="77777777" w:rsidR="009F6D12" w:rsidRDefault="009F6D12">
                          <w:pPr>
                            <w:ind w:firstLine="480"/>
                            <w:rPr>
                              <w:lang w:eastAsia="zh-CN"/>
                            </w:rPr>
                          </w:pPr>
                        </w:p>
                        <w:p w14:paraId="7A348D8E" w14:textId="77777777" w:rsidR="009F6D12" w:rsidRDefault="007F53FD">
                          <w:pPr>
                            <w:spacing w:line="240" w:lineRule="auto"/>
                            <w:ind w:firstLineChars="0" w:firstLine="0"/>
                            <w:rPr>
                              <w:rFonts w:ascii="黑体" w:eastAsia="黑体" w:hAnsi="黑体"/>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4D2774F3" w14:textId="77777777" w:rsidR="009F6D12" w:rsidRDefault="009F6D12">
                          <w:pPr>
                            <w:ind w:firstLine="480"/>
                            <w:rPr>
                              <w:lang w:eastAsia="zh-CN"/>
                            </w:rPr>
                          </w:pPr>
                        </w:p>
                        <w:p w14:paraId="7DBE6B8F" w14:textId="77777777" w:rsidR="009F6D12" w:rsidRDefault="007F53FD">
                          <w:pPr>
                            <w:ind w:firstLine="602"/>
                            <w:rPr>
                              <w:lang w:eastAsia="zh-CN"/>
                            </w:rPr>
                          </w:pPr>
                          <w:r>
                            <w:rPr>
                              <w:rFonts w:ascii="黑体" w:eastAsia="黑体" w:hAnsi="黑体" w:hint="eastAsia"/>
                              <w:b/>
                              <w:color w:val="FFFFFF"/>
                              <w:sz w:val="30"/>
                              <w:szCs w:val="30"/>
                              <w:lang w:eastAsia="zh-CN"/>
                            </w:rPr>
                            <w:t>CEEM 全球宏观经济季度报告（专题）</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A84E01" id="文本框 28" o:spid="_x0000_s1031" type="#_x0000_t202" style="position:absolute;left:0;text-align:left;margin-left:-56.9pt;margin-top:-19.2pt;width:298.5pt;height:25.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" stroked="f">
              <v:fill opacity="0"/>
              <v:textbox>
                <w:txbxContent>
                  <w:p w14:paraId="340E31C0" w14:textId="77777777" w:rsidR="009F6D12" w:rsidRDefault="009F6D12">
                    <w:pPr>
                      <w:ind w:firstLine="480"/>
                    </w:pPr>
                  </w:p>
                  <w:p w14:paraId="1F976027" w14:textId="77777777" w:rsidR="009F6D12" w:rsidRDefault="009F6D12">
                    <w:pPr>
                      <w:ind w:firstLine="480"/>
                    </w:pPr>
                  </w:p>
                  <w:p w14:paraId="0D508400" w14:textId="77777777" w:rsidR="009F6D12" w:rsidRDefault="009F6D12">
                    <w:pPr>
                      <w:ind w:firstLine="480"/>
                    </w:pPr>
                  </w:p>
                  <w:p w14:paraId="64E4A095" w14:textId="77777777" w:rsidR="009F6D12" w:rsidRDefault="007F53FD">
                    <w:pPr>
                      <w:spacing w:line="240" w:lineRule="auto"/>
                      <w:ind w:firstLineChars="0" w:firstLine="0"/>
                      <w:rPr>
                        <w:rFonts w:ascii="黑体" w:eastAsia="黑体" w:hAnsi="黑体" w:hint="eastAsia"/>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31F150E4" w14:textId="77777777" w:rsidR="009F6D12" w:rsidRDefault="009F6D12">
                    <w:pPr>
                      <w:ind w:firstLine="480"/>
                      <w:rPr>
                        <w:lang w:eastAsia="zh-CN"/>
                      </w:rPr>
                    </w:pPr>
                  </w:p>
                  <w:p w14:paraId="11B90FBA" w14:textId="77777777" w:rsidR="009F6D12" w:rsidRDefault="007F53FD">
                    <w:pPr>
                      <w:spacing w:line="240" w:lineRule="auto"/>
                      <w:ind w:firstLineChars="0" w:firstLine="0"/>
                      <w:rPr>
                        <w:rFonts w:ascii="黑体" w:eastAsia="黑体" w:hAnsi="黑体" w:hint="eastAsia"/>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039CFE55" w14:textId="77777777" w:rsidR="009F6D12" w:rsidRDefault="009F6D12">
                    <w:pPr>
                      <w:ind w:firstLine="480"/>
                      <w:rPr>
                        <w:lang w:eastAsia="zh-CN"/>
                      </w:rPr>
                    </w:pPr>
                  </w:p>
                  <w:p w14:paraId="38D5B95A" w14:textId="77777777" w:rsidR="009F6D12" w:rsidRDefault="009F6D12">
                    <w:pPr>
                      <w:ind w:firstLine="480"/>
                      <w:rPr>
                        <w:lang w:eastAsia="zh-CN"/>
                      </w:rPr>
                    </w:pPr>
                  </w:p>
                  <w:p w14:paraId="7A348D8E" w14:textId="77777777" w:rsidR="009F6D12" w:rsidRDefault="007F53FD">
                    <w:pPr>
                      <w:spacing w:line="240" w:lineRule="auto"/>
                      <w:ind w:firstLineChars="0" w:firstLine="0"/>
                      <w:rPr>
                        <w:rFonts w:ascii="黑体" w:eastAsia="黑体" w:hAnsi="黑体" w:hint="eastAsia"/>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4D2774F3" w14:textId="77777777" w:rsidR="009F6D12" w:rsidRDefault="009F6D12">
                    <w:pPr>
                      <w:ind w:firstLine="480"/>
                      <w:rPr>
                        <w:lang w:eastAsia="zh-CN"/>
                      </w:rPr>
                    </w:pPr>
                  </w:p>
                  <w:p w14:paraId="7DBE6B8F" w14:textId="77777777" w:rsidR="009F6D12" w:rsidRDefault="007F53FD">
                    <w:pPr>
                      <w:ind w:firstLine="602"/>
                      <w:rPr>
                        <w:lang w:eastAsia="zh-CN"/>
                      </w:rPr>
                    </w:pPr>
                    <w:r>
                      <w:rPr>
                        <w:rFonts w:ascii="黑体" w:eastAsia="黑体" w:hAnsi="黑体" w:hint="eastAsia"/>
                        <w:b/>
                        <w:color w:val="FFFFFF"/>
                        <w:sz w:val="30"/>
                        <w:szCs w:val="30"/>
                        <w:lang w:eastAsia="zh-CN"/>
                      </w:rPr>
                      <w:t>CEEM 全球宏观经济季度报告（专题）</w:t>
                    </w:r>
                  </w:p>
                </w:txbxContent>
              </v:textbox>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25E81D" w14:textId="77777777" w:rsidR="009F6D12" w:rsidRDefault="007F53FD">
    <w:pPr>
      <w:pStyle w:val="aa"/>
      <w:pBdr>
        <w:bottom w:val="none" w:sz="0" w:space="0" w:color="auto"/>
      </w:pBdr>
      <w:spacing w:before="120"/>
    </w:pPr>
    <w:r>
      <w:rPr>
        <w:noProof/>
        <w:lang w:eastAsia="zh-CN" w:bidi="ar-SA"/>
      </w:rPr>
      <mc:AlternateContent>
        <mc:Choice Requires="wps">
          <w:drawing>
            <wp:anchor distT="0" distB="0" distL="114300" distR="114300" simplePos="0" relativeHeight="251683840" behindDoc="0" locked="0" layoutInCell="1" allowOverlap="1" wp14:anchorId="7E411FCA" wp14:editId="236D739B">
              <wp:simplePos x="0" y="0"/>
              <wp:positionH relativeFrom="column">
                <wp:posOffset>3634105</wp:posOffset>
              </wp:positionH>
              <wp:positionV relativeFrom="paragraph">
                <wp:posOffset>-174625</wp:posOffset>
              </wp:positionV>
              <wp:extent cx="2229485" cy="327660"/>
              <wp:effectExtent l="0" t="0" r="0" b="0"/>
              <wp:wrapNone/>
              <wp:docPr id="2033475242"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9485" cy="327660"/>
                      </a:xfrm>
                      <a:prstGeom prst="rect">
                        <a:avLst/>
                      </a:prstGeom>
                      <a:solidFill>
                        <a:srgbClr val="FFFFFF">
                          <a:alpha val="0"/>
                        </a:srgbClr>
                      </a:solidFill>
                      <a:ln>
                        <a:noFill/>
                      </a:ln>
                    </wps:spPr>
                    <wps:txbx>
                      <w:txbxContent>
                        <w:p w14:paraId="2498AA46" w14:textId="77777777" w:rsidR="009F6D12" w:rsidRDefault="007F53FD">
                          <w:pPr>
                            <w:ind w:firstLineChars="250" w:firstLine="753"/>
                            <w:jc w:val="right"/>
                            <w:rPr>
                              <w:rFonts w:eastAsia="楷体"/>
                              <w:b/>
                              <w:color w:val="106D9C"/>
                              <w:sz w:val="30"/>
                              <w:szCs w:val="30"/>
                              <w:lang w:eastAsia="zh-CN"/>
                            </w:rPr>
                          </w:pPr>
                          <w:r>
                            <w:rPr>
                              <w:rFonts w:eastAsia="楷体" w:hint="eastAsia"/>
                              <w:b/>
                              <w:color w:val="106D9C"/>
                              <w:sz w:val="30"/>
                              <w:szCs w:val="30"/>
                              <w:lang w:eastAsia="zh-CN"/>
                            </w:rPr>
                            <w:t>外贸专题</w:t>
                          </w:r>
                        </w:p>
                        <w:p w14:paraId="0FC90CE9" w14:textId="77777777" w:rsidR="009F6D12" w:rsidRDefault="007F53FD">
                          <w:pPr>
                            <w:ind w:firstLine="602"/>
                            <w:jc w:val="right"/>
                            <w:rPr>
                              <w:rFonts w:ascii="楷体" w:eastAsia="楷体" w:hAnsi="楷体"/>
                              <w:b/>
                              <w:color w:val="106D9C"/>
                              <w:sz w:val="30"/>
                              <w:szCs w:val="30"/>
                              <w:lang w:eastAsia="zh-CN"/>
                            </w:rPr>
                          </w:pPr>
                          <w:r>
                            <w:rPr>
                              <w:rFonts w:ascii="楷体" w:eastAsia="楷体" w:hAnsi="楷体" w:hint="eastAsia"/>
                              <w:b/>
                              <w:color w:val="106D9C"/>
                              <w:sz w:val="30"/>
                              <w:szCs w:val="30"/>
                              <w:lang w:eastAsia="zh-CN"/>
                            </w:rPr>
                            <w:t>大宗商品专题</w:t>
                          </w:r>
                        </w:p>
                        <w:p w14:paraId="2F00F314" w14:textId="77777777" w:rsidR="009F6D12" w:rsidRDefault="007F53FD">
                          <w:pPr>
                            <w:ind w:firstLine="602"/>
                            <w:jc w:val="right"/>
                            <w:rPr>
                              <w:rFonts w:ascii="楷体" w:eastAsia="楷体" w:hAnsi="楷体"/>
                              <w:color w:val="106D9C"/>
                              <w:lang w:eastAsia="zh-CN"/>
                            </w:rPr>
                          </w:pPr>
                          <w:r>
                            <w:rPr>
                              <w:rFonts w:ascii="楷体" w:eastAsia="楷体" w:hAnsi="楷体"/>
                              <w:b/>
                              <w:color w:val="106D9C"/>
                              <w:sz w:val="30"/>
                              <w:szCs w:val="30"/>
                              <w:lang w:eastAsia="zh-CN"/>
                            </w:rPr>
                            <w:t>外贸专题</w:t>
                          </w:r>
                        </w:p>
                        <w:p w14:paraId="527A1517" w14:textId="77777777" w:rsidR="009F6D12" w:rsidRDefault="009F6D12">
                          <w:pPr>
                            <w:ind w:firstLine="480"/>
                            <w:jc w:val="right"/>
                            <w:rPr>
                              <w:rFonts w:ascii="楷体" w:eastAsia="楷体" w:hAnsi="楷体"/>
                              <w:color w:val="106D9C"/>
                              <w:lang w:eastAsia="zh-CN"/>
                            </w:rPr>
                          </w:pPr>
                        </w:p>
                        <w:p w14:paraId="3087F07E" w14:textId="77777777" w:rsidR="009F6D12" w:rsidRDefault="007F53FD">
                          <w:pPr>
                            <w:ind w:firstLineChars="300" w:firstLine="904"/>
                            <w:jc w:val="right"/>
                            <w:rPr>
                              <w:rFonts w:ascii="楷体" w:eastAsia="楷体" w:hAnsi="楷体"/>
                              <w:b/>
                              <w:color w:val="106D9C"/>
                              <w:sz w:val="30"/>
                              <w:szCs w:val="30"/>
                              <w:lang w:eastAsia="zh-CN"/>
                            </w:rPr>
                          </w:pPr>
                          <w:r>
                            <w:rPr>
                              <w:rFonts w:ascii="楷体" w:eastAsia="楷体" w:hAnsi="楷体" w:hint="eastAsia"/>
                              <w:b/>
                              <w:color w:val="106D9C"/>
                              <w:sz w:val="30"/>
                              <w:szCs w:val="30"/>
                              <w:lang w:eastAsia="zh-CN"/>
                            </w:rPr>
                            <w:t>外贸专题</w:t>
                          </w:r>
                        </w:p>
                        <w:p w14:paraId="6A21E325" w14:textId="77777777" w:rsidR="009F6D12" w:rsidRDefault="009F6D12">
                          <w:pPr>
                            <w:ind w:firstLine="480"/>
                            <w:jc w:val="right"/>
                            <w:rPr>
                              <w:rFonts w:ascii="楷体" w:eastAsia="楷体" w:hAnsi="楷体"/>
                              <w:color w:val="106D9C"/>
                              <w:lang w:eastAsia="zh-CN"/>
                            </w:rPr>
                          </w:pPr>
                        </w:p>
                        <w:p w14:paraId="3113E652" w14:textId="77777777" w:rsidR="009F6D12" w:rsidRDefault="007F53FD">
                          <w:pPr>
                            <w:ind w:firstLineChars="300" w:firstLine="904"/>
                            <w:jc w:val="right"/>
                            <w:rPr>
                              <w:rFonts w:ascii="楷体" w:eastAsia="楷体" w:hAnsi="楷体"/>
                              <w:b/>
                              <w:color w:val="106D9C"/>
                              <w:sz w:val="30"/>
                              <w:szCs w:val="30"/>
                              <w:lang w:eastAsia="zh-CN"/>
                            </w:rPr>
                          </w:pPr>
                          <w:r>
                            <w:rPr>
                              <w:rFonts w:ascii="楷体" w:eastAsia="楷体" w:hAnsi="楷体" w:hint="eastAsia"/>
                              <w:b/>
                              <w:color w:val="106D9C"/>
                              <w:sz w:val="30"/>
                              <w:szCs w:val="30"/>
                              <w:lang w:eastAsia="zh-CN"/>
                            </w:rPr>
                            <w:t>外贸专题</w:t>
                          </w:r>
                        </w:p>
                        <w:p w14:paraId="6377B67F" w14:textId="77777777" w:rsidR="009F6D12" w:rsidRDefault="007F53FD">
                          <w:pPr>
                            <w:spacing w:line="240" w:lineRule="auto"/>
                            <w:ind w:firstLine="602"/>
                            <w:jc w:val="right"/>
                            <w:rPr>
                              <w:rFonts w:ascii="楷体" w:eastAsia="楷体" w:hAnsi="楷体"/>
                              <w:b/>
                              <w:color w:val="106D9C"/>
                              <w:sz w:val="30"/>
                              <w:szCs w:val="30"/>
                              <w:lang w:eastAsia="zh-CN"/>
                            </w:rPr>
                          </w:pPr>
                          <w:r>
                            <w:rPr>
                              <w:rFonts w:ascii="楷体" w:eastAsia="楷体" w:hAnsi="楷体" w:hint="eastAsia"/>
                              <w:b/>
                              <w:color w:val="106D9C"/>
                              <w:sz w:val="30"/>
                              <w:szCs w:val="30"/>
                              <w:lang w:eastAsia="zh-CN"/>
                            </w:rPr>
                            <w:t>中国经济专题</w:t>
                          </w:r>
                        </w:p>
                        <w:p w14:paraId="02A116C2" w14:textId="77777777" w:rsidR="009F6D12" w:rsidRDefault="009F6D12">
                          <w:pPr>
                            <w:ind w:firstLine="480"/>
                            <w:jc w:val="right"/>
                            <w:rPr>
                              <w:rFonts w:ascii="楷体" w:eastAsia="楷体" w:hAnsi="楷体"/>
                              <w:color w:val="106D9C"/>
                              <w:lang w:eastAsia="zh-CN"/>
                            </w:rPr>
                          </w:pPr>
                        </w:p>
                        <w:p w14:paraId="78F2C42D" w14:textId="77777777" w:rsidR="009F6D12" w:rsidRDefault="009F6D12">
                          <w:pPr>
                            <w:ind w:firstLine="480"/>
                            <w:jc w:val="right"/>
                            <w:rPr>
                              <w:rFonts w:ascii="楷体" w:eastAsia="楷体" w:hAnsi="楷体"/>
                              <w:color w:val="106D9C"/>
                              <w:lang w:eastAsia="zh-CN"/>
                            </w:rPr>
                          </w:pPr>
                        </w:p>
                        <w:p w14:paraId="145CD8EE" w14:textId="77777777" w:rsidR="009F6D12" w:rsidRDefault="007F53FD">
                          <w:pPr>
                            <w:ind w:firstLineChars="300" w:firstLine="904"/>
                            <w:jc w:val="right"/>
                            <w:rPr>
                              <w:rFonts w:ascii="楷体" w:eastAsia="楷体" w:hAnsi="楷体"/>
                              <w:b/>
                              <w:color w:val="106D9C"/>
                              <w:sz w:val="30"/>
                              <w:szCs w:val="30"/>
                              <w:lang w:eastAsia="zh-CN"/>
                            </w:rPr>
                          </w:pPr>
                          <w:r>
                            <w:rPr>
                              <w:rFonts w:ascii="楷体" w:eastAsia="楷体" w:hAnsi="楷体" w:hint="eastAsia"/>
                              <w:b/>
                              <w:color w:val="106D9C"/>
                              <w:sz w:val="30"/>
                              <w:szCs w:val="30"/>
                              <w:lang w:eastAsia="zh-CN"/>
                            </w:rPr>
                            <w:t>外贸专题</w:t>
                          </w:r>
                        </w:p>
                        <w:p w14:paraId="48FAE020" w14:textId="77777777" w:rsidR="009F6D12" w:rsidRDefault="007F53FD">
                          <w:pPr>
                            <w:ind w:firstLine="602"/>
                            <w:jc w:val="right"/>
                            <w:rPr>
                              <w:rFonts w:ascii="楷体" w:eastAsia="楷体" w:hAnsi="楷体"/>
                              <w:color w:val="106D9C"/>
                              <w:lang w:eastAsia="zh-CN"/>
                            </w:rPr>
                          </w:pPr>
                          <w:r>
                            <w:rPr>
                              <w:rFonts w:ascii="楷体" w:eastAsia="楷体" w:hAnsi="楷体" w:hint="eastAsia"/>
                              <w:b/>
                              <w:color w:val="106D9C"/>
                              <w:sz w:val="30"/>
                              <w:szCs w:val="30"/>
                              <w:lang w:eastAsia="zh-CN"/>
                            </w:rPr>
                            <w:t>中国经济专题</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E411FCA" id="_x0000_t202" coordsize="21600,21600" o:spt="202" path="m,l,21600r21600,l21600,xe">
              <v:stroke joinstyle="miter"/>
              <v:path gradientshapeok="t" o:connecttype="rect"/>
            </v:shapetype>
            <v:shape id="文本框 6" o:spid="_x0000_s1056" type="#_x0000_t202" style="position:absolute;left:0;text-align:left;margin-left:286.15pt;margin-top:-13.75pt;width:175.55pt;height:25.8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" stroked="f">
              <v:fill opacity="0"/>
              <v:textbox>
                <w:txbxContent>
                  <w:p w14:paraId="2498AA46" w14:textId="77777777" w:rsidR="009F6D12" w:rsidRDefault="007F53FD">
                    <w:pPr>
                      <w:ind w:firstLineChars="250" w:firstLine="753"/>
                      <w:jc w:val="right"/>
                      <w:rPr>
                        <w:rFonts w:eastAsia="楷体"/>
                        <w:b/>
                        <w:color w:val="106D9C"/>
                        <w:sz w:val="30"/>
                        <w:szCs w:val="30"/>
                        <w:lang w:eastAsia="zh-CN"/>
                      </w:rPr>
                    </w:pPr>
                    <w:r>
                      <w:rPr>
                        <w:rFonts w:eastAsia="楷体" w:hint="eastAsia"/>
                        <w:b/>
                        <w:color w:val="106D9C"/>
                        <w:sz w:val="30"/>
                        <w:szCs w:val="30"/>
                        <w:lang w:eastAsia="zh-CN"/>
                      </w:rPr>
                      <w:t>外贸专题</w:t>
                    </w:r>
                  </w:p>
                  <w:p w14:paraId="0FC90CE9" w14:textId="77777777" w:rsidR="009F6D12" w:rsidRDefault="007F53FD">
                    <w:pPr>
                      <w:ind w:firstLine="602"/>
                      <w:jc w:val="right"/>
                      <w:rPr>
                        <w:rFonts w:ascii="楷体" w:eastAsia="楷体" w:hAnsi="楷体" w:hint="eastAsia"/>
                        <w:b/>
                        <w:color w:val="106D9C"/>
                        <w:sz w:val="30"/>
                        <w:szCs w:val="30"/>
                        <w:lang w:eastAsia="zh-CN"/>
                      </w:rPr>
                    </w:pPr>
                    <w:r>
                      <w:rPr>
                        <w:rFonts w:ascii="楷体" w:eastAsia="楷体" w:hAnsi="楷体" w:hint="eastAsia"/>
                        <w:b/>
                        <w:color w:val="106D9C"/>
                        <w:sz w:val="30"/>
                        <w:szCs w:val="30"/>
                        <w:lang w:eastAsia="zh-CN"/>
                      </w:rPr>
                      <w:t>大宗商品专题</w:t>
                    </w:r>
                  </w:p>
                  <w:p w14:paraId="2F00F314" w14:textId="77777777" w:rsidR="009F6D12" w:rsidRDefault="007F53FD">
                    <w:pPr>
                      <w:ind w:firstLine="602"/>
                      <w:jc w:val="right"/>
                      <w:rPr>
                        <w:rFonts w:ascii="楷体" w:eastAsia="楷体" w:hAnsi="楷体" w:hint="eastAsia"/>
                        <w:color w:val="106D9C"/>
                        <w:lang w:eastAsia="zh-CN"/>
                      </w:rPr>
                    </w:pPr>
                    <w:r>
                      <w:rPr>
                        <w:rFonts w:ascii="楷体" w:eastAsia="楷体" w:hAnsi="楷体"/>
                        <w:b/>
                        <w:color w:val="106D9C"/>
                        <w:sz w:val="30"/>
                        <w:szCs w:val="30"/>
                        <w:lang w:eastAsia="zh-CN"/>
                      </w:rPr>
                      <w:t>外贸专题</w:t>
                    </w:r>
                  </w:p>
                  <w:p w14:paraId="527A1517" w14:textId="77777777" w:rsidR="009F6D12" w:rsidRDefault="009F6D12">
                    <w:pPr>
                      <w:ind w:firstLine="480"/>
                      <w:jc w:val="right"/>
                      <w:rPr>
                        <w:rFonts w:ascii="楷体" w:eastAsia="楷体" w:hAnsi="楷体" w:hint="eastAsia"/>
                        <w:color w:val="106D9C"/>
                        <w:lang w:eastAsia="zh-CN"/>
                      </w:rPr>
                    </w:pPr>
                  </w:p>
                  <w:p w14:paraId="3087F07E" w14:textId="77777777" w:rsidR="009F6D12" w:rsidRDefault="007F53FD">
                    <w:pPr>
                      <w:ind w:firstLineChars="300" w:firstLine="904"/>
                      <w:jc w:val="right"/>
                      <w:rPr>
                        <w:rFonts w:ascii="楷体" w:eastAsia="楷体" w:hAnsi="楷体" w:hint="eastAsia"/>
                        <w:b/>
                        <w:color w:val="106D9C"/>
                        <w:sz w:val="30"/>
                        <w:szCs w:val="30"/>
                        <w:lang w:eastAsia="zh-CN"/>
                      </w:rPr>
                    </w:pPr>
                    <w:r>
                      <w:rPr>
                        <w:rFonts w:ascii="楷体" w:eastAsia="楷体" w:hAnsi="楷体" w:hint="eastAsia"/>
                        <w:b/>
                        <w:color w:val="106D9C"/>
                        <w:sz w:val="30"/>
                        <w:szCs w:val="30"/>
                        <w:lang w:eastAsia="zh-CN"/>
                      </w:rPr>
                      <w:t>外贸专题</w:t>
                    </w:r>
                  </w:p>
                  <w:p w14:paraId="6A21E325" w14:textId="77777777" w:rsidR="009F6D12" w:rsidRDefault="009F6D12">
                    <w:pPr>
                      <w:ind w:firstLine="480"/>
                      <w:jc w:val="right"/>
                      <w:rPr>
                        <w:rFonts w:ascii="楷体" w:eastAsia="楷体" w:hAnsi="楷体" w:hint="eastAsia"/>
                        <w:color w:val="106D9C"/>
                        <w:lang w:eastAsia="zh-CN"/>
                      </w:rPr>
                    </w:pPr>
                  </w:p>
                  <w:p w14:paraId="3113E652" w14:textId="77777777" w:rsidR="009F6D12" w:rsidRDefault="007F53FD">
                    <w:pPr>
                      <w:ind w:firstLineChars="300" w:firstLine="904"/>
                      <w:jc w:val="right"/>
                      <w:rPr>
                        <w:rFonts w:ascii="楷体" w:eastAsia="楷体" w:hAnsi="楷体" w:hint="eastAsia"/>
                        <w:b/>
                        <w:color w:val="106D9C"/>
                        <w:sz w:val="30"/>
                        <w:szCs w:val="30"/>
                        <w:lang w:eastAsia="zh-CN"/>
                      </w:rPr>
                    </w:pPr>
                    <w:r>
                      <w:rPr>
                        <w:rFonts w:ascii="楷体" w:eastAsia="楷体" w:hAnsi="楷体" w:hint="eastAsia"/>
                        <w:b/>
                        <w:color w:val="106D9C"/>
                        <w:sz w:val="30"/>
                        <w:szCs w:val="30"/>
                        <w:lang w:eastAsia="zh-CN"/>
                      </w:rPr>
                      <w:t>外贸专题</w:t>
                    </w:r>
                  </w:p>
                  <w:p w14:paraId="6377B67F" w14:textId="77777777" w:rsidR="009F6D12" w:rsidRDefault="007F53FD">
                    <w:pPr>
                      <w:spacing w:line="240" w:lineRule="auto"/>
                      <w:ind w:firstLine="602"/>
                      <w:jc w:val="right"/>
                      <w:rPr>
                        <w:rFonts w:ascii="楷体" w:eastAsia="楷体" w:hAnsi="楷体" w:hint="eastAsia"/>
                        <w:b/>
                        <w:color w:val="106D9C"/>
                        <w:sz w:val="30"/>
                        <w:szCs w:val="30"/>
                        <w:lang w:eastAsia="zh-CN"/>
                      </w:rPr>
                    </w:pPr>
                    <w:r>
                      <w:rPr>
                        <w:rFonts w:ascii="楷体" w:eastAsia="楷体" w:hAnsi="楷体" w:hint="eastAsia"/>
                        <w:b/>
                        <w:color w:val="106D9C"/>
                        <w:sz w:val="30"/>
                        <w:szCs w:val="30"/>
                        <w:lang w:eastAsia="zh-CN"/>
                      </w:rPr>
                      <w:t>中国经济专题</w:t>
                    </w:r>
                  </w:p>
                  <w:p w14:paraId="02A116C2" w14:textId="77777777" w:rsidR="009F6D12" w:rsidRDefault="009F6D12">
                    <w:pPr>
                      <w:ind w:firstLine="480"/>
                      <w:jc w:val="right"/>
                      <w:rPr>
                        <w:rFonts w:ascii="楷体" w:eastAsia="楷体" w:hAnsi="楷体" w:hint="eastAsia"/>
                        <w:color w:val="106D9C"/>
                        <w:lang w:eastAsia="zh-CN"/>
                      </w:rPr>
                    </w:pPr>
                  </w:p>
                  <w:p w14:paraId="78F2C42D" w14:textId="77777777" w:rsidR="009F6D12" w:rsidRDefault="009F6D12">
                    <w:pPr>
                      <w:ind w:firstLine="480"/>
                      <w:jc w:val="right"/>
                      <w:rPr>
                        <w:rFonts w:ascii="楷体" w:eastAsia="楷体" w:hAnsi="楷体" w:hint="eastAsia"/>
                        <w:color w:val="106D9C"/>
                        <w:lang w:eastAsia="zh-CN"/>
                      </w:rPr>
                    </w:pPr>
                  </w:p>
                  <w:p w14:paraId="145CD8EE" w14:textId="77777777" w:rsidR="009F6D12" w:rsidRDefault="007F53FD">
                    <w:pPr>
                      <w:ind w:firstLineChars="300" w:firstLine="904"/>
                      <w:jc w:val="right"/>
                      <w:rPr>
                        <w:rFonts w:ascii="楷体" w:eastAsia="楷体" w:hAnsi="楷体" w:hint="eastAsia"/>
                        <w:b/>
                        <w:color w:val="106D9C"/>
                        <w:sz w:val="30"/>
                        <w:szCs w:val="30"/>
                        <w:lang w:eastAsia="zh-CN"/>
                      </w:rPr>
                    </w:pPr>
                    <w:r>
                      <w:rPr>
                        <w:rFonts w:ascii="楷体" w:eastAsia="楷体" w:hAnsi="楷体" w:hint="eastAsia"/>
                        <w:b/>
                        <w:color w:val="106D9C"/>
                        <w:sz w:val="30"/>
                        <w:szCs w:val="30"/>
                        <w:lang w:eastAsia="zh-CN"/>
                      </w:rPr>
                      <w:t>外贸专题</w:t>
                    </w:r>
                  </w:p>
                  <w:p w14:paraId="48FAE020" w14:textId="77777777" w:rsidR="009F6D12" w:rsidRDefault="007F53FD">
                    <w:pPr>
                      <w:ind w:firstLine="602"/>
                      <w:jc w:val="right"/>
                      <w:rPr>
                        <w:rFonts w:ascii="楷体" w:eastAsia="楷体" w:hAnsi="楷体" w:hint="eastAsia"/>
                        <w:color w:val="106D9C"/>
                        <w:lang w:eastAsia="zh-CN"/>
                      </w:rPr>
                    </w:pPr>
                    <w:r>
                      <w:rPr>
                        <w:rFonts w:ascii="楷体" w:eastAsia="楷体" w:hAnsi="楷体" w:hint="eastAsia"/>
                        <w:b/>
                        <w:color w:val="106D9C"/>
                        <w:sz w:val="30"/>
                        <w:szCs w:val="30"/>
                        <w:lang w:eastAsia="zh-CN"/>
                      </w:rPr>
                      <w:t>中国经济专题</w:t>
                    </w:r>
                  </w:p>
                </w:txbxContent>
              </v:textbox>
            </v:shape>
          </w:pict>
        </mc:Fallback>
      </mc:AlternateContent>
    </w:r>
    <w:r>
      <w:rPr>
        <w:noProof/>
        <w:lang w:eastAsia="zh-CN" w:bidi="ar-SA"/>
      </w:rPr>
      <mc:AlternateContent>
        <mc:Choice Requires="wps">
          <w:drawing>
            <wp:anchor distT="0" distB="0" distL="114300" distR="114300" simplePos="0" relativeHeight="251682816" behindDoc="0" locked="0" layoutInCell="1" allowOverlap="1" wp14:anchorId="38F8D873" wp14:editId="3D949722">
              <wp:simplePos x="0" y="0"/>
              <wp:positionH relativeFrom="margin">
                <wp:align>center</wp:align>
              </wp:positionH>
              <wp:positionV relativeFrom="paragraph">
                <wp:posOffset>125095</wp:posOffset>
              </wp:positionV>
              <wp:extent cx="6322060" cy="0"/>
              <wp:effectExtent l="0" t="19050" r="21590" b="19050"/>
              <wp:wrapNone/>
              <wp:docPr id="2033475243" name="直接连接符 5"/>
              <wp:cNvGraphicFramePr/>
              <a:graphic xmlns:a="http://schemas.openxmlformats.org/drawingml/2006/main">
                <a:graphicData uri="http://schemas.microsoft.com/office/word/2010/wordprocessingShape">
                  <wps:wsp>
                    <wps:cNvCnPr/>
                    <wps:spPr>
                      <a:xfrm>
                        <a:off x="0" y="0"/>
                        <a:ext cx="6322060" cy="0"/>
                      </a:xfrm>
                      <a:prstGeom prst="line">
                        <a:avLst/>
                      </a:prstGeom>
                      <a:ln w="28575">
                        <a:solidFill>
                          <a:srgbClr val="106D9C"/>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直接连接符 5" o:spid="_x0000_s1026" o:spt="20" style="position:absolute;left:0pt;margin-top:9.85pt;height:0pt;width:497.8pt;mso-position-horizontal:center;mso-position-horizontal-relative:margin;z-index:251682816;mso-width-relative:page;mso-height-relative:page;" filled="f" stroked="t" coordsize="21600,21600" o:gfxdata="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J6XOCjUAAAABgEAAA8A&#10;AAAAAAAAAQAgAAAAIgAAAGRycy9kb3ducmV2LnhtbFBLAQIUABQAAAAIAIdO4kCwBBre4gEAAKQD&#10;AAAOAAAAAAAAAAEAIAAAACMBAABkcnMvZTJvRG9jLnhtbFBLBQYAAAAABgAGAFkBAAB3BQAAAAA=&#10;">
              <v:fill on="f" focussize="0,0"/>
              <v:stroke weight="2.25pt" color="#106D9C [3204]" joinstyle="round"/>
              <v:imagedata o:title=""/>
              <o:lock v:ext="edit" aspectratio="f"/>
            </v:line>
          </w:pict>
        </mc:Fallback>
      </mc:AlternateContent>
    </w:r>
    <w:r>
      <w:rPr>
        <w:noProof/>
        <w:lang w:eastAsia="zh-CN" w:bidi="ar-SA"/>
      </w:rPr>
      <mc:AlternateContent>
        <mc:Choice Requires="wps">
          <w:drawing>
            <wp:anchor distT="0" distB="0" distL="114300" distR="114300" simplePos="0" relativeHeight="251681792" behindDoc="0" locked="0" layoutInCell="1" allowOverlap="1" wp14:anchorId="0876C7A6" wp14:editId="4FD5EC0B">
              <wp:simplePos x="0" y="0"/>
              <wp:positionH relativeFrom="column">
                <wp:posOffset>-610870</wp:posOffset>
              </wp:positionH>
              <wp:positionV relativeFrom="paragraph">
                <wp:posOffset>-177165</wp:posOffset>
              </wp:positionV>
              <wp:extent cx="3418205" cy="327660"/>
              <wp:effectExtent l="0" t="0" r="0" b="0"/>
              <wp:wrapNone/>
              <wp:docPr id="203347524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8205" cy="327660"/>
                      </a:xfrm>
                      <a:prstGeom prst="rect">
                        <a:avLst/>
                      </a:prstGeom>
                      <a:solidFill>
                        <a:srgbClr val="FFFFFF">
                          <a:alpha val="0"/>
                        </a:srgbClr>
                      </a:solidFill>
                      <a:ln>
                        <a:noFill/>
                      </a:ln>
                    </wps:spPr>
                    <wps:txbx>
                      <w:txbxContent>
                        <w:p w14:paraId="3630F771" w14:textId="77777777" w:rsidR="009F6D12" w:rsidRDefault="007F53FD">
                          <w:pPr>
                            <w:ind w:firstLineChars="0" w:firstLine="0"/>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w:t>
                          </w:r>
                        </w:p>
                        <w:p w14:paraId="0F9184DE" w14:textId="77777777" w:rsidR="009F6D12" w:rsidRDefault="009F6D12">
                          <w:pPr>
                            <w:ind w:firstLine="480"/>
                            <w:rPr>
                              <w:lang w:eastAsia="zh-CN"/>
                            </w:rPr>
                          </w:pPr>
                        </w:p>
                        <w:p w14:paraId="5CA2F1D1" w14:textId="77777777" w:rsidR="009F6D12" w:rsidRDefault="007F53FD">
                          <w:pPr>
                            <w:ind w:firstLineChars="0" w:firstLine="0"/>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w:t>
                          </w:r>
                        </w:p>
                        <w:p w14:paraId="7223CF77" w14:textId="77777777" w:rsidR="009F6D12" w:rsidRDefault="007F53FD">
                          <w:pPr>
                            <w:ind w:firstLineChars="0" w:firstLine="0"/>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全球宏观经济季度报告（专题）</w:t>
                          </w:r>
                        </w:p>
                        <w:p w14:paraId="62DB01B0" w14:textId="77777777" w:rsidR="009F6D12" w:rsidRDefault="007F53FD">
                          <w:pPr>
                            <w:ind w:firstLineChars="0" w:firstLine="0"/>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全球宏观经济季度报告（专题）</w:t>
                          </w:r>
                        </w:p>
                        <w:p w14:paraId="06DCA7B7" w14:textId="77777777" w:rsidR="009F6D12" w:rsidRDefault="009F6D12">
                          <w:pPr>
                            <w:ind w:firstLine="480"/>
                            <w:rPr>
                              <w:rFonts w:eastAsia="楷体"/>
                              <w:color w:val="106D9C"/>
                              <w:lang w:eastAsia="zh-CN"/>
                            </w:rPr>
                          </w:pPr>
                        </w:p>
                        <w:p w14:paraId="5A1AC4BC" w14:textId="77777777" w:rsidR="009F6D12" w:rsidRDefault="009F6D12">
                          <w:pPr>
                            <w:ind w:firstLine="480"/>
                            <w:rPr>
                              <w:rFonts w:eastAsia="楷体"/>
                              <w:color w:val="106D9C"/>
                              <w:lang w:eastAsia="zh-CN"/>
                            </w:rPr>
                          </w:pPr>
                        </w:p>
                        <w:p w14:paraId="4FFA5569" w14:textId="77777777" w:rsidR="009F6D12" w:rsidRDefault="009F6D12">
                          <w:pPr>
                            <w:ind w:firstLine="480"/>
                            <w:rPr>
                              <w:rFonts w:eastAsia="楷体"/>
                              <w:color w:val="106D9C"/>
                              <w:lang w:eastAsia="zh-CN"/>
                            </w:rPr>
                          </w:pPr>
                        </w:p>
                        <w:p w14:paraId="51AB7350" w14:textId="77777777" w:rsidR="009F6D12" w:rsidRDefault="007F53FD">
                          <w:pPr>
                            <w:ind w:firstLineChars="0" w:firstLine="0"/>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全球宏观经济季度报告（专题）</w:t>
                          </w:r>
                        </w:p>
                        <w:p w14:paraId="3973998E" w14:textId="77777777" w:rsidR="009F6D12" w:rsidRDefault="007F53FD">
                          <w:pPr>
                            <w:ind w:firstLine="602"/>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全球宏观经济季度报告（下篇）</w:t>
                          </w:r>
                        </w:p>
                        <w:p w14:paraId="22D6C018" w14:textId="77777777" w:rsidR="009F6D12" w:rsidRDefault="007F53FD">
                          <w:pPr>
                            <w:ind w:firstLineChars="0" w:firstLine="0"/>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全球宏观经济季度报告（专题）</w:t>
                          </w:r>
                        </w:p>
                        <w:p w14:paraId="23941497" w14:textId="77777777" w:rsidR="009F6D12" w:rsidRDefault="007F53FD">
                          <w:pPr>
                            <w:ind w:firstLineChars="0" w:firstLine="0"/>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全球宏观经济季度报告（专题）</w:t>
                          </w:r>
                        </w:p>
                        <w:p w14:paraId="02E69D5B" w14:textId="77777777" w:rsidR="009F6D12" w:rsidRDefault="009F6D12">
                          <w:pPr>
                            <w:ind w:firstLine="480"/>
                            <w:rPr>
                              <w:rFonts w:eastAsia="楷体"/>
                              <w:color w:val="106D9C"/>
                              <w:lang w:eastAsia="zh-CN"/>
                            </w:rPr>
                          </w:pPr>
                        </w:p>
                        <w:p w14:paraId="642F5DE2" w14:textId="77777777" w:rsidR="009F6D12" w:rsidRDefault="009F6D12">
                          <w:pPr>
                            <w:ind w:firstLine="480"/>
                            <w:rPr>
                              <w:rFonts w:eastAsia="楷体"/>
                              <w:color w:val="106D9C"/>
                              <w:lang w:eastAsia="zh-CN"/>
                            </w:rPr>
                          </w:pPr>
                        </w:p>
                        <w:p w14:paraId="08319F4B" w14:textId="77777777" w:rsidR="009F6D12" w:rsidRDefault="009F6D12">
                          <w:pPr>
                            <w:ind w:firstLine="480"/>
                            <w:rPr>
                              <w:rFonts w:eastAsia="楷体"/>
                              <w:color w:val="106D9C"/>
                              <w:lang w:eastAsia="zh-CN"/>
                            </w:rPr>
                          </w:pPr>
                        </w:p>
                        <w:p w14:paraId="72B8B1D9" w14:textId="77777777" w:rsidR="009F6D12" w:rsidRDefault="007F53FD">
                          <w:pPr>
                            <w:ind w:firstLineChars="0" w:firstLine="0"/>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全球宏观经济季度报告（专题）</w:t>
                          </w:r>
                        </w:p>
                        <w:p w14:paraId="328BB51D" w14:textId="77777777" w:rsidR="009F6D12" w:rsidRDefault="007F53FD">
                          <w:pPr>
                            <w:ind w:firstLine="602"/>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全球宏观经济季度报告（下篇）</w:t>
                          </w:r>
                        </w:p>
                        <w:p w14:paraId="34AFE6F0" w14:textId="77777777" w:rsidR="009F6D12" w:rsidRDefault="009F6D12">
                          <w:pPr>
                            <w:ind w:firstLine="480"/>
                            <w:rPr>
                              <w:rFonts w:eastAsia="楷体"/>
                              <w:color w:val="106D9C"/>
                              <w:lang w:eastAsia="zh-CN"/>
                            </w:rPr>
                          </w:pPr>
                        </w:p>
                        <w:p w14:paraId="5B3B5103" w14:textId="77777777" w:rsidR="009F6D12" w:rsidRDefault="007F53FD">
                          <w:pPr>
                            <w:ind w:firstLineChars="0" w:firstLine="0"/>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全球宏观经济季度报告（专题）</w:t>
                          </w:r>
                        </w:p>
                        <w:p w14:paraId="0D9FD967" w14:textId="77777777" w:rsidR="009F6D12" w:rsidRDefault="009F6D12">
                          <w:pPr>
                            <w:ind w:firstLine="480"/>
                            <w:rPr>
                              <w:rFonts w:eastAsia="楷体"/>
                              <w:color w:val="106D9C"/>
                              <w:lang w:eastAsia="zh-CN"/>
                            </w:rPr>
                          </w:pPr>
                        </w:p>
                        <w:p w14:paraId="4863FAD1" w14:textId="77777777" w:rsidR="009F6D12" w:rsidRDefault="007F53FD">
                          <w:pPr>
                            <w:ind w:firstLineChars="0" w:firstLine="0"/>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全球宏观经济季度报告（专题）</w:t>
                          </w:r>
                        </w:p>
                        <w:p w14:paraId="3E99F8D2" w14:textId="77777777" w:rsidR="009F6D12" w:rsidRDefault="007F53FD">
                          <w:pPr>
                            <w:spacing w:line="240" w:lineRule="auto"/>
                            <w:ind w:firstLineChars="0" w:firstLine="0"/>
                            <w:rPr>
                              <w:rFonts w:eastAsia="楷体"/>
                              <w:b/>
                              <w:color w:val="106D9C"/>
                              <w:sz w:val="30"/>
                              <w:szCs w:val="30"/>
                              <w:lang w:eastAsia="zh-CN"/>
                            </w:rPr>
                          </w:pPr>
                          <w:r>
                            <w:rPr>
                              <w:rFonts w:eastAsia="楷体"/>
                              <w:b/>
                              <w:color w:val="106D9C"/>
                              <w:sz w:val="30"/>
                              <w:szCs w:val="30"/>
                              <w:lang w:eastAsia="zh-CN"/>
                            </w:rPr>
                            <w:t>CEEM</w:t>
                          </w:r>
                          <w:r>
                            <w:rPr>
                              <w:rFonts w:eastAsia="楷体"/>
                              <w:b/>
                              <w:color w:val="106D9C"/>
                              <w:sz w:val="30"/>
                              <w:szCs w:val="30"/>
                              <w:lang w:eastAsia="zh-CN"/>
                            </w:rPr>
                            <w:t>全球宏观经济季度报告（下篇）</w:t>
                          </w:r>
                        </w:p>
                        <w:p w14:paraId="33EB6269" w14:textId="77777777" w:rsidR="009F6D12" w:rsidRDefault="009F6D12">
                          <w:pPr>
                            <w:ind w:firstLine="480"/>
                            <w:rPr>
                              <w:rFonts w:eastAsia="楷体"/>
                              <w:color w:val="106D9C"/>
                              <w:lang w:eastAsia="zh-CN"/>
                            </w:rPr>
                          </w:pPr>
                        </w:p>
                        <w:p w14:paraId="682B32FB" w14:textId="77777777" w:rsidR="009F6D12" w:rsidRDefault="007F53FD">
                          <w:pPr>
                            <w:ind w:firstLineChars="0" w:firstLine="0"/>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全球宏观经济季度报告（专题）</w:t>
                          </w:r>
                        </w:p>
                        <w:p w14:paraId="5C4FA30B" w14:textId="77777777" w:rsidR="009F6D12" w:rsidRDefault="007F53FD">
                          <w:pPr>
                            <w:spacing w:line="240" w:lineRule="auto"/>
                            <w:ind w:firstLineChars="0" w:firstLine="0"/>
                            <w:rPr>
                              <w:rFonts w:eastAsia="楷体"/>
                              <w:b/>
                              <w:color w:val="106D9C"/>
                              <w:sz w:val="30"/>
                              <w:szCs w:val="30"/>
                              <w:lang w:eastAsia="zh-CN"/>
                            </w:rPr>
                          </w:pPr>
                          <w:r>
                            <w:rPr>
                              <w:rFonts w:eastAsia="楷体"/>
                              <w:b/>
                              <w:color w:val="106D9C"/>
                              <w:sz w:val="30"/>
                              <w:szCs w:val="30"/>
                              <w:lang w:eastAsia="zh-CN"/>
                            </w:rPr>
                            <w:t>CEEM</w:t>
                          </w:r>
                          <w:r>
                            <w:rPr>
                              <w:rFonts w:eastAsia="楷体"/>
                              <w:b/>
                              <w:color w:val="106D9C"/>
                              <w:sz w:val="30"/>
                              <w:szCs w:val="30"/>
                              <w:lang w:eastAsia="zh-CN"/>
                            </w:rPr>
                            <w:t>全球宏观经济季度报告（下篇）</w:t>
                          </w:r>
                        </w:p>
                        <w:p w14:paraId="762ED15B" w14:textId="77777777" w:rsidR="009F6D12" w:rsidRDefault="009F6D12">
                          <w:pPr>
                            <w:ind w:firstLine="480"/>
                            <w:rPr>
                              <w:rFonts w:eastAsia="楷体"/>
                              <w:color w:val="106D9C"/>
                              <w:lang w:eastAsia="zh-CN"/>
                            </w:rPr>
                          </w:pPr>
                        </w:p>
                        <w:p w14:paraId="7D2293A1" w14:textId="77777777" w:rsidR="009F6D12" w:rsidRDefault="009F6D12">
                          <w:pPr>
                            <w:ind w:firstLine="480"/>
                            <w:rPr>
                              <w:rFonts w:eastAsia="楷体"/>
                              <w:color w:val="106D9C"/>
                              <w:lang w:eastAsia="zh-CN"/>
                            </w:rPr>
                          </w:pPr>
                        </w:p>
                        <w:p w14:paraId="32868631" w14:textId="77777777" w:rsidR="009F6D12" w:rsidRDefault="009F6D12">
                          <w:pPr>
                            <w:ind w:firstLine="480"/>
                            <w:rPr>
                              <w:rFonts w:eastAsia="楷体"/>
                              <w:color w:val="106D9C"/>
                              <w:lang w:eastAsia="zh-CN"/>
                            </w:rPr>
                          </w:pPr>
                        </w:p>
                        <w:p w14:paraId="6DD6E5A2" w14:textId="77777777" w:rsidR="009F6D12" w:rsidRDefault="007F53FD">
                          <w:pPr>
                            <w:ind w:firstLineChars="0" w:firstLine="0"/>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全球宏观经济季度报告（专题）</w:t>
                          </w:r>
                        </w:p>
                        <w:p w14:paraId="68345DE7" w14:textId="77777777" w:rsidR="009F6D12" w:rsidRDefault="007F53FD">
                          <w:pPr>
                            <w:ind w:firstLine="602"/>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全球宏观经济季度报告（下篇）</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76C7A6" id="文本框 4" o:spid="_x0000_s1057" type="#_x0000_t202" style="position:absolute;left:0;text-align:left;margin-left:-48.1pt;margin-top:-13.95pt;width:269.15pt;height:25.8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" stroked="f">
              <v:fill opacity="0"/>
              <v:textbox>
                <w:txbxContent>
                  <w:p w14:paraId="3630F771" w14:textId="77777777" w:rsidR="009F6D12" w:rsidRDefault="007F53FD">
                    <w:pPr>
                      <w:ind w:firstLineChars="0" w:firstLine="0"/>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w:t>
                    </w:r>
                  </w:p>
                  <w:p w14:paraId="0F9184DE" w14:textId="77777777" w:rsidR="009F6D12" w:rsidRDefault="009F6D12">
                    <w:pPr>
                      <w:ind w:firstLine="480"/>
                      <w:rPr>
                        <w:lang w:eastAsia="zh-CN"/>
                      </w:rPr>
                    </w:pPr>
                  </w:p>
                  <w:p w14:paraId="5CA2F1D1" w14:textId="77777777" w:rsidR="009F6D12" w:rsidRDefault="007F53FD">
                    <w:pPr>
                      <w:ind w:firstLineChars="0" w:firstLine="0"/>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w:t>
                    </w:r>
                  </w:p>
                  <w:p w14:paraId="7223CF77" w14:textId="77777777" w:rsidR="009F6D12" w:rsidRDefault="007F53FD">
                    <w:pPr>
                      <w:ind w:firstLineChars="0" w:firstLine="0"/>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全球宏观经济季度报告（专题）</w:t>
                    </w:r>
                  </w:p>
                  <w:p w14:paraId="62DB01B0" w14:textId="77777777" w:rsidR="009F6D12" w:rsidRDefault="007F53FD">
                    <w:pPr>
                      <w:ind w:firstLineChars="0" w:firstLine="0"/>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全球宏观经济季度报告（专题）</w:t>
                    </w:r>
                  </w:p>
                  <w:p w14:paraId="06DCA7B7" w14:textId="77777777" w:rsidR="009F6D12" w:rsidRDefault="009F6D12">
                    <w:pPr>
                      <w:ind w:firstLine="480"/>
                      <w:rPr>
                        <w:rFonts w:eastAsia="楷体"/>
                        <w:color w:val="106D9C"/>
                        <w:lang w:eastAsia="zh-CN"/>
                      </w:rPr>
                    </w:pPr>
                  </w:p>
                  <w:p w14:paraId="5A1AC4BC" w14:textId="77777777" w:rsidR="009F6D12" w:rsidRDefault="009F6D12">
                    <w:pPr>
                      <w:ind w:firstLine="480"/>
                      <w:rPr>
                        <w:rFonts w:eastAsia="楷体"/>
                        <w:color w:val="106D9C"/>
                        <w:lang w:eastAsia="zh-CN"/>
                      </w:rPr>
                    </w:pPr>
                  </w:p>
                  <w:p w14:paraId="4FFA5569" w14:textId="77777777" w:rsidR="009F6D12" w:rsidRDefault="009F6D12">
                    <w:pPr>
                      <w:ind w:firstLine="480"/>
                      <w:rPr>
                        <w:rFonts w:eastAsia="楷体"/>
                        <w:color w:val="106D9C"/>
                        <w:lang w:eastAsia="zh-CN"/>
                      </w:rPr>
                    </w:pPr>
                  </w:p>
                  <w:p w14:paraId="51AB7350" w14:textId="77777777" w:rsidR="009F6D12" w:rsidRDefault="007F53FD">
                    <w:pPr>
                      <w:ind w:firstLineChars="0" w:firstLine="0"/>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全球宏观经济季度报告（专题）</w:t>
                    </w:r>
                  </w:p>
                  <w:p w14:paraId="3973998E" w14:textId="77777777" w:rsidR="009F6D12" w:rsidRDefault="007F53FD">
                    <w:pPr>
                      <w:ind w:firstLine="602"/>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全球宏观经济季度报告（下篇）</w:t>
                    </w:r>
                  </w:p>
                  <w:p w14:paraId="22D6C018" w14:textId="77777777" w:rsidR="009F6D12" w:rsidRDefault="007F53FD">
                    <w:pPr>
                      <w:ind w:firstLineChars="0" w:firstLine="0"/>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全球宏观经济季度报告（专题）</w:t>
                    </w:r>
                  </w:p>
                  <w:p w14:paraId="23941497" w14:textId="77777777" w:rsidR="009F6D12" w:rsidRDefault="007F53FD">
                    <w:pPr>
                      <w:ind w:firstLineChars="0" w:firstLine="0"/>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全球宏观经济季度报告（专题）</w:t>
                    </w:r>
                  </w:p>
                  <w:p w14:paraId="02E69D5B" w14:textId="77777777" w:rsidR="009F6D12" w:rsidRDefault="009F6D12">
                    <w:pPr>
                      <w:ind w:firstLine="480"/>
                      <w:rPr>
                        <w:rFonts w:eastAsia="楷体"/>
                        <w:color w:val="106D9C"/>
                        <w:lang w:eastAsia="zh-CN"/>
                      </w:rPr>
                    </w:pPr>
                  </w:p>
                  <w:p w14:paraId="642F5DE2" w14:textId="77777777" w:rsidR="009F6D12" w:rsidRDefault="009F6D12">
                    <w:pPr>
                      <w:ind w:firstLine="480"/>
                      <w:rPr>
                        <w:rFonts w:eastAsia="楷体"/>
                        <w:color w:val="106D9C"/>
                        <w:lang w:eastAsia="zh-CN"/>
                      </w:rPr>
                    </w:pPr>
                  </w:p>
                  <w:p w14:paraId="08319F4B" w14:textId="77777777" w:rsidR="009F6D12" w:rsidRDefault="009F6D12">
                    <w:pPr>
                      <w:ind w:firstLine="480"/>
                      <w:rPr>
                        <w:rFonts w:eastAsia="楷体"/>
                        <w:color w:val="106D9C"/>
                        <w:lang w:eastAsia="zh-CN"/>
                      </w:rPr>
                    </w:pPr>
                  </w:p>
                  <w:p w14:paraId="72B8B1D9" w14:textId="77777777" w:rsidR="009F6D12" w:rsidRDefault="007F53FD">
                    <w:pPr>
                      <w:ind w:firstLineChars="0" w:firstLine="0"/>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全球宏观经济季度报告（专题）</w:t>
                    </w:r>
                  </w:p>
                  <w:p w14:paraId="328BB51D" w14:textId="77777777" w:rsidR="009F6D12" w:rsidRDefault="007F53FD">
                    <w:pPr>
                      <w:ind w:firstLine="602"/>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全球宏观经济季度报告（下篇）</w:t>
                    </w:r>
                  </w:p>
                  <w:p w14:paraId="34AFE6F0" w14:textId="77777777" w:rsidR="009F6D12" w:rsidRDefault="009F6D12">
                    <w:pPr>
                      <w:ind w:firstLine="480"/>
                      <w:rPr>
                        <w:rFonts w:eastAsia="楷体"/>
                        <w:color w:val="106D9C"/>
                        <w:lang w:eastAsia="zh-CN"/>
                      </w:rPr>
                    </w:pPr>
                  </w:p>
                  <w:p w14:paraId="5B3B5103" w14:textId="77777777" w:rsidR="009F6D12" w:rsidRDefault="007F53FD">
                    <w:pPr>
                      <w:ind w:firstLineChars="0" w:firstLine="0"/>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全球宏观经济季度报告（专题）</w:t>
                    </w:r>
                  </w:p>
                  <w:p w14:paraId="0D9FD967" w14:textId="77777777" w:rsidR="009F6D12" w:rsidRDefault="009F6D12">
                    <w:pPr>
                      <w:ind w:firstLine="480"/>
                      <w:rPr>
                        <w:rFonts w:eastAsia="楷体"/>
                        <w:color w:val="106D9C"/>
                        <w:lang w:eastAsia="zh-CN"/>
                      </w:rPr>
                    </w:pPr>
                  </w:p>
                  <w:p w14:paraId="4863FAD1" w14:textId="77777777" w:rsidR="009F6D12" w:rsidRDefault="007F53FD">
                    <w:pPr>
                      <w:ind w:firstLineChars="0" w:firstLine="0"/>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全球宏观经济季度报告（专题）</w:t>
                    </w:r>
                  </w:p>
                  <w:p w14:paraId="3E99F8D2" w14:textId="77777777" w:rsidR="009F6D12" w:rsidRDefault="007F53FD">
                    <w:pPr>
                      <w:spacing w:line="240" w:lineRule="auto"/>
                      <w:ind w:firstLineChars="0" w:firstLine="0"/>
                      <w:rPr>
                        <w:rFonts w:eastAsia="楷体"/>
                        <w:b/>
                        <w:color w:val="106D9C"/>
                        <w:sz w:val="30"/>
                        <w:szCs w:val="30"/>
                        <w:lang w:eastAsia="zh-CN"/>
                      </w:rPr>
                    </w:pPr>
                    <w:r>
                      <w:rPr>
                        <w:rFonts w:eastAsia="楷体"/>
                        <w:b/>
                        <w:color w:val="106D9C"/>
                        <w:sz w:val="30"/>
                        <w:szCs w:val="30"/>
                        <w:lang w:eastAsia="zh-CN"/>
                      </w:rPr>
                      <w:t>CEEM</w:t>
                    </w:r>
                    <w:r>
                      <w:rPr>
                        <w:rFonts w:eastAsia="楷体"/>
                        <w:b/>
                        <w:color w:val="106D9C"/>
                        <w:sz w:val="30"/>
                        <w:szCs w:val="30"/>
                        <w:lang w:eastAsia="zh-CN"/>
                      </w:rPr>
                      <w:t>全球宏观经济季度报告（下篇）</w:t>
                    </w:r>
                  </w:p>
                  <w:p w14:paraId="33EB6269" w14:textId="77777777" w:rsidR="009F6D12" w:rsidRDefault="009F6D12">
                    <w:pPr>
                      <w:ind w:firstLine="480"/>
                      <w:rPr>
                        <w:rFonts w:eastAsia="楷体"/>
                        <w:color w:val="106D9C"/>
                        <w:lang w:eastAsia="zh-CN"/>
                      </w:rPr>
                    </w:pPr>
                  </w:p>
                  <w:p w14:paraId="682B32FB" w14:textId="77777777" w:rsidR="009F6D12" w:rsidRDefault="007F53FD">
                    <w:pPr>
                      <w:ind w:firstLineChars="0" w:firstLine="0"/>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全球宏观经济季度报告（专题）</w:t>
                    </w:r>
                  </w:p>
                  <w:p w14:paraId="5C4FA30B" w14:textId="77777777" w:rsidR="009F6D12" w:rsidRDefault="007F53FD">
                    <w:pPr>
                      <w:spacing w:line="240" w:lineRule="auto"/>
                      <w:ind w:firstLineChars="0" w:firstLine="0"/>
                      <w:rPr>
                        <w:rFonts w:eastAsia="楷体"/>
                        <w:b/>
                        <w:color w:val="106D9C"/>
                        <w:sz w:val="30"/>
                        <w:szCs w:val="30"/>
                        <w:lang w:eastAsia="zh-CN"/>
                      </w:rPr>
                    </w:pPr>
                    <w:r>
                      <w:rPr>
                        <w:rFonts w:eastAsia="楷体"/>
                        <w:b/>
                        <w:color w:val="106D9C"/>
                        <w:sz w:val="30"/>
                        <w:szCs w:val="30"/>
                        <w:lang w:eastAsia="zh-CN"/>
                      </w:rPr>
                      <w:t>CEEM</w:t>
                    </w:r>
                    <w:r>
                      <w:rPr>
                        <w:rFonts w:eastAsia="楷体"/>
                        <w:b/>
                        <w:color w:val="106D9C"/>
                        <w:sz w:val="30"/>
                        <w:szCs w:val="30"/>
                        <w:lang w:eastAsia="zh-CN"/>
                      </w:rPr>
                      <w:t>全球宏观经济季度报告（下篇）</w:t>
                    </w:r>
                  </w:p>
                  <w:p w14:paraId="762ED15B" w14:textId="77777777" w:rsidR="009F6D12" w:rsidRDefault="009F6D12">
                    <w:pPr>
                      <w:ind w:firstLine="480"/>
                      <w:rPr>
                        <w:rFonts w:eastAsia="楷体"/>
                        <w:color w:val="106D9C"/>
                        <w:lang w:eastAsia="zh-CN"/>
                      </w:rPr>
                    </w:pPr>
                  </w:p>
                  <w:p w14:paraId="7D2293A1" w14:textId="77777777" w:rsidR="009F6D12" w:rsidRDefault="009F6D12">
                    <w:pPr>
                      <w:ind w:firstLine="480"/>
                      <w:rPr>
                        <w:rFonts w:eastAsia="楷体"/>
                        <w:color w:val="106D9C"/>
                        <w:lang w:eastAsia="zh-CN"/>
                      </w:rPr>
                    </w:pPr>
                  </w:p>
                  <w:p w14:paraId="32868631" w14:textId="77777777" w:rsidR="009F6D12" w:rsidRDefault="009F6D12">
                    <w:pPr>
                      <w:ind w:firstLine="480"/>
                      <w:rPr>
                        <w:rFonts w:eastAsia="楷体"/>
                        <w:color w:val="106D9C"/>
                        <w:lang w:eastAsia="zh-CN"/>
                      </w:rPr>
                    </w:pPr>
                  </w:p>
                  <w:p w14:paraId="6DD6E5A2" w14:textId="77777777" w:rsidR="009F6D12" w:rsidRDefault="007F53FD">
                    <w:pPr>
                      <w:ind w:firstLineChars="0" w:firstLine="0"/>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全球宏观经济季度报告（专题）</w:t>
                    </w:r>
                  </w:p>
                  <w:p w14:paraId="68345DE7" w14:textId="77777777" w:rsidR="009F6D12" w:rsidRDefault="007F53FD">
                    <w:pPr>
                      <w:ind w:firstLine="602"/>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全球宏观经济季度报告（下篇）</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5B1E87" w14:textId="77777777" w:rsidR="0096595F" w:rsidRDefault="0096595F">
    <w:pPr>
      <w:pStyle w:val="21"/>
      <w:spacing w:before="120"/>
      <w:ind w:firstLine="480"/>
    </w:pPr>
    <w:r>
      <w:rPr>
        <w:noProof/>
      </w:rPr>
      <mc:AlternateContent>
        <mc:Choice Requires="wps">
          <w:drawing>
            <wp:anchor distT="0" distB="0" distL="114300" distR="114300" simplePos="0" relativeHeight="251698176" behindDoc="0" locked="0" layoutInCell="1" allowOverlap="1" wp14:anchorId="5BAF0F09" wp14:editId="65E0BEFC">
              <wp:simplePos x="0" y="0"/>
              <wp:positionH relativeFrom="column">
                <wp:posOffset>4907280</wp:posOffset>
              </wp:positionH>
              <wp:positionV relativeFrom="paragraph">
                <wp:posOffset>-174625</wp:posOffset>
              </wp:positionV>
              <wp:extent cx="3810000" cy="327660"/>
              <wp:effectExtent l="0" t="0" r="0" b="0"/>
              <wp:wrapNone/>
              <wp:docPr id="2004023683" name="文本框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327660"/>
                      </a:xfrm>
                      <a:prstGeom prst="rect">
                        <a:avLst/>
                      </a:prstGeom>
                      <a:solidFill>
                        <a:srgbClr val="FFFFFF">
                          <a:alpha val="0"/>
                        </a:srgbClr>
                      </a:solidFill>
                      <a:ln>
                        <a:noFill/>
                      </a:ln>
                    </wps:spPr>
                    <wps:txbx>
                      <w:txbxContent>
                        <w:p w14:paraId="656D3AC0" w14:textId="5DD16510" w:rsidR="0096595F" w:rsidRDefault="0096595F" w:rsidP="00507888">
                          <w:pPr>
                            <w:ind w:firstLine="602"/>
                            <w:rPr>
                              <w:rFonts w:eastAsia="楷体"/>
                              <w:color w:val="106D9C"/>
                              <w:lang w:eastAsia="zh-CN"/>
                            </w:rPr>
                          </w:pPr>
                          <w:r>
                            <w:rPr>
                              <w:rFonts w:eastAsia="楷体" w:hint="eastAsia"/>
                              <w:b/>
                              <w:color w:val="106D9C"/>
                              <w:sz w:val="30"/>
                              <w:szCs w:val="30"/>
                              <w:lang w:eastAsia="zh-CN"/>
                            </w:rPr>
                            <w:t>目录</w:t>
                          </w:r>
                        </w:p>
                        <w:p w14:paraId="2A73D2A2" w14:textId="77777777" w:rsidR="0096595F" w:rsidRDefault="0096595F" w:rsidP="00D51929">
                          <w:pPr>
                            <w:ind w:firstLineChars="0" w:firstLine="0"/>
                            <w:rPr>
                              <w:rFonts w:ascii="楷体" w:eastAsia="楷体" w:hAnsi="楷体"/>
                              <w:lang w:eastAsia="zh-CN"/>
                            </w:rPr>
                          </w:pPr>
                          <w:r>
                            <w:rPr>
                              <w:rFonts w:ascii="楷体" w:eastAsia="楷体" w:hAnsi="楷体" w:hint="eastAsia"/>
                              <w:b/>
                              <w:color w:val="FFFFFF"/>
                              <w:sz w:val="30"/>
                              <w:szCs w:val="30"/>
                              <w:lang w:eastAsia="zh-CN"/>
                            </w:rPr>
                            <w:t>CEEM 全球宏观经济季度报告（专题）</w:t>
                          </w:r>
                        </w:p>
                        <w:p w14:paraId="3864667F" w14:textId="77777777" w:rsidR="0096595F" w:rsidRDefault="0096595F" w:rsidP="00D51929">
                          <w:pPr>
                            <w:ind w:firstLine="480"/>
                            <w:rPr>
                              <w:rFonts w:ascii="楷体" w:eastAsia="楷体" w:hAnsi="楷体"/>
                              <w:lang w:eastAsia="zh-CN"/>
                            </w:rPr>
                          </w:pPr>
                        </w:p>
                        <w:p w14:paraId="7EBCE136" w14:textId="77777777" w:rsidR="0096595F" w:rsidRDefault="0096595F" w:rsidP="00D51929">
                          <w:pPr>
                            <w:ind w:firstLine="480"/>
                            <w:rPr>
                              <w:rFonts w:ascii="楷体" w:eastAsia="楷体" w:hAnsi="楷体"/>
                              <w:lang w:eastAsia="zh-CN"/>
                            </w:rPr>
                          </w:pPr>
                        </w:p>
                        <w:p w14:paraId="2F18D4F9" w14:textId="77777777" w:rsidR="0096595F" w:rsidRDefault="0096595F" w:rsidP="00D51929">
                          <w:pPr>
                            <w:ind w:firstLine="480"/>
                            <w:rPr>
                              <w:rFonts w:ascii="楷体" w:eastAsia="楷体" w:hAnsi="楷体"/>
                              <w:lang w:eastAsia="zh-CN"/>
                            </w:rPr>
                          </w:pPr>
                        </w:p>
                        <w:p w14:paraId="66AF0DC6" w14:textId="77777777" w:rsidR="0096595F" w:rsidRDefault="0096595F" w:rsidP="00D51929">
                          <w:pPr>
                            <w:ind w:firstLineChars="0" w:firstLine="0"/>
                            <w:rPr>
                              <w:rFonts w:ascii="楷体" w:eastAsia="楷体" w:hAnsi="楷体"/>
                              <w:lang w:eastAsia="zh-CN"/>
                            </w:rPr>
                          </w:pPr>
                          <w:r>
                            <w:rPr>
                              <w:rFonts w:ascii="楷体" w:eastAsia="楷体" w:hAnsi="楷体"/>
                              <w:b/>
                              <w:color w:val="FFFFFF"/>
                              <w:sz w:val="30"/>
                              <w:szCs w:val="30"/>
                              <w:lang w:eastAsia="zh-CN"/>
                            </w:rPr>
                            <w:t>C</w:t>
                          </w:r>
                          <w:r>
                            <w:rPr>
                              <w:rFonts w:ascii="楷体" w:eastAsia="楷体" w:hAnsi="楷体" w:hint="eastAsia"/>
                              <w:b/>
                              <w:color w:val="FFFFFF"/>
                              <w:sz w:val="30"/>
                              <w:szCs w:val="30"/>
                              <w:lang w:eastAsia="zh-CN"/>
                            </w:rPr>
                            <w:t>EEM 全球宏观经济季度报告（专题）</w:t>
                          </w:r>
                        </w:p>
                        <w:p w14:paraId="64B06368" w14:textId="77777777" w:rsidR="0096595F" w:rsidRDefault="0096595F" w:rsidP="00D51929">
                          <w:pPr>
                            <w:ind w:firstLine="602"/>
                            <w:rPr>
                              <w:rFonts w:ascii="楷体" w:eastAsia="楷体" w:hAnsi="楷体"/>
                              <w:lang w:eastAsia="zh-CN"/>
                            </w:rPr>
                          </w:pPr>
                          <w:r>
                            <w:rPr>
                              <w:rFonts w:ascii="楷体" w:eastAsia="楷体" w:hAnsi="楷体" w:hint="eastAsia"/>
                              <w:b/>
                              <w:color w:val="FFFFFF"/>
                              <w:sz w:val="30"/>
                              <w:szCs w:val="30"/>
                              <w:lang w:eastAsia="zh-CN"/>
                            </w:rPr>
                            <w:t>CEEM 全球宏观经济季度报告（下篇）</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BAF0F09" id="_x0000_t202" coordsize="21600,21600" o:spt="202" path="m,l,21600r21600,l21600,xe">
              <v:stroke joinstyle="miter"/>
              <v:path gradientshapeok="t" o:connecttype="rect"/>
            </v:shapetype>
            <v:shape id="_x0000_s1032" type="#_x0000_t202" style="position:absolute;left:0;text-align:left;margin-left:386.4pt;margin-top:-13.75pt;width:300pt;height:25.8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" stroked="f">
              <v:fill opacity="0"/>
              <v:textbox>
                <w:txbxContent>
                  <w:p w14:paraId="656D3AC0" w14:textId="5DD16510" w:rsidR="0096595F" w:rsidRDefault="0096595F" w:rsidP="00507888">
                    <w:pPr>
                      <w:ind w:firstLine="602"/>
                      <w:rPr>
                        <w:rFonts w:eastAsia="楷体"/>
                        <w:color w:val="106D9C"/>
                        <w:lang w:eastAsia="zh-CN"/>
                      </w:rPr>
                    </w:pPr>
                    <w:r>
                      <w:rPr>
                        <w:rFonts w:eastAsia="楷体" w:hint="eastAsia"/>
                        <w:b/>
                        <w:color w:val="106D9C"/>
                        <w:sz w:val="30"/>
                        <w:szCs w:val="30"/>
                        <w:lang w:eastAsia="zh-CN"/>
                      </w:rPr>
                      <w:t>目录</w:t>
                    </w:r>
                  </w:p>
                  <w:p w14:paraId="2A73D2A2" w14:textId="77777777" w:rsidR="0096595F" w:rsidRDefault="0096595F" w:rsidP="00D51929">
                    <w:pPr>
                      <w:ind w:firstLineChars="0" w:firstLine="0"/>
                      <w:rPr>
                        <w:rFonts w:ascii="楷体" w:eastAsia="楷体" w:hAnsi="楷体" w:hint="eastAsia"/>
                        <w:lang w:eastAsia="zh-CN"/>
                      </w:rPr>
                    </w:pPr>
                    <w:r>
                      <w:rPr>
                        <w:rFonts w:ascii="楷体" w:eastAsia="楷体" w:hAnsi="楷体" w:hint="eastAsia"/>
                        <w:b/>
                        <w:color w:val="FFFFFF"/>
                        <w:sz w:val="30"/>
                        <w:szCs w:val="30"/>
                        <w:lang w:eastAsia="zh-CN"/>
                      </w:rPr>
                      <w:t>CEEM 全球宏观经济季度报告（专题）</w:t>
                    </w:r>
                  </w:p>
                  <w:p w14:paraId="3864667F" w14:textId="77777777" w:rsidR="0096595F" w:rsidRDefault="0096595F" w:rsidP="00D51929">
                    <w:pPr>
                      <w:ind w:firstLine="480"/>
                      <w:rPr>
                        <w:rFonts w:ascii="楷体" w:eastAsia="楷体" w:hAnsi="楷体" w:hint="eastAsia"/>
                        <w:lang w:eastAsia="zh-CN"/>
                      </w:rPr>
                    </w:pPr>
                  </w:p>
                  <w:p w14:paraId="7EBCE136" w14:textId="77777777" w:rsidR="0096595F" w:rsidRDefault="0096595F" w:rsidP="00D51929">
                    <w:pPr>
                      <w:ind w:firstLine="480"/>
                      <w:rPr>
                        <w:rFonts w:ascii="楷体" w:eastAsia="楷体" w:hAnsi="楷体" w:hint="eastAsia"/>
                        <w:lang w:eastAsia="zh-CN"/>
                      </w:rPr>
                    </w:pPr>
                  </w:p>
                  <w:p w14:paraId="2F18D4F9" w14:textId="77777777" w:rsidR="0096595F" w:rsidRDefault="0096595F" w:rsidP="00D51929">
                    <w:pPr>
                      <w:ind w:firstLine="480"/>
                      <w:rPr>
                        <w:rFonts w:ascii="楷体" w:eastAsia="楷体" w:hAnsi="楷体" w:hint="eastAsia"/>
                        <w:lang w:eastAsia="zh-CN"/>
                      </w:rPr>
                    </w:pPr>
                  </w:p>
                  <w:p w14:paraId="66AF0DC6" w14:textId="77777777" w:rsidR="0096595F" w:rsidRDefault="0096595F" w:rsidP="00D51929">
                    <w:pPr>
                      <w:ind w:firstLineChars="0" w:firstLine="0"/>
                      <w:rPr>
                        <w:rFonts w:ascii="楷体" w:eastAsia="楷体" w:hAnsi="楷体" w:hint="eastAsia"/>
                        <w:lang w:eastAsia="zh-CN"/>
                      </w:rPr>
                    </w:pPr>
                    <w:r>
                      <w:rPr>
                        <w:rFonts w:ascii="楷体" w:eastAsia="楷体" w:hAnsi="楷体"/>
                        <w:b/>
                        <w:color w:val="FFFFFF"/>
                        <w:sz w:val="30"/>
                        <w:szCs w:val="30"/>
                        <w:lang w:eastAsia="zh-CN"/>
                      </w:rPr>
                      <w:t>C</w:t>
                    </w:r>
                    <w:r>
                      <w:rPr>
                        <w:rFonts w:ascii="楷体" w:eastAsia="楷体" w:hAnsi="楷体" w:hint="eastAsia"/>
                        <w:b/>
                        <w:color w:val="FFFFFF"/>
                        <w:sz w:val="30"/>
                        <w:szCs w:val="30"/>
                        <w:lang w:eastAsia="zh-CN"/>
                      </w:rPr>
                      <w:t>EEM 全球宏观经济季度报告（专题）</w:t>
                    </w:r>
                  </w:p>
                  <w:p w14:paraId="64B06368" w14:textId="77777777" w:rsidR="0096595F" w:rsidRDefault="0096595F" w:rsidP="00D51929">
                    <w:pPr>
                      <w:ind w:firstLine="602"/>
                      <w:rPr>
                        <w:rFonts w:ascii="楷体" w:eastAsia="楷体" w:hAnsi="楷体" w:hint="eastAsia"/>
                        <w:lang w:eastAsia="zh-CN"/>
                      </w:rPr>
                    </w:pPr>
                    <w:r>
                      <w:rPr>
                        <w:rFonts w:ascii="楷体" w:eastAsia="楷体" w:hAnsi="楷体" w:hint="eastAsia"/>
                        <w:b/>
                        <w:color w:val="FFFFFF"/>
                        <w:sz w:val="30"/>
                        <w:szCs w:val="30"/>
                        <w:lang w:eastAsia="zh-CN"/>
                      </w:rPr>
                      <w:t>CEEM 全球宏观经济季度报告（下篇）</w:t>
                    </w:r>
                  </w:p>
                </w:txbxContent>
              </v:textbox>
            </v:shape>
          </w:pict>
        </mc:Fallback>
      </mc:AlternateContent>
    </w:r>
    <w:r>
      <w:rPr>
        <w:noProof/>
      </w:rPr>
      <mc:AlternateContent>
        <mc:Choice Requires="wps">
          <w:drawing>
            <wp:anchor distT="0" distB="0" distL="114300" distR="114300" simplePos="0" relativeHeight="251697152" behindDoc="0" locked="0" layoutInCell="1" allowOverlap="1" wp14:anchorId="7A0BA6E8" wp14:editId="2C0EF88F">
              <wp:simplePos x="0" y="0"/>
              <wp:positionH relativeFrom="column">
                <wp:posOffset>-473075</wp:posOffset>
              </wp:positionH>
              <wp:positionV relativeFrom="paragraph">
                <wp:posOffset>-172085</wp:posOffset>
              </wp:positionV>
              <wp:extent cx="3810000" cy="327660"/>
              <wp:effectExtent l="0" t="0" r="0" b="0"/>
              <wp:wrapNone/>
              <wp:docPr id="2004023684" name="文本框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327660"/>
                      </a:xfrm>
                      <a:prstGeom prst="rect">
                        <a:avLst/>
                      </a:prstGeom>
                      <a:solidFill>
                        <a:srgbClr val="FFFFFF">
                          <a:alpha val="0"/>
                        </a:srgbClr>
                      </a:solidFill>
                      <a:ln>
                        <a:noFill/>
                      </a:ln>
                    </wps:spPr>
                    <wps:txbx>
                      <w:txbxContent>
                        <w:p w14:paraId="5DE27DFF" w14:textId="77777777" w:rsidR="0096595F" w:rsidRDefault="0096595F">
                          <w:pPr>
                            <w:ind w:firstLineChars="0" w:firstLine="0"/>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w:t>
                          </w:r>
                        </w:p>
                        <w:p w14:paraId="55088B15" w14:textId="77777777" w:rsidR="0096595F" w:rsidRDefault="0096595F">
                          <w:pPr>
                            <w:ind w:firstLineChars="0" w:firstLine="0"/>
                            <w:rPr>
                              <w:rFonts w:ascii="楷体" w:eastAsia="楷体" w:hAnsi="楷体"/>
                              <w:lang w:eastAsia="zh-CN"/>
                            </w:rPr>
                          </w:pPr>
                          <w:r>
                            <w:rPr>
                              <w:rFonts w:ascii="楷体" w:eastAsia="楷体" w:hAnsi="楷体" w:hint="eastAsia"/>
                              <w:b/>
                              <w:color w:val="FFFFFF"/>
                              <w:sz w:val="30"/>
                              <w:szCs w:val="30"/>
                              <w:lang w:eastAsia="zh-CN"/>
                            </w:rPr>
                            <w:t>CEEM 全球宏观经济季度报告（专题）</w:t>
                          </w:r>
                        </w:p>
                        <w:p w14:paraId="43CC909A" w14:textId="77777777" w:rsidR="0096595F" w:rsidRDefault="0096595F">
                          <w:pPr>
                            <w:ind w:firstLine="480"/>
                            <w:rPr>
                              <w:rFonts w:ascii="楷体" w:eastAsia="楷体" w:hAnsi="楷体"/>
                              <w:lang w:eastAsia="zh-CN"/>
                            </w:rPr>
                          </w:pPr>
                        </w:p>
                        <w:p w14:paraId="19D433F9" w14:textId="77777777" w:rsidR="0096595F" w:rsidRDefault="0096595F">
                          <w:pPr>
                            <w:ind w:firstLine="480"/>
                            <w:rPr>
                              <w:rFonts w:ascii="楷体" w:eastAsia="楷体" w:hAnsi="楷体"/>
                              <w:lang w:eastAsia="zh-CN"/>
                            </w:rPr>
                          </w:pPr>
                        </w:p>
                        <w:p w14:paraId="7CDA8AA1" w14:textId="77777777" w:rsidR="0096595F" w:rsidRDefault="0096595F">
                          <w:pPr>
                            <w:ind w:firstLine="480"/>
                            <w:rPr>
                              <w:rFonts w:ascii="楷体" w:eastAsia="楷体" w:hAnsi="楷体"/>
                              <w:lang w:eastAsia="zh-CN"/>
                            </w:rPr>
                          </w:pPr>
                        </w:p>
                        <w:p w14:paraId="67054503" w14:textId="77777777" w:rsidR="0096595F" w:rsidRDefault="0096595F">
                          <w:pPr>
                            <w:ind w:firstLineChars="0" w:firstLine="0"/>
                            <w:rPr>
                              <w:rFonts w:ascii="楷体" w:eastAsia="楷体" w:hAnsi="楷体"/>
                              <w:lang w:eastAsia="zh-CN"/>
                            </w:rPr>
                          </w:pPr>
                          <w:r>
                            <w:rPr>
                              <w:rFonts w:ascii="楷体" w:eastAsia="楷体" w:hAnsi="楷体"/>
                              <w:b/>
                              <w:color w:val="FFFFFF"/>
                              <w:sz w:val="30"/>
                              <w:szCs w:val="30"/>
                              <w:lang w:eastAsia="zh-CN"/>
                            </w:rPr>
                            <w:t>C</w:t>
                          </w:r>
                          <w:r>
                            <w:rPr>
                              <w:rFonts w:ascii="楷体" w:eastAsia="楷体" w:hAnsi="楷体" w:hint="eastAsia"/>
                              <w:b/>
                              <w:color w:val="FFFFFF"/>
                              <w:sz w:val="30"/>
                              <w:szCs w:val="30"/>
                              <w:lang w:eastAsia="zh-CN"/>
                            </w:rPr>
                            <w:t>EEM 全球宏观经济季度报告（专题）</w:t>
                          </w:r>
                        </w:p>
                        <w:p w14:paraId="50356E1D" w14:textId="77777777" w:rsidR="0096595F" w:rsidRDefault="0096595F">
                          <w:pPr>
                            <w:ind w:firstLine="602"/>
                            <w:rPr>
                              <w:rFonts w:ascii="楷体" w:eastAsia="楷体" w:hAnsi="楷体"/>
                              <w:lang w:eastAsia="zh-CN"/>
                            </w:rPr>
                          </w:pPr>
                          <w:r>
                            <w:rPr>
                              <w:rFonts w:ascii="楷体" w:eastAsia="楷体" w:hAnsi="楷体" w:hint="eastAsia"/>
                              <w:b/>
                              <w:color w:val="FFFFFF"/>
                              <w:sz w:val="30"/>
                              <w:szCs w:val="30"/>
                              <w:lang w:eastAsia="zh-CN"/>
                            </w:rPr>
                            <w:t>CEEM 全球宏观经济季度报告（下篇）</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0BA6E8" id="_x0000_s1033" type="#_x0000_t202" style="position:absolute;left:0;text-align:left;margin-left:-37.25pt;margin-top:-13.55pt;width:300pt;height:25.8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" stroked="f">
              <v:fill opacity="0"/>
              <v:textbox>
                <w:txbxContent>
                  <w:p w14:paraId="5DE27DFF" w14:textId="77777777" w:rsidR="0096595F" w:rsidRDefault="0096595F">
                    <w:pPr>
                      <w:ind w:firstLineChars="0" w:firstLine="0"/>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w:t>
                    </w:r>
                  </w:p>
                  <w:p w14:paraId="55088B15" w14:textId="77777777" w:rsidR="0096595F" w:rsidRDefault="0096595F">
                    <w:pPr>
                      <w:ind w:firstLineChars="0" w:firstLine="0"/>
                      <w:rPr>
                        <w:rFonts w:ascii="楷体" w:eastAsia="楷体" w:hAnsi="楷体" w:hint="eastAsia"/>
                        <w:lang w:eastAsia="zh-CN"/>
                      </w:rPr>
                    </w:pPr>
                    <w:r>
                      <w:rPr>
                        <w:rFonts w:ascii="楷体" w:eastAsia="楷体" w:hAnsi="楷体" w:hint="eastAsia"/>
                        <w:b/>
                        <w:color w:val="FFFFFF"/>
                        <w:sz w:val="30"/>
                        <w:szCs w:val="30"/>
                        <w:lang w:eastAsia="zh-CN"/>
                      </w:rPr>
                      <w:t>CEEM 全球宏观经济季度报告（专题）</w:t>
                    </w:r>
                  </w:p>
                  <w:p w14:paraId="43CC909A" w14:textId="77777777" w:rsidR="0096595F" w:rsidRDefault="0096595F">
                    <w:pPr>
                      <w:ind w:firstLine="480"/>
                      <w:rPr>
                        <w:rFonts w:ascii="楷体" w:eastAsia="楷体" w:hAnsi="楷体" w:hint="eastAsia"/>
                        <w:lang w:eastAsia="zh-CN"/>
                      </w:rPr>
                    </w:pPr>
                  </w:p>
                  <w:p w14:paraId="19D433F9" w14:textId="77777777" w:rsidR="0096595F" w:rsidRDefault="0096595F">
                    <w:pPr>
                      <w:ind w:firstLine="480"/>
                      <w:rPr>
                        <w:rFonts w:ascii="楷体" w:eastAsia="楷体" w:hAnsi="楷体" w:hint="eastAsia"/>
                        <w:lang w:eastAsia="zh-CN"/>
                      </w:rPr>
                    </w:pPr>
                  </w:p>
                  <w:p w14:paraId="7CDA8AA1" w14:textId="77777777" w:rsidR="0096595F" w:rsidRDefault="0096595F">
                    <w:pPr>
                      <w:ind w:firstLine="480"/>
                      <w:rPr>
                        <w:rFonts w:ascii="楷体" w:eastAsia="楷体" w:hAnsi="楷体" w:hint="eastAsia"/>
                        <w:lang w:eastAsia="zh-CN"/>
                      </w:rPr>
                    </w:pPr>
                  </w:p>
                  <w:p w14:paraId="67054503" w14:textId="77777777" w:rsidR="0096595F" w:rsidRDefault="0096595F">
                    <w:pPr>
                      <w:ind w:firstLineChars="0" w:firstLine="0"/>
                      <w:rPr>
                        <w:rFonts w:ascii="楷体" w:eastAsia="楷体" w:hAnsi="楷体" w:hint="eastAsia"/>
                        <w:lang w:eastAsia="zh-CN"/>
                      </w:rPr>
                    </w:pPr>
                    <w:r>
                      <w:rPr>
                        <w:rFonts w:ascii="楷体" w:eastAsia="楷体" w:hAnsi="楷体"/>
                        <w:b/>
                        <w:color w:val="FFFFFF"/>
                        <w:sz w:val="30"/>
                        <w:szCs w:val="30"/>
                        <w:lang w:eastAsia="zh-CN"/>
                      </w:rPr>
                      <w:t>C</w:t>
                    </w:r>
                    <w:r>
                      <w:rPr>
                        <w:rFonts w:ascii="楷体" w:eastAsia="楷体" w:hAnsi="楷体" w:hint="eastAsia"/>
                        <w:b/>
                        <w:color w:val="FFFFFF"/>
                        <w:sz w:val="30"/>
                        <w:szCs w:val="30"/>
                        <w:lang w:eastAsia="zh-CN"/>
                      </w:rPr>
                      <w:t>EEM 全球宏观经济季度报告（专题）</w:t>
                    </w:r>
                  </w:p>
                  <w:p w14:paraId="50356E1D" w14:textId="77777777" w:rsidR="0096595F" w:rsidRDefault="0096595F">
                    <w:pPr>
                      <w:ind w:firstLine="602"/>
                      <w:rPr>
                        <w:rFonts w:ascii="楷体" w:eastAsia="楷体" w:hAnsi="楷体" w:hint="eastAsia"/>
                        <w:lang w:eastAsia="zh-CN"/>
                      </w:rPr>
                    </w:pPr>
                    <w:r>
                      <w:rPr>
                        <w:rFonts w:ascii="楷体" w:eastAsia="楷体" w:hAnsi="楷体" w:hint="eastAsia"/>
                        <w:b/>
                        <w:color w:val="FFFFFF"/>
                        <w:sz w:val="30"/>
                        <w:szCs w:val="30"/>
                        <w:lang w:eastAsia="zh-CN"/>
                      </w:rPr>
                      <w:t>CEEM 全球宏观经济季度报告（下篇）</w:t>
                    </w:r>
                  </w:p>
                </w:txbxContent>
              </v:textbox>
            </v:shape>
          </w:pict>
        </mc:Fallback>
      </mc:AlternateContent>
    </w:r>
    <w:r>
      <w:rPr>
        <w:noProof/>
      </w:rPr>
      <mc:AlternateContent>
        <mc:Choice Requires="wps">
          <w:drawing>
            <wp:anchor distT="0" distB="0" distL="114300" distR="114300" simplePos="0" relativeHeight="251696128" behindDoc="0" locked="0" layoutInCell="1" allowOverlap="1" wp14:anchorId="55625D8A" wp14:editId="39AB5DEF">
              <wp:simplePos x="0" y="0"/>
              <wp:positionH relativeFrom="column">
                <wp:posOffset>-381000</wp:posOffset>
              </wp:positionH>
              <wp:positionV relativeFrom="paragraph">
                <wp:posOffset>129540</wp:posOffset>
              </wp:positionV>
              <wp:extent cx="6120000" cy="0"/>
              <wp:effectExtent l="0" t="19050" r="33655" b="19050"/>
              <wp:wrapNone/>
              <wp:docPr id="2004023685" name="直接连接符 29"/>
              <wp:cNvGraphicFramePr/>
              <a:graphic xmlns:a="http://schemas.openxmlformats.org/drawingml/2006/main">
                <a:graphicData uri="http://schemas.microsoft.com/office/word/2010/wordprocessingShape">
                  <wps:wsp>
                    <wps:cNvCnPr/>
                    <wps:spPr>
                      <a:xfrm>
                        <a:off x="0" y="0"/>
                        <a:ext cx="6120000" cy="0"/>
                      </a:xfrm>
                      <a:prstGeom prst="line">
                        <a:avLst/>
                      </a:prstGeom>
                      <a:ln w="28575">
                        <a:solidFill>
                          <a:srgbClr val="106D9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119870A" id="直接连接符 29" o:spid="_x0000_s1026" style="position:absolute;left:0;text-align:lef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pt,10.2pt" to="451.9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" strokecolor="#106d9c" strokeweight="2.25pt"/>
          </w:pict>
        </mc:Fallback>
      </mc:AlternateContent>
    </w:r>
    <w:r>
      <w:rPr>
        <w:noProof/>
      </w:rPr>
      <mc:AlternateContent>
        <mc:Choice Requires="wps">
          <w:drawing>
            <wp:anchor distT="0" distB="0" distL="114300" distR="114300" simplePos="0" relativeHeight="251695104" behindDoc="0" locked="0" layoutInCell="1" allowOverlap="1" wp14:anchorId="7E3F7BC1" wp14:editId="647B8476">
              <wp:simplePos x="0" y="0"/>
              <wp:positionH relativeFrom="column">
                <wp:posOffset>-722630</wp:posOffset>
              </wp:positionH>
              <wp:positionV relativeFrom="paragraph">
                <wp:posOffset>-243840</wp:posOffset>
              </wp:positionV>
              <wp:extent cx="3790950" cy="327660"/>
              <wp:effectExtent l="0" t="0" r="0" b="0"/>
              <wp:wrapNone/>
              <wp:docPr id="2004023686" name="文本框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327660"/>
                      </a:xfrm>
                      <a:prstGeom prst="rect">
                        <a:avLst/>
                      </a:prstGeom>
                      <a:solidFill>
                        <a:srgbClr val="FFFFFF">
                          <a:alpha val="0"/>
                        </a:srgbClr>
                      </a:solidFill>
                      <a:ln>
                        <a:noFill/>
                      </a:ln>
                    </wps:spPr>
                    <wps:txbx>
                      <w:txbxContent>
                        <w:p w14:paraId="2CCE2933" w14:textId="77777777" w:rsidR="0096595F" w:rsidRDefault="0096595F">
                          <w:pPr>
                            <w:ind w:firstLine="480"/>
                          </w:pPr>
                        </w:p>
                        <w:p w14:paraId="7C0F5B1F" w14:textId="77777777" w:rsidR="0096595F" w:rsidRDefault="0096595F">
                          <w:pPr>
                            <w:ind w:firstLine="480"/>
                          </w:pPr>
                        </w:p>
                        <w:p w14:paraId="7427AD0B" w14:textId="77777777" w:rsidR="0096595F" w:rsidRDefault="0096595F">
                          <w:pPr>
                            <w:ind w:firstLine="480"/>
                          </w:pPr>
                        </w:p>
                        <w:p w14:paraId="312677B5" w14:textId="77777777" w:rsidR="0096595F" w:rsidRDefault="0096595F">
                          <w:pPr>
                            <w:spacing w:line="240" w:lineRule="auto"/>
                            <w:ind w:firstLineChars="0" w:firstLine="0"/>
                            <w:rPr>
                              <w:rFonts w:ascii="黑体" w:eastAsia="黑体" w:hAnsi="黑体"/>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2BCB2635" w14:textId="77777777" w:rsidR="0096595F" w:rsidRDefault="0096595F">
                          <w:pPr>
                            <w:ind w:firstLine="480"/>
                            <w:rPr>
                              <w:lang w:eastAsia="zh-CN"/>
                            </w:rPr>
                          </w:pPr>
                        </w:p>
                        <w:p w14:paraId="2B8595B9" w14:textId="77777777" w:rsidR="0096595F" w:rsidRDefault="0096595F">
                          <w:pPr>
                            <w:spacing w:line="240" w:lineRule="auto"/>
                            <w:ind w:firstLineChars="0" w:firstLine="0"/>
                            <w:rPr>
                              <w:rFonts w:ascii="黑体" w:eastAsia="黑体" w:hAnsi="黑体"/>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3ECDA536" w14:textId="77777777" w:rsidR="0096595F" w:rsidRDefault="0096595F">
                          <w:pPr>
                            <w:ind w:firstLine="480"/>
                            <w:rPr>
                              <w:lang w:eastAsia="zh-CN"/>
                            </w:rPr>
                          </w:pPr>
                        </w:p>
                        <w:p w14:paraId="7247DBA3" w14:textId="77777777" w:rsidR="0096595F" w:rsidRDefault="0096595F">
                          <w:pPr>
                            <w:ind w:firstLine="480"/>
                            <w:rPr>
                              <w:lang w:eastAsia="zh-CN"/>
                            </w:rPr>
                          </w:pPr>
                        </w:p>
                        <w:p w14:paraId="49C1DFF2" w14:textId="77777777" w:rsidR="0096595F" w:rsidRDefault="0096595F">
                          <w:pPr>
                            <w:spacing w:line="240" w:lineRule="auto"/>
                            <w:ind w:firstLineChars="0" w:firstLine="0"/>
                            <w:rPr>
                              <w:rFonts w:ascii="黑体" w:eastAsia="黑体" w:hAnsi="黑体"/>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2DB917C3" w14:textId="77777777" w:rsidR="0096595F" w:rsidRDefault="0096595F">
                          <w:pPr>
                            <w:ind w:firstLine="480"/>
                            <w:rPr>
                              <w:lang w:eastAsia="zh-CN"/>
                            </w:rPr>
                          </w:pPr>
                        </w:p>
                        <w:p w14:paraId="30D16D4E" w14:textId="77777777" w:rsidR="0096595F" w:rsidRDefault="0096595F">
                          <w:pPr>
                            <w:ind w:firstLine="602"/>
                            <w:rPr>
                              <w:lang w:eastAsia="zh-CN"/>
                            </w:rPr>
                          </w:pPr>
                          <w:r>
                            <w:rPr>
                              <w:rFonts w:ascii="黑体" w:eastAsia="黑体" w:hAnsi="黑体" w:hint="eastAsia"/>
                              <w:b/>
                              <w:color w:val="FFFFFF"/>
                              <w:sz w:val="30"/>
                              <w:szCs w:val="30"/>
                              <w:lang w:eastAsia="zh-CN"/>
                            </w:rPr>
                            <w:t>CEEM 全球宏观经济季度报告（专题）</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3F7BC1" id="_x0000_s1034" type="#_x0000_t202" style="position:absolute;left:0;text-align:left;margin-left:-56.9pt;margin-top:-19.2pt;width:298.5pt;height:25.8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" stroked="f">
              <v:fill opacity="0"/>
              <v:textbox>
                <w:txbxContent>
                  <w:p w14:paraId="2CCE2933" w14:textId="77777777" w:rsidR="0096595F" w:rsidRDefault="0096595F">
                    <w:pPr>
                      <w:ind w:firstLine="480"/>
                    </w:pPr>
                  </w:p>
                  <w:p w14:paraId="7C0F5B1F" w14:textId="77777777" w:rsidR="0096595F" w:rsidRDefault="0096595F">
                    <w:pPr>
                      <w:ind w:firstLine="480"/>
                    </w:pPr>
                  </w:p>
                  <w:p w14:paraId="7427AD0B" w14:textId="77777777" w:rsidR="0096595F" w:rsidRDefault="0096595F">
                    <w:pPr>
                      <w:ind w:firstLine="480"/>
                    </w:pPr>
                  </w:p>
                  <w:p w14:paraId="312677B5" w14:textId="77777777" w:rsidR="0096595F" w:rsidRDefault="0096595F">
                    <w:pPr>
                      <w:spacing w:line="240" w:lineRule="auto"/>
                      <w:ind w:firstLineChars="0" w:firstLine="0"/>
                      <w:rPr>
                        <w:rFonts w:ascii="黑体" w:eastAsia="黑体" w:hAnsi="黑体" w:hint="eastAsia"/>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2BCB2635" w14:textId="77777777" w:rsidR="0096595F" w:rsidRDefault="0096595F">
                    <w:pPr>
                      <w:ind w:firstLine="480"/>
                      <w:rPr>
                        <w:lang w:eastAsia="zh-CN"/>
                      </w:rPr>
                    </w:pPr>
                  </w:p>
                  <w:p w14:paraId="2B8595B9" w14:textId="77777777" w:rsidR="0096595F" w:rsidRDefault="0096595F">
                    <w:pPr>
                      <w:spacing w:line="240" w:lineRule="auto"/>
                      <w:ind w:firstLineChars="0" w:firstLine="0"/>
                      <w:rPr>
                        <w:rFonts w:ascii="黑体" w:eastAsia="黑体" w:hAnsi="黑体" w:hint="eastAsia"/>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3ECDA536" w14:textId="77777777" w:rsidR="0096595F" w:rsidRDefault="0096595F">
                    <w:pPr>
                      <w:ind w:firstLine="480"/>
                      <w:rPr>
                        <w:lang w:eastAsia="zh-CN"/>
                      </w:rPr>
                    </w:pPr>
                  </w:p>
                  <w:p w14:paraId="7247DBA3" w14:textId="77777777" w:rsidR="0096595F" w:rsidRDefault="0096595F">
                    <w:pPr>
                      <w:ind w:firstLine="480"/>
                      <w:rPr>
                        <w:lang w:eastAsia="zh-CN"/>
                      </w:rPr>
                    </w:pPr>
                  </w:p>
                  <w:p w14:paraId="49C1DFF2" w14:textId="77777777" w:rsidR="0096595F" w:rsidRDefault="0096595F">
                    <w:pPr>
                      <w:spacing w:line="240" w:lineRule="auto"/>
                      <w:ind w:firstLineChars="0" w:firstLine="0"/>
                      <w:rPr>
                        <w:rFonts w:ascii="黑体" w:eastAsia="黑体" w:hAnsi="黑体" w:hint="eastAsia"/>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2DB917C3" w14:textId="77777777" w:rsidR="0096595F" w:rsidRDefault="0096595F">
                    <w:pPr>
                      <w:ind w:firstLine="480"/>
                      <w:rPr>
                        <w:lang w:eastAsia="zh-CN"/>
                      </w:rPr>
                    </w:pPr>
                  </w:p>
                  <w:p w14:paraId="30D16D4E" w14:textId="77777777" w:rsidR="0096595F" w:rsidRDefault="0096595F">
                    <w:pPr>
                      <w:ind w:firstLine="602"/>
                      <w:rPr>
                        <w:lang w:eastAsia="zh-CN"/>
                      </w:rPr>
                    </w:pPr>
                    <w:r>
                      <w:rPr>
                        <w:rFonts w:ascii="黑体" w:eastAsia="黑体" w:hAnsi="黑体" w:hint="eastAsia"/>
                        <w:b/>
                        <w:color w:val="FFFFFF"/>
                        <w:sz w:val="30"/>
                        <w:szCs w:val="30"/>
                        <w:lang w:eastAsia="zh-CN"/>
                      </w:rPr>
                      <w:t>CEEM 全球宏观经济季度报告（专题）</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6DFB14" w14:textId="77777777" w:rsidR="00894D49" w:rsidRDefault="00894D49">
    <w:pPr>
      <w:pStyle w:val="21"/>
      <w:spacing w:before="120"/>
      <w:ind w:firstLine="480"/>
    </w:pPr>
    <w:r>
      <w:rPr>
        <w:noProof/>
      </w:rPr>
      <mc:AlternateContent>
        <mc:Choice Requires="wps">
          <w:drawing>
            <wp:anchor distT="0" distB="0" distL="114300" distR="114300" simplePos="0" relativeHeight="251723776" behindDoc="0" locked="0" layoutInCell="1" allowOverlap="1" wp14:anchorId="39462FAB" wp14:editId="549F8145">
              <wp:simplePos x="0" y="0"/>
              <wp:positionH relativeFrom="column">
                <wp:posOffset>4907280</wp:posOffset>
              </wp:positionH>
              <wp:positionV relativeFrom="paragraph">
                <wp:posOffset>-174625</wp:posOffset>
              </wp:positionV>
              <wp:extent cx="3810000" cy="327660"/>
              <wp:effectExtent l="0" t="0" r="0" b="0"/>
              <wp:wrapNone/>
              <wp:docPr id="2004023704" name="文本框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327660"/>
                      </a:xfrm>
                      <a:prstGeom prst="rect">
                        <a:avLst/>
                      </a:prstGeom>
                      <a:solidFill>
                        <a:srgbClr val="FFFFFF">
                          <a:alpha val="0"/>
                        </a:srgbClr>
                      </a:solidFill>
                      <a:ln>
                        <a:noFill/>
                      </a:ln>
                    </wps:spPr>
                    <wps:txbx>
                      <w:txbxContent>
                        <w:p w14:paraId="38C3FD55" w14:textId="333A1201" w:rsidR="00894D49" w:rsidRDefault="00B73978" w:rsidP="00D51929">
                          <w:pPr>
                            <w:ind w:firstLineChars="0" w:firstLine="0"/>
                            <w:rPr>
                              <w:rFonts w:eastAsia="楷体"/>
                              <w:color w:val="106D9C"/>
                              <w:lang w:eastAsia="zh-CN"/>
                            </w:rPr>
                          </w:pPr>
                          <w:r>
                            <w:rPr>
                              <w:rFonts w:eastAsia="楷体" w:hint="eastAsia"/>
                              <w:b/>
                              <w:color w:val="106D9C"/>
                              <w:sz w:val="30"/>
                              <w:szCs w:val="30"/>
                              <w:lang w:eastAsia="zh-CN"/>
                            </w:rPr>
                            <w:t>美国</w:t>
                          </w:r>
                          <w:r w:rsidR="00894D49">
                            <w:rPr>
                              <w:rFonts w:eastAsia="楷体" w:hint="eastAsia"/>
                              <w:b/>
                              <w:color w:val="106D9C"/>
                              <w:sz w:val="30"/>
                              <w:szCs w:val="30"/>
                              <w:lang w:eastAsia="zh-CN"/>
                            </w:rPr>
                            <w:t>专题</w:t>
                          </w:r>
                        </w:p>
                        <w:p w14:paraId="51DA6BA3" w14:textId="77777777" w:rsidR="00894D49" w:rsidRDefault="00894D49" w:rsidP="00D51929">
                          <w:pPr>
                            <w:ind w:firstLineChars="0" w:firstLine="0"/>
                            <w:rPr>
                              <w:rFonts w:ascii="楷体" w:eastAsia="楷体" w:hAnsi="楷体"/>
                              <w:lang w:eastAsia="zh-CN"/>
                            </w:rPr>
                          </w:pPr>
                          <w:r>
                            <w:rPr>
                              <w:rFonts w:ascii="楷体" w:eastAsia="楷体" w:hAnsi="楷体" w:hint="eastAsia"/>
                              <w:b/>
                              <w:color w:val="FFFFFF"/>
                              <w:sz w:val="30"/>
                              <w:szCs w:val="30"/>
                              <w:lang w:eastAsia="zh-CN"/>
                            </w:rPr>
                            <w:t>CEEM 全球宏观经济季度报告（专题）</w:t>
                          </w:r>
                        </w:p>
                        <w:p w14:paraId="43602A2D" w14:textId="77777777" w:rsidR="00894D49" w:rsidRDefault="00894D49" w:rsidP="00D51929">
                          <w:pPr>
                            <w:ind w:firstLine="480"/>
                            <w:rPr>
                              <w:rFonts w:ascii="楷体" w:eastAsia="楷体" w:hAnsi="楷体"/>
                              <w:lang w:eastAsia="zh-CN"/>
                            </w:rPr>
                          </w:pPr>
                        </w:p>
                        <w:p w14:paraId="5B3ED1A5" w14:textId="77777777" w:rsidR="00894D49" w:rsidRDefault="00894D49" w:rsidP="00D51929">
                          <w:pPr>
                            <w:ind w:firstLine="480"/>
                            <w:rPr>
                              <w:rFonts w:ascii="楷体" w:eastAsia="楷体" w:hAnsi="楷体"/>
                              <w:lang w:eastAsia="zh-CN"/>
                            </w:rPr>
                          </w:pPr>
                        </w:p>
                        <w:p w14:paraId="13FD83DB" w14:textId="77777777" w:rsidR="00894D49" w:rsidRDefault="00894D49" w:rsidP="00D51929">
                          <w:pPr>
                            <w:ind w:firstLine="480"/>
                            <w:rPr>
                              <w:rFonts w:ascii="楷体" w:eastAsia="楷体" w:hAnsi="楷体"/>
                              <w:lang w:eastAsia="zh-CN"/>
                            </w:rPr>
                          </w:pPr>
                        </w:p>
                        <w:p w14:paraId="7FB82506" w14:textId="77777777" w:rsidR="00894D49" w:rsidRDefault="00894D49" w:rsidP="00D51929">
                          <w:pPr>
                            <w:ind w:firstLineChars="0" w:firstLine="0"/>
                            <w:rPr>
                              <w:rFonts w:ascii="楷体" w:eastAsia="楷体" w:hAnsi="楷体"/>
                              <w:lang w:eastAsia="zh-CN"/>
                            </w:rPr>
                          </w:pPr>
                          <w:r>
                            <w:rPr>
                              <w:rFonts w:ascii="楷体" w:eastAsia="楷体" w:hAnsi="楷体"/>
                              <w:b/>
                              <w:color w:val="FFFFFF"/>
                              <w:sz w:val="30"/>
                              <w:szCs w:val="30"/>
                              <w:lang w:eastAsia="zh-CN"/>
                            </w:rPr>
                            <w:t>C</w:t>
                          </w:r>
                          <w:r>
                            <w:rPr>
                              <w:rFonts w:ascii="楷体" w:eastAsia="楷体" w:hAnsi="楷体" w:hint="eastAsia"/>
                              <w:b/>
                              <w:color w:val="FFFFFF"/>
                              <w:sz w:val="30"/>
                              <w:szCs w:val="30"/>
                              <w:lang w:eastAsia="zh-CN"/>
                            </w:rPr>
                            <w:t>EEM 全球宏观经济季度报告（专题）</w:t>
                          </w:r>
                        </w:p>
                        <w:p w14:paraId="5671476C" w14:textId="77777777" w:rsidR="00894D49" w:rsidRDefault="00894D49" w:rsidP="00D51929">
                          <w:pPr>
                            <w:ind w:firstLine="602"/>
                            <w:rPr>
                              <w:rFonts w:ascii="楷体" w:eastAsia="楷体" w:hAnsi="楷体"/>
                              <w:lang w:eastAsia="zh-CN"/>
                            </w:rPr>
                          </w:pPr>
                          <w:r>
                            <w:rPr>
                              <w:rFonts w:ascii="楷体" w:eastAsia="楷体" w:hAnsi="楷体" w:hint="eastAsia"/>
                              <w:b/>
                              <w:color w:val="FFFFFF"/>
                              <w:sz w:val="30"/>
                              <w:szCs w:val="30"/>
                              <w:lang w:eastAsia="zh-CN"/>
                            </w:rPr>
                            <w:t>CEEM 全球宏观经济季度报告（下篇）</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9462FAB" id="_x0000_t202" coordsize="21600,21600" o:spt="202" path="m,l,21600r21600,l21600,xe">
              <v:stroke joinstyle="miter"/>
              <v:path gradientshapeok="t" o:connecttype="rect"/>
            </v:shapetype>
            <v:shape id="_x0000_s1035" type="#_x0000_t202" style="position:absolute;left:0;text-align:left;margin-left:386.4pt;margin-top:-13.75pt;width:300pt;height:25.8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" stroked="f">
              <v:fill opacity="0"/>
              <v:textbox>
                <w:txbxContent>
                  <w:p w14:paraId="38C3FD55" w14:textId="333A1201" w:rsidR="00894D49" w:rsidRDefault="00B73978" w:rsidP="00D51929">
                    <w:pPr>
                      <w:ind w:firstLineChars="0" w:firstLine="0"/>
                      <w:rPr>
                        <w:rFonts w:eastAsia="楷体"/>
                        <w:color w:val="106D9C"/>
                        <w:lang w:eastAsia="zh-CN"/>
                      </w:rPr>
                    </w:pPr>
                    <w:r>
                      <w:rPr>
                        <w:rFonts w:eastAsia="楷体" w:hint="eastAsia"/>
                        <w:b/>
                        <w:color w:val="106D9C"/>
                        <w:sz w:val="30"/>
                        <w:szCs w:val="30"/>
                        <w:lang w:eastAsia="zh-CN"/>
                      </w:rPr>
                      <w:t>美国</w:t>
                    </w:r>
                    <w:r w:rsidR="00894D49">
                      <w:rPr>
                        <w:rFonts w:eastAsia="楷体" w:hint="eastAsia"/>
                        <w:b/>
                        <w:color w:val="106D9C"/>
                        <w:sz w:val="30"/>
                        <w:szCs w:val="30"/>
                        <w:lang w:eastAsia="zh-CN"/>
                      </w:rPr>
                      <w:t>专题</w:t>
                    </w:r>
                  </w:p>
                  <w:p w14:paraId="51DA6BA3" w14:textId="77777777" w:rsidR="00894D49" w:rsidRDefault="00894D49" w:rsidP="00D51929">
                    <w:pPr>
                      <w:ind w:firstLineChars="0" w:firstLine="0"/>
                      <w:rPr>
                        <w:rFonts w:ascii="楷体" w:eastAsia="楷体" w:hAnsi="楷体" w:hint="eastAsia"/>
                        <w:lang w:eastAsia="zh-CN"/>
                      </w:rPr>
                    </w:pPr>
                    <w:r>
                      <w:rPr>
                        <w:rFonts w:ascii="楷体" w:eastAsia="楷体" w:hAnsi="楷体" w:hint="eastAsia"/>
                        <w:b/>
                        <w:color w:val="FFFFFF"/>
                        <w:sz w:val="30"/>
                        <w:szCs w:val="30"/>
                        <w:lang w:eastAsia="zh-CN"/>
                      </w:rPr>
                      <w:t>CEEM 全球宏观经济季度报告（专题）</w:t>
                    </w:r>
                  </w:p>
                  <w:p w14:paraId="43602A2D" w14:textId="77777777" w:rsidR="00894D49" w:rsidRDefault="00894D49" w:rsidP="00D51929">
                    <w:pPr>
                      <w:ind w:firstLine="480"/>
                      <w:rPr>
                        <w:rFonts w:ascii="楷体" w:eastAsia="楷体" w:hAnsi="楷体" w:hint="eastAsia"/>
                        <w:lang w:eastAsia="zh-CN"/>
                      </w:rPr>
                    </w:pPr>
                  </w:p>
                  <w:p w14:paraId="5B3ED1A5" w14:textId="77777777" w:rsidR="00894D49" w:rsidRDefault="00894D49" w:rsidP="00D51929">
                    <w:pPr>
                      <w:ind w:firstLine="480"/>
                      <w:rPr>
                        <w:rFonts w:ascii="楷体" w:eastAsia="楷体" w:hAnsi="楷体" w:hint="eastAsia"/>
                        <w:lang w:eastAsia="zh-CN"/>
                      </w:rPr>
                    </w:pPr>
                  </w:p>
                  <w:p w14:paraId="13FD83DB" w14:textId="77777777" w:rsidR="00894D49" w:rsidRDefault="00894D49" w:rsidP="00D51929">
                    <w:pPr>
                      <w:ind w:firstLine="480"/>
                      <w:rPr>
                        <w:rFonts w:ascii="楷体" w:eastAsia="楷体" w:hAnsi="楷体" w:hint="eastAsia"/>
                        <w:lang w:eastAsia="zh-CN"/>
                      </w:rPr>
                    </w:pPr>
                  </w:p>
                  <w:p w14:paraId="7FB82506" w14:textId="77777777" w:rsidR="00894D49" w:rsidRDefault="00894D49" w:rsidP="00D51929">
                    <w:pPr>
                      <w:ind w:firstLineChars="0" w:firstLine="0"/>
                      <w:rPr>
                        <w:rFonts w:ascii="楷体" w:eastAsia="楷体" w:hAnsi="楷体" w:hint="eastAsia"/>
                        <w:lang w:eastAsia="zh-CN"/>
                      </w:rPr>
                    </w:pPr>
                    <w:r>
                      <w:rPr>
                        <w:rFonts w:ascii="楷体" w:eastAsia="楷体" w:hAnsi="楷体"/>
                        <w:b/>
                        <w:color w:val="FFFFFF"/>
                        <w:sz w:val="30"/>
                        <w:szCs w:val="30"/>
                        <w:lang w:eastAsia="zh-CN"/>
                      </w:rPr>
                      <w:t>C</w:t>
                    </w:r>
                    <w:r>
                      <w:rPr>
                        <w:rFonts w:ascii="楷体" w:eastAsia="楷体" w:hAnsi="楷体" w:hint="eastAsia"/>
                        <w:b/>
                        <w:color w:val="FFFFFF"/>
                        <w:sz w:val="30"/>
                        <w:szCs w:val="30"/>
                        <w:lang w:eastAsia="zh-CN"/>
                      </w:rPr>
                      <w:t>EEM 全球宏观经济季度报告（专题）</w:t>
                    </w:r>
                  </w:p>
                  <w:p w14:paraId="5671476C" w14:textId="77777777" w:rsidR="00894D49" w:rsidRDefault="00894D49" w:rsidP="00D51929">
                    <w:pPr>
                      <w:ind w:firstLine="602"/>
                      <w:rPr>
                        <w:rFonts w:ascii="楷体" w:eastAsia="楷体" w:hAnsi="楷体" w:hint="eastAsia"/>
                        <w:lang w:eastAsia="zh-CN"/>
                      </w:rPr>
                    </w:pPr>
                    <w:r>
                      <w:rPr>
                        <w:rFonts w:ascii="楷体" w:eastAsia="楷体" w:hAnsi="楷体" w:hint="eastAsia"/>
                        <w:b/>
                        <w:color w:val="FFFFFF"/>
                        <w:sz w:val="30"/>
                        <w:szCs w:val="30"/>
                        <w:lang w:eastAsia="zh-CN"/>
                      </w:rPr>
                      <w:t>CEEM 全球宏观经济季度报告（下篇）</w:t>
                    </w:r>
                  </w:p>
                </w:txbxContent>
              </v:textbox>
            </v:shape>
          </w:pict>
        </mc:Fallback>
      </mc:AlternateContent>
    </w:r>
    <w:r>
      <w:rPr>
        <w:noProof/>
      </w:rPr>
      <mc:AlternateContent>
        <mc:Choice Requires="wps">
          <w:drawing>
            <wp:anchor distT="0" distB="0" distL="114300" distR="114300" simplePos="0" relativeHeight="251722752" behindDoc="0" locked="0" layoutInCell="1" allowOverlap="1" wp14:anchorId="062F1F38" wp14:editId="58CD5114">
              <wp:simplePos x="0" y="0"/>
              <wp:positionH relativeFrom="column">
                <wp:posOffset>-473075</wp:posOffset>
              </wp:positionH>
              <wp:positionV relativeFrom="paragraph">
                <wp:posOffset>-172085</wp:posOffset>
              </wp:positionV>
              <wp:extent cx="3810000" cy="327660"/>
              <wp:effectExtent l="0" t="0" r="0" b="0"/>
              <wp:wrapNone/>
              <wp:docPr id="2004023705" name="文本框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327660"/>
                      </a:xfrm>
                      <a:prstGeom prst="rect">
                        <a:avLst/>
                      </a:prstGeom>
                      <a:solidFill>
                        <a:srgbClr val="FFFFFF">
                          <a:alpha val="0"/>
                        </a:srgbClr>
                      </a:solidFill>
                      <a:ln>
                        <a:noFill/>
                      </a:ln>
                    </wps:spPr>
                    <wps:txbx>
                      <w:txbxContent>
                        <w:p w14:paraId="52CDD7F8" w14:textId="77777777" w:rsidR="00894D49" w:rsidRDefault="00894D49">
                          <w:pPr>
                            <w:ind w:firstLineChars="0" w:firstLine="0"/>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w:t>
                          </w:r>
                        </w:p>
                        <w:p w14:paraId="3DE327DA" w14:textId="77777777" w:rsidR="00894D49" w:rsidRDefault="00894D49">
                          <w:pPr>
                            <w:ind w:firstLineChars="0" w:firstLine="0"/>
                            <w:rPr>
                              <w:rFonts w:ascii="楷体" w:eastAsia="楷体" w:hAnsi="楷体"/>
                              <w:lang w:eastAsia="zh-CN"/>
                            </w:rPr>
                          </w:pPr>
                          <w:r>
                            <w:rPr>
                              <w:rFonts w:ascii="楷体" w:eastAsia="楷体" w:hAnsi="楷体" w:hint="eastAsia"/>
                              <w:b/>
                              <w:color w:val="FFFFFF"/>
                              <w:sz w:val="30"/>
                              <w:szCs w:val="30"/>
                              <w:lang w:eastAsia="zh-CN"/>
                            </w:rPr>
                            <w:t>CEEM 全球宏观经济季度报告（专题）</w:t>
                          </w:r>
                        </w:p>
                        <w:p w14:paraId="4E7C991B" w14:textId="77777777" w:rsidR="00894D49" w:rsidRDefault="00894D49">
                          <w:pPr>
                            <w:ind w:firstLine="480"/>
                            <w:rPr>
                              <w:rFonts w:ascii="楷体" w:eastAsia="楷体" w:hAnsi="楷体"/>
                              <w:lang w:eastAsia="zh-CN"/>
                            </w:rPr>
                          </w:pPr>
                        </w:p>
                        <w:p w14:paraId="1D0A8284" w14:textId="77777777" w:rsidR="00894D49" w:rsidRDefault="00894D49">
                          <w:pPr>
                            <w:ind w:firstLine="480"/>
                            <w:rPr>
                              <w:rFonts w:ascii="楷体" w:eastAsia="楷体" w:hAnsi="楷体"/>
                              <w:lang w:eastAsia="zh-CN"/>
                            </w:rPr>
                          </w:pPr>
                        </w:p>
                        <w:p w14:paraId="373DD666" w14:textId="77777777" w:rsidR="00894D49" w:rsidRDefault="00894D49">
                          <w:pPr>
                            <w:ind w:firstLine="480"/>
                            <w:rPr>
                              <w:rFonts w:ascii="楷体" w:eastAsia="楷体" w:hAnsi="楷体"/>
                              <w:lang w:eastAsia="zh-CN"/>
                            </w:rPr>
                          </w:pPr>
                        </w:p>
                        <w:p w14:paraId="5A56D5BA" w14:textId="77777777" w:rsidR="00894D49" w:rsidRDefault="00894D49">
                          <w:pPr>
                            <w:ind w:firstLineChars="0" w:firstLine="0"/>
                            <w:rPr>
                              <w:rFonts w:ascii="楷体" w:eastAsia="楷体" w:hAnsi="楷体"/>
                              <w:lang w:eastAsia="zh-CN"/>
                            </w:rPr>
                          </w:pPr>
                          <w:r>
                            <w:rPr>
                              <w:rFonts w:ascii="楷体" w:eastAsia="楷体" w:hAnsi="楷体"/>
                              <w:b/>
                              <w:color w:val="FFFFFF"/>
                              <w:sz w:val="30"/>
                              <w:szCs w:val="30"/>
                              <w:lang w:eastAsia="zh-CN"/>
                            </w:rPr>
                            <w:t>C</w:t>
                          </w:r>
                          <w:r>
                            <w:rPr>
                              <w:rFonts w:ascii="楷体" w:eastAsia="楷体" w:hAnsi="楷体" w:hint="eastAsia"/>
                              <w:b/>
                              <w:color w:val="FFFFFF"/>
                              <w:sz w:val="30"/>
                              <w:szCs w:val="30"/>
                              <w:lang w:eastAsia="zh-CN"/>
                            </w:rPr>
                            <w:t>EEM 全球宏观经济季度报告（专题）</w:t>
                          </w:r>
                        </w:p>
                        <w:p w14:paraId="50523622" w14:textId="77777777" w:rsidR="00894D49" w:rsidRDefault="00894D49">
                          <w:pPr>
                            <w:ind w:firstLine="602"/>
                            <w:rPr>
                              <w:rFonts w:ascii="楷体" w:eastAsia="楷体" w:hAnsi="楷体"/>
                              <w:lang w:eastAsia="zh-CN"/>
                            </w:rPr>
                          </w:pPr>
                          <w:r>
                            <w:rPr>
                              <w:rFonts w:ascii="楷体" w:eastAsia="楷体" w:hAnsi="楷体" w:hint="eastAsia"/>
                              <w:b/>
                              <w:color w:val="FFFFFF"/>
                              <w:sz w:val="30"/>
                              <w:szCs w:val="30"/>
                              <w:lang w:eastAsia="zh-CN"/>
                            </w:rPr>
                            <w:t>CEEM 全球宏观经济季度报告（下篇）</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2F1F38" id="_x0000_s1036" type="#_x0000_t202" style="position:absolute;left:0;text-align:left;margin-left:-37.25pt;margin-top:-13.55pt;width:300pt;height:25.8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" stroked="f">
              <v:fill opacity="0"/>
              <v:textbox>
                <w:txbxContent>
                  <w:p w14:paraId="52CDD7F8" w14:textId="77777777" w:rsidR="00894D49" w:rsidRDefault="00894D49">
                    <w:pPr>
                      <w:ind w:firstLineChars="0" w:firstLine="0"/>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w:t>
                    </w:r>
                  </w:p>
                  <w:p w14:paraId="3DE327DA" w14:textId="77777777" w:rsidR="00894D49" w:rsidRDefault="00894D49">
                    <w:pPr>
                      <w:ind w:firstLineChars="0" w:firstLine="0"/>
                      <w:rPr>
                        <w:rFonts w:ascii="楷体" w:eastAsia="楷体" w:hAnsi="楷体" w:hint="eastAsia"/>
                        <w:lang w:eastAsia="zh-CN"/>
                      </w:rPr>
                    </w:pPr>
                    <w:r>
                      <w:rPr>
                        <w:rFonts w:ascii="楷体" w:eastAsia="楷体" w:hAnsi="楷体" w:hint="eastAsia"/>
                        <w:b/>
                        <w:color w:val="FFFFFF"/>
                        <w:sz w:val="30"/>
                        <w:szCs w:val="30"/>
                        <w:lang w:eastAsia="zh-CN"/>
                      </w:rPr>
                      <w:t>CEEM 全球宏观经济季度报告（专题）</w:t>
                    </w:r>
                  </w:p>
                  <w:p w14:paraId="4E7C991B" w14:textId="77777777" w:rsidR="00894D49" w:rsidRDefault="00894D49">
                    <w:pPr>
                      <w:ind w:firstLine="480"/>
                      <w:rPr>
                        <w:rFonts w:ascii="楷体" w:eastAsia="楷体" w:hAnsi="楷体" w:hint="eastAsia"/>
                        <w:lang w:eastAsia="zh-CN"/>
                      </w:rPr>
                    </w:pPr>
                  </w:p>
                  <w:p w14:paraId="1D0A8284" w14:textId="77777777" w:rsidR="00894D49" w:rsidRDefault="00894D49">
                    <w:pPr>
                      <w:ind w:firstLine="480"/>
                      <w:rPr>
                        <w:rFonts w:ascii="楷体" w:eastAsia="楷体" w:hAnsi="楷体" w:hint="eastAsia"/>
                        <w:lang w:eastAsia="zh-CN"/>
                      </w:rPr>
                    </w:pPr>
                  </w:p>
                  <w:p w14:paraId="373DD666" w14:textId="77777777" w:rsidR="00894D49" w:rsidRDefault="00894D49">
                    <w:pPr>
                      <w:ind w:firstLine="480"/>
                      <w:rPr>
                        <w:rFonts w:ascii="楷体" w:eastAsia="楷体" w:hAnsi="楷体" w:hint="eastAsia"/>
                        <w:lang w:eastAsia="zh-CN"/>
                      </w:rPr>
                    </w:pPr>
                  </w:p>
                  <w:p w14:paraId="5A56D5BA" w14:textId="77777777" w:rsidR="00894D49" w:rsidRDefault="00894D49">
                    <w:pPr>
                      <w:ind w:firstLineChars="0" w:firstLine="0"/>
                      <w:rPr>
                        <w:rFonts w:ascii="楷体" w:eastAsia="楷体" w:hAnsi="楷体" w:hint="eastAsia"/>
                        <w:lang w:eastAsia="zh-CN"/>
                      </w:rPr>
                    </w:pPr>
                    <w:r>
                      <w:rPr>
                        <w:rFonts w:ascii="楷体" w:eastAsia="楷体" w:hAnsi="楷体"/>
                        <w:b/>
                        <w:color w:val="FFFFFF"/>
                        <w:sz w:val="30"/>
                        <w:szCs w:val="30"/>
                        <w:lang w:eastAsia="zh-CN"/>
                      </w:rPr>
                      <w:t>C</w:t>
                    </w:r>
                    <w:r>
                      <w:rPr>
                        <w:rFonts w:ascii="楷体" w:eastAsia="楷体" w:hAnsi="楷体" w:hint="eastAsia"/>
                        <w:b/>
                        <w:color w:val="FFFFFF"/>
                        <w:sz w:val="30"/>
                        <w:szCs w:val="30"/>
                        <w:lang w:eastAsia="zh-CN"/>
                      </w:rPr>
                      <w:t>EEM 全球宏观经济季度报告（专题）</w:t>
                    </w:r>
                  </w:p>
                  <w:p w14:paraId="50523622" w14:textId="77777777" w:rsidR="00894D49" w:rsidRDefault="00894D49">
                    <w:pPr>
                      <w:ind w:firstLine="602"/>
                      <w:rPr>
                        <w:rFonts w:ascii="楷体" w:eastAsia="楷体" w:hAnsi="楷体" w:hint="eastAsia"/>
                        <w:lang w:eastAsia="zh-CN"/>
                      </w:rPr>
                    </w:pPr>
                    <w:r>
                      <w:rPr>
                        <w:rFonts w:ascii="楷体" w:eastAsia="楷体" w:hAnsi="楷体" w:hint="eastAsia"/>
                        <w:b/>
                        <w:color w:val="FFFFFF"/>
                        <w:sz w:val="30"/>
                        <w:szCs w:val="30"/>
                        <w:lang w:eastAsia="zh-CN"/>
                      </w:rPr>
                      <w:t>CEEM 全球宏观经济季度报告（下篇）</w:t>
                    </w:r>
                  </w:p>
                </w:txbxContent>
              </v:textbox>
            </v:shape>
          </w:pict>
        </mc:Fallback>
      </mc:AlternateContent>
    </w:r>
    <w:r>
      <w:rPr>
        <w:noProof/>
      </w:rPr>
      <mc:AlternateContent>
        <mc:Choice Requires="wps">
          <w:drawing>
            <wp:anchor distT="0" distB="0" distL="114300" distR="114300" simplePos="0" relativeHeight="251721728" behindDoc="0" locked="0" layoutInCell="1" allowOverlap="1" wp14:anchorId="57AC4CC6" wp14:editId="080A1FF9">
              <wp:simplePos x="0" y="0"/>
              <wp:positionH relativeFrom="column">
                <wp:posOffset>-381000</wp:posOffset>
              </wp:positionH>
              <wp:positionV relativeFrom="paragraph">
                <wp:posOffset>129540</wp:posOffset>
              </wp:positionV>
              <wp:extent cx="6120000" cy="0"/>
              <wp:effectExtent l="0" t="19050" r="33655" b="19050"/>
              <wp:wrapNone/>
              <wp:docPr id="2004023706" name="直接连接符 29"/>
              <wp:cNvGraphicFramePr/>
              <a:graphic xmlns:a="http://schemas.openxmlformats.org/drawingml/2006/main">
                <a:graphicData uri="http://schemas.microsoft.com/office/word/2010/wordprocessingShape">
                  <wps:wsp>
                    <wps:cNvCnPr/>
                    <wps:spPr>
                      <a:xfrm>
                        <a:off x="0" y="0"/>
                        <a:ext cx="6120000" cy="0"/>
                      </a:xfrm>
                      <a:prstGeom prst="line">
                        <a:avLst/>
                      </a:prstGeom>
                      <a:ln w="28575">
                        <a:solidFill>
                          <a:srgbClr val="106D9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B435393" id="直接连接符 29" o:spid="_x0000_s1026" style="position:absolute;left:0;text-align:lef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pt,10.2pt" to="451.9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" strokecolor="#106d9c" strokeweight="2.25pt"/>
          </w:pict>
        </mc:Fallback>
      </mc:AlternateContent>
    </w:r>
    <w:r>
      <w:rPr>
        <w:noProof/>
      </w:rPr>
      <mc:AlternateContent>
        <mc:Choice Requires="wps">
          <w:drawing>
            <wp:anchor distT="0" distB="0" distL="114300" distR="114300" simplePos="0" relativeHeight="251720704" behindDoc="0" locked="0" layoutInCell="1" allowOverlap="1" wp14:anchorId="07795759" wp14:editId="5518942C">
              <wp:simplePos x="0" y="0"/>
              <wp:positionH relativeFrom="column">
                <wp:posOffset>-722630</wp:posOffset>
              </wp:positionH>
              <wp:positionV relativeFrom="paragraph">
                <wp:posOffset>-243840</wp:posOffset>
              </wp:positionV>
              <wp:extent cx="3790950" cy="327660"/>
              <wp:effectExtent l="0" t="0" r="0" b="0"/>
              <wp:wrapNone/>
              <wp:docPr id="2004023707" name="文本框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327660"/>
                      </a:xfrm>
                      <a:prstGeom prst="rect">
                        <a:avLst/>
                      </a:prstGeom>
                      <a:solidFill>
                        <a:srgbClr val="FFFFFF">
                          <a:alpha val="0"/>
                        </a:srgbClr>
                      </a:solidFill>
                      <a:ln>
                        <a:noFill/>
                      </a:ln>
                    </wps:spPr>
                    <wps:txbx>
                      <w:txbxContent>
                        <w:p w14:paraId="26E6D9DD" w14:textId="77777777" w:rsidR="00894D49" w:rsidRDefault="00894D49">
                          <w:pPr>
                            <w:ind w:firstLine="480"/>
                          </w:pPr>
                        </w:p>
                        <w:p w14:paraId="0140B2C1" w14:textId="77777777" w:rsidR="00894D49" w:rsidRDefault="00894D49">
                          <w:pPr>
                            <w:ind w:firstLine="480"/>
                          </w:pPr>
                        </w:p>
                        <w:p w14:paraId="2A1643D2" w14:textId="77777777" w:rsidR="00894D49" w:rsidRDefault="00894D49">
                          <w:pPr>
                            <w:ind w:firstLine="480"/>
                          </w:pPr>
                        </w:p>
                        <w:p w14:paraId="3334A17D" w14:textId="77777777" w:rsidR="00894D49" w:rsidRDefault="00894D49">
                          <w:pPr>
                            <w:spacing w:line="240" w:lineRule="auto"/>
                            <w:ind w:firstLineChars="0" w:firstLine="0"/>
                            <w:rPr>
                              <w:rFonts w:ascii="黑体" w:eastAsia="黑体" w:hAnsi="黑体"/>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0524015B" w14:textId="77777777" w:rsidR="00894D49" w:rsidRDefault="00894D49">
                          <w:pPr>
                            <w:ind w:firstLine="480"/>
                            <w:rPr>
                              <w:lang w:eastAsia="zh-CN"/>
                            </w:rPr>
                          </w:pPr>
                        </w:p>
                        <w:p w14:paraId="5154C016" w14:textId="77777777" w:rsidR="00894D49" w:rsidRDefault="00894D49">
                          <w:pPr>
                            <w:spacing w:line="240" w:lineRule="auto"/>
                            <w:ind w:firstLineChars="0" w:firstLine="0"/>
                            <w:rPr>
                              <w:rFonts w:ascii="黑体" w:eastAsia="黑体" w:hAnsi="黑体"/>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3B59DAC8" w14:textId="77777777" w:rsidR="00894D49" w:rsidRDefault="00894D49">
                          <w:pPr>
                            <w:ind w:firstLine="480"/>
                            <w:rPr>
                              <w:lang w:eastAsia="zh-CN"/>
                            </w:rPr>
                          </w:pPr>
                        </w:p>
                        <w:p w14:paraId="012AF118" w14:textId="77777777" w:rsidR="00894D49" w:rsidRDefault="00894D49">
                          <w:pPr>
                            <w:ind w:firstLine="480"/>
                            <w:rPr>
                              <w:lang w:eastAsia="zh-CN"/>
                            </w:rPr>
                          </w:pPr>
                        </w:p>
                        <w:p w14:paraId="676FCF4D" w14:textId="77777777" w:rsidR="00894D49" w:rsidRDefault="00894D49">
                          <w:pPr>
                            <w:spacing w:line="240" w:lineRule="auto"/>
                            <w:ind w:firstLineChars="0" w:firstLine="0"/>
                            <w:rPr>
                              <w:rFonts w:ascii="黑体" w:eastAsia="黑体" w:hAnsi="黑体"/>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4770B5E8" w14:textId="77777777" w:rsidR="00894D49" w:rsidRDefault="00894D49">
                          <w:pPr>
                            <w:ind w:firstLine="480"/>
                            <w:rPr>
                              <w:lang w:eastAsia="zh-CN"/>
                            </w:rPr>
                          </w:pPr>
                        </w:p>
                        <w:p w14:paraId="49FF7107" w14:textId="77777777" w:rsidR="00894D49" w:rsidRDefault="00894D49">
                          <w:pPr>
                            <w:ind w:firstLine="602"/>
                            <w:rPr>
                              <w:lang w:eastAsia="zh-CN"/>
                            </w:rPr>
                          </w:pPr>
                          <w:r>
                            <w:rPr>
                              <w:rFonts w:ascii="黑体" w:eastAsia="黑体" w:hAnsi="黑体" w:hint="eastAsia"/>
                              <w:b/>
                              <w:color w:val="FFFFFF"/>
                              <w:sz w:val="30"/>
                              <w:szCs w:val="30"/>
                              <w:lang w:eastAsia="zh-CN"/>
                            </w:rPr>
                            <w:t>CEEM 全球宏观经济季度报告（专题）</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795759" id="_x0000_s1037" type="#_x0000_t202" style="position:absolute;left:0;text-align:left;margin-left:-56.9pt;margin-top:-19.2pt;width:298.5pt;height:25.8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" stroked="f">
              <v:fill opacity="0"/>
              <v:textbox>
                <w:txbxContent>
                  <w:p w14:paraId="26E6D9DD" w14:textId="77777777" w:rsidR="00894D49" w:rsidRDefault="00894D49">
                    <w:pPr>
                      <w:ind w:firstLine="480"/>
                    </w:pPr>
                  </w:p>
                  <w:p w14:paraId="0140B2C1" w14:textId="77777777" w:rsidR="00894D49" w:rsidRDefault="00894D49">
                    <w:pPr>
                      <w:ind w:firstLine="480"/>
                    </w:pPr>
                  </w:p>
                  <w:p w14:paraId="2A1643D2" w14:textId="77777777" w:rsidR="00894D49" w:rsidRDefault="00894D49">
                    <w:pPr>
                      <w:ind w:firstLine="480"/>
                    </w:pPr>
                  </w:p>
                  <w:p w14:paraId="3334A17D" w14:textId="77777777" w:rsidR="00894D49" w:rsidRDefault="00894D49">
                    <w:pPr>
                      <w:spacing w:line="240" w:lineRule="auto"/>
                      <w:ind w:firstLineChars="0" w:firstLine="0"/>
                      <w:rPr>
                        <w:rFonts w:ascii="黑体" w:eastAsia="黑体" w:hAnsi="黑体" w:hint="eastAsia"/>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0524015B" w14:textId="77777777" w:rsidR="00894D49" w:rsidRDefault="00894D49">
                    <w:pPr>
                      <w:ind w:firstLine="480"/>
                      <w:rPr>
                        <w:lang w:eastAsia="zh-CN"/>
                      </w:rPr>
                    </w:pPr>
                  </w:p>
                  <w:p w14:paraId="5154C016" w14:textId="77777777" w:rsidR="00894D49" w:rsidRDefault="00894D49">
                    <w:pPr>
                      <w:spacing w:line="240" w:lineRule="auto"/>
                      <w:ind w:firstLineChars="0" w:firstLine="0"/>
                      <w:rPr>
                        <w:rFonts w:ascii="黑体" w:eastAsia="黑体" w:hAnsi="黑体" w:hint="eastAsia"/>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3B59DAC8" w14:textId="77777777" w:rsidR="00894D49" w:rsidRDefault="00894D49">
                    <w:pPr>
                      <w:ind w:firstLine="480"/>
                      <w:rPr>
                        <w:lang w:eastAsia="zh-CN"/>
                      </w:rPr>
                    </w:pPr>
                  </w:p>
                  <w:p w14:paraId="012AF118" w14:textId="77777777" w:rsidR="00894D49" w:rsidRDefault="00894D49">
                    <w:pPr>
                      <w:ind w:firstLine="480"/>
                      <w:rPr>
                        <w:lang w:eastAsia="zh-CN"/>
                      </w:rPr>
                    </w:pPr>
                  </w:p>
                  <w:p w14:paraId="676FCF4D" w14:textId="77777777" w:rsidR="00894D49" w:rsidRDefault="00894D49">
                    <w:pPr>
                      <w:spacing w:line="240" w:lineRule="auto"/>
                      <w:ind w:firstLineChars="0" w:firstLine="0"/>
                      <w:rPr>
                        <w:rFonts w:ascii="黑体" w:eastAsia="黑体" w:hAnsi="黑体" w:hint="eastAsia"/>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4770B5E8" w14:textId="77777777" w:rsidR="00894D49" w:rsidRDefault="00894D49">
                    <w:pPr>
                      <w:ind w:firstLine="480"/>
                      <w:rPr>
                        <w:lang w:eastAsia="zh-CN"/>
                      </w:rPr>
                    </w:pPr>
                  </w:p>
                  <w:p w14:paraId="49FF7107" w14:textId="77777777" w:rsidR="00894D49" w:rsidRDefault="00894D49">
                    <w:pPr>
                      <w:ind w:firstLine="602"/>
                      <w:rPr>
                        <w:lang w:eastAsia="zh-CN"/>
                      </w:rPr>
                    </w:pPr>
                    <w:r>
                      <w:rPr>
                        <w:rFonts w:ascii="黑体" w:eastAsia="黑体" w:hAnsi="黑体" w:hint="eastAsia"/>
                        <w:b/>
                        <w:color w:val="FFFFFF"/>
                        <w:sz w:val="30"/>
                        <w:szCs w:val="30"/>
                        <w:lang w:eastAsia="zh-CN"/>
                      </w:rPr>
                      <w:t>CEEM 全球宏观经济季度报告（专题）</w:t>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662E8C" w14:textId="77777777" w:rsidR="00785244" w:rsidRDefault="00785244">
    <w:pPr>
      <w:pStyle w:val="21"/>
      <w:spacing w:before="120"/>
      <w:ind w:firstLine="480"/>
    </w:pPr>
    <w:r>
      <w:rPr>
        <w:noProof/>
      </w:rPr>
      <mc:AlternateContent>
        <mc:Choice Requires="wps">
          <w:drawing>
            <wp:anchor distT="0" distB="0" distL="114300" distR="114300" simplePos="0" relativeHeight="251749376" behindDoc="0" locked="0" layoutInCell="1" allowOverlap="1" wp14:anchorId="3B1477BE" wp14:editId="1B42876C">
              <wp:simplePos x="0" y="0"/>
              <wp:positionH relativeFrom="column">
                <wp:posOffset>4907280</wp:posOffset>
              </wp:positionH>
              <wp:positionV relativeFrom="paragraph">
                <wp:posOffset>-174625</wp:posOffset>
              </wp:positionV>
              <wp:extent cx="3810000" cy="327660"/>
              <wp:effectExtent l="0" t="0" r="0" b="0"/>
              <wp:wrapNone/>
              <wp:docPr id="879298965" name="文本框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327660"/>
                      </a:xfrm>
                      <a:prstGeom prst="rect">
                        <a:avLst/>
                      </a:prstGeom>
                      <a:solidFill>
                        <a:srgbClr val="FFFFFF">
                          <a:alpha val="0"/>
                        </a:srgbClr>
                      </a:solidFill>
                      <a:ln>
                        <a:noFill/>
                      </a:ln>
                    </wps:spPr>
                    <wps:txbx>
                      <w:txbxContent>
                        <w:p w14:paraId="3AFE97F6" w14:textId="2D79F08A" w:rsidR="00785244" w:rsidRDefault="00785244" w:rsidP="00D51929">
                          <w:pPr>
                            <w:ind w:firstLineChars="0" w:firstLine="0"/>
                            <w:rPr>
                              <w:rFonts w:eastAsia="楷体"/>
                              <w:color w:val="106D9C"/>
                              <w:lang w:eastAsia="zh-CN"/>
                            </w:rPr>
                          </w:pPr>
                          <w:r>
                            <w:rPr>
                              <w:rFonts w:eastAsia="楷体"/>
                              <w:b/>
                              <w:color w:val="106D9C"/>
                              <w:sz w:val="30"/>
                              <w:szCs w:val="30"/>
                              <w:lang w:eastAsia="zh-CN"/>
                            </w:rPr>
                            <w:t>欧洲</w:t>
                          </w:r>
                          <w:r>
                            <w:rPr>
                              <w:rFonts w:eastAsia="楷体" w:hint="eastAsia"/>
                              <w:b/>
                              <w:color w:val="106D9C"/>
                              <w:sz w:val="30"/>
                              <w:szCs w:val="30"/>
                              <w:lang w:eastAsia="zh-CN"/>
                            </w:rPr>
                            <w:t>专题</w:t>
                          </w:r>
                        </w:p>
                        <w:p w14:paraId="54187C07" w14:textId="77777777" w:rsidR="00785244" w:rsidRDefault="00785244" w:rsidP="00D51929">
                          <w:pPr>
                            <w:ind w:firstLineChars="0" w:firstLine="0"/>
                            <w:rPr>
                              <w:rFonts w:ascii="楷体" w:eastAsia="楷体" w:hAnsi="楷体"/>
                              <w:lang w:eastAsia="zh-CN"/>
                            </w:rPr>
                          </w:pPr>
                          <w:r>
                            <w:rPr>
                              <w:rFonts w:ascii="楷体" w:eastAsia="楷体" w:hAnsi="楷体" w:hint="eastAsia"/>
                              <w:b/>
                              <w:color w:val="FFFFFF"/>
                              <w:sz w:val="30"/>
                              <w:szCs w:val="30"/>
                              <w:lang w:eastAsia="zh-CN"/>
                            </w:rPr>
                            <w:t>CEEM 全球宏观经济季度报告（专题）</w:t>
                          </w:r>
                        </w:p>
                        <w:p w14:paraId="4A5AF335" w14:textId="77777777" w:rsidR="00785244" w:rsidRDefault="00785244" w:rsidP="00D51929">
                          <w:pPr>
                            <w:ind w:firstLine="480"/>
                            <w:rPr>
                              <w:rFonts w:ascii="楷体" w:eastAsia="楷体" w:hAnsi="楷体"/>
                              <w:lang w:eastAsia="zh-CN"/>
                            </w:rPr>
                          </w:pPr>
                        </w:p>
                        <w:p w14:paraId="1E3109DA" w14:textId="77777777" w:rsidR="00785244" w:rsidRDefault="00785244" w:rsidP="00D51929">
                          <w:pPr>
                            <w:ind w:firstLine="480"/>
                            <w:rPr>
                              <w:rFonts w:ascii="楷体" w:eastAsia="楷体" w:hAnsi="楷体"/>
                              <w:lang w:eastAsia="zh-CN"/>
                            </w:rPr>
                          </w:pPr>
                        </w:p>
                        <w:p w14:paraId="5A53C29D" w14:textId="77777777" w:rsidR="00785244" w:rsidRDefault="00785244" w:rsidP="00D51929">
                          <w:pPr>
                            <w:ind w:firstLine="480"/>
                            <w:rPr>
                              <w:rFonts w:ascii="楷体" w:eastAsia="楷体" w:hAnsi="楷体"/>
                              <w:lang w:eastAsia="zh-CN"/>
                            </w:rPr>
                          </w:pPr>
                        </w:p>
                        <w:p w14:paraId="5A5DF9BE" w14:textId="77777777" w:rsidR="00785244" w:rsidRDefault="00785244" w:rsidP="00D51929">
                          <w:pPr>
                            <w:ind w:firstLineChars="0" w:firstLine="0"/>
                            <w:rPr>
                              <w:rFonts w:ascii="楷体" w:eastAsia="楷体" w:hAnsi="楷体"/>
                              <w:lang w:eastAsia="zh-CN"/>
                            </w:rPr>
                          </w:pPr>
                          <w:r>
                            <w:rPr>
                              <w:rFonts w:ascii="楷体" w:eastAsia="楷体" w:hAnsi="楷体"/>
                              <w:b/>
                              <w:color w:val="FFFFFF"/>
                              <w:sz w:val="30"/>
                              <w:szCs w:val="30"/>
                              <w:lang w:eastAsia="zh-CN"/>
                            </w:rPr>
                            <w:t>C</w:t>
                          </w:r>
                          <w:r>
                            <w:rPr>
                              <w:rFonts w:ascii="楷体" w:eastAsia="楷体" w:hAnsi="楷体" w:hint="eastAsia"/>
                              <w:b/>
                              <w:color w:val="FFFFFF"/>
                              <w:sz w:val="30"/>
                              <w:szCs w:val="30"/>
                              <w:lang w:eastAsia="zh-CN"/>
                            </w:rPr>
                            <w:t>EEM 全球宏观经济季度报告（专题）</w:t>
                          </w:r>
                        </w:p>
                        <w:p w14:paraId="6242DFC3" w14:textId="77777777" w:rsidR="00785244" w:rsidRDefault="00785244" w:rsidP="00D51929">
                          <w:pPr>
                            <w:ind w:firstLine="602"/>
                            <w:rPr>
                              <w:rFonts w:ascii="楷体" w:eastAsia="楷体" w:hAnsi="楷体"/>
                              <w:lang w:eastAsia="zh-CN"/>
                            </w:rPr>
                          </w:pPr>
                          <w:r>
                            <w:rPr>
                              <w:rFonts w:ascii="楷体" w:eastAsia="楷体" w:hAnsi="楷体" w:hint="eastAsia"/>
                              <w:b/>
                              <w:color w:val="FFFFFF"/>
                              <w:sz w:val="30"/>
                              <w:szCs w:val="30"/>
                              <w:lang w:eastAsia="zh-CN"/>
                            </w:rPr>
                            <w:t>CEEM 全球宏观经济季度报告（下篇）</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B1477BE" id="_x0000_t202" coordsize="21600,21600" o:spt="202" path="m,l,21600r21600,l21600,xe">
              <v:stroke joinstyle="miter"/>
              <v:path gradientshapeok="t" o:connecttype="rect"/>
            </v:shapetype>
            <v:shape id="_x0000_s1038" type="#_x0000_t202" style="position:absolute;left:0;text-align:left;margin-left:386.4pt;margin-top:-13.75pt;width:300pt;height:25.8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" stroked="f">
              <v:fill opacity="0"/>
              <v:textbox>
                <w:txbxContent>
                  <w:p w14:paraId="3AFE97F6" w14:textId="2D79F08A" w:rsidR="00785244" w:rsidRDefault="00785244" w:rsidP="00D51929">
                    <w:pPr>
                      <w:ind w:firstLineChars="0" w:firstLine="0"/>
                      <w:rPr>
                        <w:rFonts w:eastAsia="楷体"/>
                        <w:color w:val="106D9C"/>
                        <w:lang w:eastAsia="zh-CN"/>
                      </w:rPr>
                    </w:pPr>
                    <w:r>
                      <w:rPr>
                        <w:rFonts w:eastAsia="楷体"/>
                        <w:b/>
                        <w:color w:val="106D9C"/>
                        <w:sz w:val="30"/>
                        <w:szCs w:val="30"/>
                        <w:lang w:eastAsia="zh-CN"/>
                      </w:rPr>
                      <w:t>欧洲</w:t>
                    </w:r>
                    <w:r>
                      <w:rPr>
                        <w:rFonts w:eastAsia="楷体" w:hint="eastAsia"/>
                        <w:b/>
                        <w:color w:val="106D9C"/>
                        <w:sz w:val="30"/>
                        <w:szCs w:val="30"/>
                        <w:lang w:eastAsia="zh-CN"/>
                      </w:rPr>
                      <w:t>专题</w:t>
                    </w:r>
                  </w:p>
                  <w:p w14:paraId="54187C07" w14:textId="77777777" w:rsidR="00785244" w:rsidRDefault="00785244" w:rsidP="00D51929">
                    <w:pPr>
                      <w:ind w:firstLineChars="0" w:firstLine="0"/>
                      <w:rPr>
                        <w:rFonts w:ascii="楷体" w:eastAsia="楷体" w:hAnsi="楷体" w:hint="eastAsia"/>
                        <w:lang w:eastAsia="zh-CN"/>
                      </w:rPr>
                    </w:pPr>
                    <w:r>
                      <w:rPr>
                        <w:rFonts w:ascii="楷体" w:eastAsia="楷体" w:hAnsi="楷体" w:hint="eastAsia"/>
                        <w:b/>
                        <w:color w:val="FFFFFF"/>
                        <w:sz w:val="30"/>
                        <w:szCs w:val="30"/>
                        <w:lang w:eastAsia="zh-CN"/>
                      </w:rPr>
                      <w:t>CEEM 全球宏观经济季度报告（专题）</w:t>
                    </w:r>
                  </w:p>
                  <w:p w14:paraId="4A5AF335" w14:textId="77777777" w:rsidR="00785244" w:rsidRDefault="00785244" w:rsidP="00D51929">
                    <w:pPr>
                      <w:ind w:firstLine="480"/>
                      <w:rPr>
                        <w:rFonts w:ascii="楷体" w:eastAsia="楷体" w:hAnsi="楷体" w:hint="eastAsia"/>
                        <w:lang w:eastAsia="zh-CN"/>
                      </w:rPr>
                    </w:pPr>
                  </w:p>
                  <w:p w14:paraId="1E3109DA" w14:textId="77777777" w:rsidR="00785244" w:rsidRDefault="00785244" w:rsidP="00D51929">
                    <w:pPr>
                      <w:ind w:firstLine="480"/>
                      <w:rPr>
                        <w:rFonts w:ascii="楷体" w:eastAsia="楷体" w:hAnsi="楷体" w:hint="eastAsia"/>
                        <w:lang w:eastAsia="zh-CN"/>
                      </w:rPr>
                    </w:pPr>
                  </w:p>
                  <w:p w14:paraId="5A53C29D" w14:textId="77777777" w:rsidR="00785244" w:rsidRDefault="00785244" w:rsidP="00D51929">
                    <w:pPr>
                      <w:ind w:firstLine="480"/>
                      <w:rPr>
                        <w:rFonts w:ascii="楷体" w:eastAsia="楷体" w:hAnsi="楷体" w:hint="eastAsia"/>
                        <w:lang w:eastAsia="zh-CN"/>
                      </w:rPr>
                    </w:pPr>
                  </w:p>
                  <w:p w14:paraId="5A5DF9BE" w14:textId="77777777" w:rsidR="00785244" w:rsidRDefault="00785244" w:rsidP="00D51929">
                    <w:pPr>
                      <w:ind w:firstLineChars="0" w:firstLine="0"/>
                      <w:rPr>
                        <w:rFonts w:ascii="楷体" w:eastAsia="楷体" w:hAnsi="楷体" w:hint="eastAsia"/>
                        <w:lang w:eastAsia="zh-CN"/>
                      </w:rPr>
                    </w:pPr>
                    <w:r>
                      <w:rPr>
                        <w:rFonts w:ascii="楷体" w:eastAsia="楷体" w:hAnsi="楷体"/>
                        <w:b/>
                        <w:color w:val="FFFFFF"/>
                        <w:sz w:val="30"/>
                        <w:szCs w:val="30"/>
                        <w:lang w:eastAsia="zh-CN"/>
                      </w:rPr>
                      <w:t>C</w:t>
                    </w:r>
                    <w:r>
                      <w:rPr>
                        <w:rFonts w:ascii="楷体" w:eastAsia="楷体" w:hAnsi="楷体" w:hint="eastAsia"/>
                        <w:b/>
                        <w:color w:val="FFFFFF"/>
                        <w:sz w:val="30"/>
                        <w:szCs w:val="30"/>
                        <w:lang w:eastAsia="zh-CN"/>
                      </w:rPr>
                      <w:t>EEM 全球宏观经济季度报告（专题）</w:t>
                    </w:r>
                  </w:p>
                  <w:p w14:paraId="6242DFC3" w14:textId="77777777" w:rsidR="00785244" w:rsidRDefault="00785244" w:rsidP="00D51929">
                    <w:pPr>
                      <w:ind w:firstLine="602"/>
                      <w:rPr>
                        <w:rFonts w:ascii="楷体" w:eastAsia="楷体" w:hAnsi="楷体" w:hint="eastAsia"/>
                        <w:lang w:eastAsia="zh-CN"/>
                      </w:rPr>
                    </w:pPr>
                    <w:r>
                      <w:rPr>
                        <w:rFonts w:ascii="楷体" w:eastAsia="楷体" w:hAnsi="楷体" w:hint="eastAsia"/>
                        <w:b/>
                        <w:color w:val="FFFFFF"/>
                        <w:sz w:val="30"/>
                        <w:szCs w:val="30"/>
                        <w:lang w:eastAsia="zh-CN"/>
                      </w:rPr>
                      <w:t>CEEM 全球宏观经济季度报告（下篇）</w:t>
                    </w:r>
                  </w:p>
                </w:txbxContent>
              </v:textbox>
            </v:shape>
          </w:pict>
        </mc:Fallback>
      </mc:AlternateContent>
    </w:r>
    <w:r>
      <w:rPr>
        <w:noProof/>
      </w:rPr>
      <mc:AlternateContent>
        <mc:Choice Requires="wps">
          <w:drawing>
            <wp:anchor distT="0" distB="0" distL="114300" distR="114300" simplePos="0" relativeHeight="251748352" behindDoc="0" locked="0" layoutInCell="1" allowOverlap="1" wp14:anchorId="6251F414" wp14:editId="7D0D85CB">
              <wp:simplePos x="0" y="0"/>
              <wp:positionH relativeFrom="column">
                <wp:posOffset>-473075</wp:posOffset>
              </wp:positionH>
              <wp:positionV relativeFrom="paragraph">
                <wp:posOffset>-172085</wp:posOffset>
              </wp:positionV>
              <wp:extent cx="3810000" cy="327660"/>
              <wp:effectExtent l="0" t="0" r="0" b="0"/>
              <wp:wrapNone/>
              <wp:docPr id="1743422078" name="文本框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327660"/>
                      </a:xfrm>
                      <a:prstGeom prst="rect">
                        <a:avLst/>
                      </a:prstGeom>
                      <a:solidFill>
                        <a:srgbClr val="FFFFFF">
                          <a:alpha val="0"/>
                        </a:srgbClr>
                      </a:solidFill>
                      <a:ln>
                        <a:noFill/>
                      </a:ln>
                    </wps:spPr>
                    <wps:txbx>
                      <w:txbxContent>
                        <w:p w14:paraId="3A8F31B4" w14:textId="77777777" w:rsidR="00785244" w:rsidRDefault="00785244">
                          <w:pPr>
                            <w:ind w:firstLineChars="0" w:firstLine="0"/>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w:t>
                          </w:r>
                        </w:p>
                        <w:p w14:paraId="22729584" w14:textId="77777777" w:rsidR="00785244" w:rsidRDefault="00785244">
                          <w:pPr>
                            <w:ind w:firstLineChars="0" w:firstLine="0"/>
                            <w:rPr>
                              <w:rFonts w:ascii="楷体" w:eastAsia="楷体" w:hAnsi="楷体"/>
                              <w:lang w:eastAsia="zh-CN"/>
                            </w:rPr>
                          </w:pPr>
                          <w:r>
                            <w:rPr>
                              <w:rFonts w:ascii="楷体" w:eastAsia="楷体" w:hAnsi="楷体" w:hint="eastAsia"/>
                              <w:b/>
                              <w:color w:val="FFFFFF"/>
                              <w:sz w:val="30"/>
                              <w:szCs w:val="30"/>
                              <w:lang w:eastAsia="zh-CN"/>
                            </w:rPr>
                            <w:t>CEEM 全球宏观经济季度报告（专题）</w:t>
                          </w:r>
                        </w:p>
                        <w:p w14:paraId="20DEBB9A" w14:textId="77777777" w:rsidR="00785244" w:rsidRDefault="00785244">
                          <w:pPr>
                            <w:ind w:firstLine="480"/>
                            <w:rPr>
                              <w:rFonts w:ascii="楷体" w:eastAsia="楷体" w:hAnsi="楷体"/>
                              <w:lang w:eastAsia="zh-CN"/>
                            </w:rPr>
                          </w:pPr>
                        </w:p>
                        <w:p w14:paraId="1BCFC3D6" w14:textId="77777777" w:rsidR="00785244" w:rsidRDefault="00785244">
                          <w:pPr>
                            <w:ind w:firstLine="480"/>
                            <w:rPr>
                              <w:rFonts w:ascii="楷体" w:eastAsia="楷体" w:hAnsi="楷体"/>
                              <w:lang w:eastAsia="zh-CN"/>
                            </w:rPr>
                          </w:pPr>
                        </w:p>
                        <w:p w14:paraId="0C98A7C3" w14:textId="77777777" w:rsidR="00785244" w:rsidRDefault="00785244">
                          <w:pPr>
                            <w:ind w:firstLine="480"/>
                            <w:rPr>
                              <w:rFonts w:ascii="楷体" w:eastAsia="楷体" w:hAnsi="楷体"/>
                              <w:lang w:eastAsia="zh-CN"/>
                            </w:rPr>
                          </w:pPr>
                        </w:p>
                        <w:p w14:paraId="57688E19" w14:textId="77777777" w:rsidR="00785244" w:rsidRDefault="00785244">
                          <w:pPr>
                            <w:ind w:firstLineChars="0" w:firstLine="0"/>
                            <w:rPr>
                              <w:rFonts w:ascii="楷体" w:eastAsia="楷体" w:hAnsi="楷体"/>
                              <w:lang w:eastAsia="zh-CN"/>
                            </w:rPr>
                          </w:pPr>
                          <w:r>
                            <w:rPr>
                              <w:rFonts w:ascii="楷体" w:eastAsia="楷体" w:hAnsi="楷体"/>
                              <w:b/>
                              <w:color w:val="FFFFFF"/>
                              <w:sz w:val="30"/>
                              <w:szCs w:val="30"/>
                              <w:lang w:eastAsia="zh-CN"/>
                            </w:rPr>
                            <w:t>C</w:t>
                          </w:r>
                          <w:r>
                            <w:rPr>
                              <w:rFonts w:ascii="楷体" w:eastAsia="楷体" w:hAnsi="楷体" w:hint="eastAsia"/>
                              <w:b/>
                              <w:color w:val="FFFFFF"/>
                              <w:sz w:val="30"/>
                              <w:szCs w:val="30"/>
                              <w:lang w:eastAsia="zh-CN"/>
                            </w:rPr>
                            <w:t>EEM 全球宏观经济季度报告（专题）</w:t>
                          </w:r>
                        </w:p>
                        <w:p w14:paraId="61204001" w14:textId="77777777" w:rsidR="00785244" w:rsidRDefault="00785244">
                          <w:pPr>
                            <w:ind w:firstLine="602"/>
                            <w:rPr>
                              <w:rFonts w:ascii="楷体" w:eastAsia="楷体" w:hAnsi="楷体"/>
                              <w:lang w:eastAsia="zh-CN"/>
                            </w:rPr>
                          </w:pPr>
                          <w:r>
                            <w:rPr>
                              <w:rFonts w:ascii="楷体" w:eastAsia="楷体" w:hAnsi="楷体" w:hint="eastAsia"/>
                              <w:b/>
                              <w:color w:val="FFFFFF"/>
                              <w:sz w:val="30"/>
                              <w:szCs w:val="30"/>
                              <w:lang w:eastAsia="zh-CN"/>
                            </w:rPr>
                            <w:t>CEEM 全球宏观经济季度报告（下篇）</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51F414" id="_x0000_s1039" type="#_x0000_t202" style="position:absolute;left:0;text-align:left;margin-left:-37.25pt;margin-top:-13.55pt;width:300pt;height:25.8pt;z-index:251748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" stroked="f">
              <v:fill opacity="0"/>
              <v:textbox>
                <w:txbxContent>
                  <w:p w14:paraId="3A8F31B4" w14:textId="77777777" w:rsidR="00785244" w:rsidRDefault="00785244">
                    <w:pPr>
                      <w:ind w:firstLineChars="0" w:firstLine="0"/>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w:t>
                    </w:r>
                  </w:p>
                  <w:p w14:paraId="22729584" w14:textId="77777777" w:rsidR="00785244" w:rsidRDefault="00785244">
                    <w:pPr>
                      <w:ind w:firstLineChars="0" w:firstLine="0"/>
                      <w:rPr>
                        <w:rFonts w:ascii="楷体" w:eastAsia="楷体" w:hAnsi="楷体" w:hint="eastAsia"/>
                        <w:lang w:eastAsia="zh-CN"/>
                      </w:rPr>
                    </w:pPr>
                    <w:r>
                      <w:rPr>
                        <w:rFonts w:ascii="楷体" w:eastAsia="楷体" w:hAnsi="楷体" w:hint="eastAsia"/>
                        <w:b/>
                        <w:color w:val="FFFFFF"/>
                        <w:sz w:val="30"/>
                        <w:szCs w:val="30"/>
                        <w:lang w:eastAsia="zh-CN"/>
                      </w:rPr>
                      <w:t>CEEM 全球宏观经济季度报告（专题）</w:t>
                    </w:r>
                  </w:p>
                  <w:p w14:paraId="20DEBB9A" w14:textId="77777777" w:rsidR="00785244" w:rsidRDefault="00785244">
                    <w:pPr>
                      <w:ind w:firstLine="480"/>
                      <w:rPr>
                        <w:rFonts w:ascii="楷体" w:eastAsia="楷体" w:hAnsi="楷体" w:hint="eastAsia"/>
                        <w:lang w:eastAsia="zh-CN"/>
                      </w:rPr>
                    </w:pPr>
                  </w:p>
                  <w:p w14:paraId="1BCFC3D6" w14:textId="77777777" w:rsidR="00785244" w:rsidRDefault="00785244">
                    <w:pPr>
                      <w:ind w:firstLine="480"/>
                      <w:rPr>
                        <w:rFonts w:ascii="楷体" w:eastAsia="楷体" w:hAnsi="楷体" w:hint="eastAsia"/>
                        <w:lang w:eastAsia="zh-CN"/>
                      </w:rPr>
                    </w:pPr>
                  </w:p>
                  <w:p w14:paraId="0C98A7C3" w14:textId="77777777" w:rsidR="00785244" w:rsidRDefault="00785244">
                    <w:pPr>
                      <w:ind w:firstLine="480"/>
                      <w:rPr>
                        <w:rFonts w:ascii="楷体" w:eastAsia="楷体" w:hAnsi="楷体" w:hint="eastAsia"/>
                        <w:lang w:eastAsia="zh-CN"/>
                      </w:rPr>
                    </w:pPr>
                  </w:p>
                  <w:p w14:paraId="57688E19" w14:textId="77777777" w:rsidR="00785244" w:rsidRDefault="00785244">
                    <w:pPr>
                      <w:ind w:firstLineChars="0" w:firstLine="0"/>
                      <w:rPr>
                        <w:rFonts w:ascii="楷体" w:eastAsia="楷体" w:hAnsi="楷体" w:hint="eastAsia"/>
                        <w:lang w:eastAsia="zh-CN"/>
                      </w:rPr>
                    </w:pPr>
                    <w:r>
                      <w:rPr>
                        <w:rFonts w:ascii="楷体" w:eastAsia="楷体" w:hAnsi="楷体"/>
                        <w:b/>
                        <w:color w:val="FFFFFF"/>
                        <w:sz w:val="30"/>
                        <w:szCs w:val="30"/>
                        <w:lang w:eastAsia="zh-CN"/>
                      </w:rPr>
                      <w:t>C</w:t>
                    </w:r>
                    <w:r>
                      <w:rPr>
                        <w:rFonts w:ascii="楷体" w:eastAsia="楷体" w:hAnsi="楷体" w:hint="eastAsia"/>
                        <w:b/>
                        <w:color w:val="FFFFFF"/>
                        <w:sz w:val="30"/>
                        <w:szCs w:val="30"/>
                        <w:lang w:eastAsia="zh-CN"/>
                      </w:rPr>
                      <w:t>EEM 全球宏观经济季度报告（专题）</w:t>
                    </w:r>
                  </w:p>
                  <w:p w14:paraId="61204001" w14:textId="77777777" w:rsidR="00785244" w:rsidRDefault="00785244">
                    <w:pPr>
                      <w:ind w:firstLine="602"/>
                      <w:rPr>
                        <w:rFonts w:ascii="楷体" w:eastAsia="楷体" w:hAnsi="楷体" w:hint="eastAsia"/>
                        <w:lang w:eastAsia="zh-CN"/>
                      </w:rPr>
                    </w:pPr>
                    <w:r>
                      <w:rPr>
                        <w:rFonts w:ascii="楷体" w:eastAsia="楷体" w:hAnsi="楷体" w:hint="eastAsia"/>
                        <w:b/>
                        <w:color w:val="FFFFFF"/>
                        <w:sz w:val="30"/>
                        <w:szCs w:val="30"/>
                        <w:lang w:eastAsia="zh-CN"/>
                      </w:rPr>
                      <w:t>CEEM 全球宏观经济季度报告（下篇）</w:t>
                    </w:r>
                  </w:p>
                </w:txbxContent>
              </v:textbox>
            </v:shape>
          </w:pict>
        </mc:Fallback>
      </mc:AlternateContent>
    </w:r>
    <w:r>
      <w:rPr>
        <w:noProof/>
      </w:rPr>
      <mc:AlternateContent>
        <mc:Choice Requires="wps">
          <w:drawing>
            <wp:anchor distT="0" distB="0" distL="114300" distR="114300" simplePos="0" relativeHeight="251747328" behindDoc="0" locked="0" layoutInCell="1" allowOverlap="1" wp14:anchorId="0AD2B77B" wp14:editId="50D5B18A">
              <wp:simplePos x="0" y="0"/>
              <wp:positionH relativeFrom="column">
                <wp:posOffset>-381000</wp:posOffset>
              </wp:positionH>
              <wp:positionV relativeFrom="paragraph">
                <wp:posOffset>129540</wp:posOffset>
              </wp:positionV>
              <wp:extent cx="6120000" cy="0"/>
              <wp:effectExtent l="0" t="19050" r="33655" b="19050"/>
              <wp:wrapNone/>
              <wp:docPr id="46798449" name="直接连接符 29"/>
              <wp:cNvGraphicFramePr/>
              <a:graphic xmlns:a="http://schemas.openxmlformats.org/drawingml/2006/main">
                <a:graphicData uri="http://schemas.microsoft.com/office/word/2010/wordprocessingShape">
                  <wps:wsp>
                    <wps:cNvCnPr/>
                    <wps:spPr>
                      <a:xfrm>
                        <a:off x="0" y="0"/>
                        <a:ext cx="6120000" cy="0"/>
                      </a:xfrm>
                      <a:prstGeom prst="line">
                        <a:avLst/>
                      </a:prstGeom>
                      <a:ln w="28575">
                        <a:solidFill>
                          <a:srgbClr val="106D9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AB072D7" id="直接连接符 29"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pt,10.2pt" to="451.9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" strokecolor="#106d9c" strokeweight="2.25pt"/>
          </w:pict>
        </mc:Fallback>
      </mc:AlternateContent>
    </w:r>
    <w:r>
      <w:rPr>
        <w:noProof/>
      </w:rPr>
      <mc:AlternateContent>
        <mc:Choice Requires="wps">
          <w:drawing>
            <wp:anchor distT="0" distB="0" distL="114300" distR="114300" simplePos="0" relativeHeight="251746304" behindDoc="0" locked="0" layoutInCell="1" allowOverlap="1" wp14:anchorId="3108DC64" wp14:editId="3BFBB954">
              <wp:simplePos x="0" y="0"/>
              <wp:positionH relativeFrom="column">
                <wp:posOffset>-722630</wp:posOffset>
              </wp:positionH>
              <wp:positionV relativeFrom="paragraph">
                <wp:posOffset>-243840</wp:posOffset>
              </wp:positionV>
              <wp:extent cx="3790950" cy="327660"/>
              <wp:effectExtent l="0" t="0" r="0" b="0"/>
              <wp:wrapNone/>
              <wp:docPr id="789052369" name="文本框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327660"/>
                      </a:xfrm>
                      <a:prstGeom prst="rect">
                        <a:avLst/>
                      </a:prstGeom>
                      <a:solidFill>
                        <a:srgbClr val="FFFFFF">
                          <a:alpha val="0"/>
                        </a:srgbClr>
                      </a:solidFill>
                      <a:ln>
                        <a:noFill/>
                      </a:ln>
                    </wps:spPr>
                    <wps:txbx>
                      <w:txbxContent>
                        <w:p w14:paraId="2D4447EC" w14:textId="77777777" w:rsidR="00785244" w:rsidRDefault="00785244">
                          <w:pPr>
                            <w:ind w:firstLine="480"/>
                          </w:pPr>
                        </w:p>
                        <w:p w14:paraId="2F87EF3E" w14:textId="77777777" w:rsidR="00785244" w:rsidRDefault="00785244">
                          <w:pPr>
                            <w:ind w:firstLine="480"/>
                          </w:pPr>
                        </w:p>
                        <w:p w14:paraId="0CF1F472" w14:textId="77777777" w:rsidR="00785244" w:rsidRDefault="00785244">
                          <w:pPr>
                            <w:ind w:firstLine="480"/>
                          </w:pPr>
                        </w:p>
                        <w:p w14:paraId="393B6180" w14:textId="77777777" w:rsidR="00785244" w:rsidRDefault="00785244">
                          <w:pPr>
                            <w:spacing w:line="240" w:lineRule="auto"/>
                            <w:ind w:firstLineChars="0" w:firstLine="0"/>
                            <w:rPr>
                              <w:rFonts w:ascii="黑体" w:eastAsia="黑体" w:hAnsi="黑体"/>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36184C29" w14:textId="77777777" w:rsidR="00785244" w:rsidRDefault="00785244">
                          <w:pPr>
                            <w:ind w:firstLine="480"/>
                            <w:rPr>
                              <w:lang w:eastAsia="zh-CN"/>
                            </w:rPr>
                          </w:pPr>
                        </w:p>
                        <w:p w14:paraId="5D2E8082" w14:textId="77777777" w:rsidR="00785244" w:rsidRDefault="00785244">
                          <w:pPr>
                            <w:spacing w:line="240" w:lineRule="auto"/>
                            <w:ind w:firstLineChars="0" w:firstLine="0"/>
                            <w:rPr>
                              <w:rFonts w:ascii="黑体" w:eastAsia="黑体" w:hAnsi="黑体"/>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5C04DD3B" w14:textId="77777777" w:rsidR="00785244" w:rsidRDefault="00785244">
                          <w:pPr>
                            <w:ind w:firstLine="480"/>
                            <w:rPr>
                              <w:lang w:eastAsia="zh-CN"/>
                            </w:rPr>
                          </w:pPr>
                        </w:p>
                        <w:p w14:paraId="41A810C0" w14:textId="77777777" w:rsidR="00785244" w:rsidRDefault="00785244">
                          <w:pPr>
                            <w:ind w:firstLine="480"/>
                            <w:rPr>
                              <w:lang w:eastAsia="zh-CN"/>
                            </w:rPr>
                          </w:pPr>
                        </w:p>
                        <w:p w14:paraId="67977A4D" w14:textId="77777777" w:rsidR="00785244" w:rsidRDefault="00785244">
                          <w:pPr>
                            <w:spacing w:line="240" w:lineRule="auto"/>
                            <w:ind w:firstLineChars="0" w:firstLine="0"/>
                            <w:rPr>
                              <w:rFonts w:ascii="黑体" w:eastAsia="黑体" w:hAnsi="黑体"/>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393BD309" w14:textId="77777777" w:rsidR="00785244" w:rsidRDefault="00785244">
                          <w:pPr>
                            <w:ind w:firstLine="480"/>
                            <w:rPr>
                              <w:lang w:eastAsia="zh-CN"/>
                            </w:rPr>
                          </w:pPr>
                        </w:p>
                        <w:p w14:paraId="471BCBCC" w14:textId="77777777" w:rsidR="00785244" w:rsidRDefault="00785244">
                          <w:pPr>
                            <w:ind w:firstLine="602"/>
                            <w:rPr>
                              <w:lang w:eastAsia="zh-CN"/>
                            </w:rPr>
                          </w:pPr>
                          <w:r>
                            <w:rPr>
                              <w:rFonts w:ascii="黑体" w:eastAsia="黑体" w:hAnsi="黑体" w:hint="eastAsia"/>
                              <w:b/>
                              <w:color w:val="FFFFFF"/>
                              <w:sz w:val="30"/>
                              <w:szCs w:val="30"/>
                              <w:lang w:eastAsia="zh-CN"/>
                            </w:rPr>
                            <w:t>CEEM 全球宏观经济季度报告（专题）</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08DC64" id="_x0000_s1040" type="#_x0000_t202" style="position:absolute;left:0;text-align:left;margin-left:-56.9pt;margin-top:-19.2pt;width:298.5pt;height:25.8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" stroked="f">
              <v:fill opacity="0"/>
              <v:textbox>
                <w:txbxContent>
                  <w:p w14:paraId="2D4447EC" w14:textId="77777777" w:rsidR="00785244" w:rsidRDefault="00785244">
                    <w:pPr>
                      <w:ind w:firstLine="480"/>
                    </w:pPr>
                  </w:p>
                  <w:p w14:paraId="2F87EF3E" w14:textId="77777777" w:rsidR="00785244" w:rsidRDefault="00785244">
                    <w:pPr>
                      <w:ind w:firstLine="480"/>
                    </w:pPr>
                  </w:p>
                  <w:p w14:paraId="0CF1F472" w14:textId="77777777" w:rsidR="00785244" w:rsidRDefault="00785244">
                    <w:pPr>
                      <w:ind w:firstLine="480"/>
                    </w:pPr>
                  </w:p>
                  <w:p w14:paraId="393B6180" w14:textId="77777777" w:rsidR="00785244" w:rsidRDefault="00785244">
                    <w:pPr>
                      <w:spacing w:line="240" w:lineRule="auto"/>
                      <w:ind w:firstLineChars="0" w:firstLine="0"/>
                      <w:rPr>
                        <w:rFonts w:ascii="黑体" w:eastAsia="黑体" w:hAnsi="黑体" w:hint="eastAsia"/>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36184C29" w14:textId="77777777" w:rsidR="00785244" w:rsidRDefault="00785244">
                    <w:pPr>
                      <w:ind w:firstLine="480"/>
                      <w:rPr>
                        <w:lang w:eastAsia="zh-CN"/>
                      </w:rPr>
                    </w:pPr>
                  </w:p>
                  <w:p w14:paraId="5D2E8082" w14:textId="77777777" w:rsidR="00785244" w:rsidRDefault="00785244">
                    <w:pPr>
                      <w:spacing w:line="240" w:lineRule="auto"/>
                      <w:ind w:firstLineChars="0" w:firstLine="0"/>
                      <w:rPr>
                        <w:rFonts w:ascii="黑体" w:eastAsia="黑体" w:hAnsi="黑体" w:hint="eastAsia"/>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5C04DD3B" w14:textId="77777777" w:rsidR="00785244" w:rsidRDefault="00785244">
                    <w:pPr>
                      <w:ind w:firstLine="480"/>
                      <w:rPr>
                        <w:lang w:eastAsia="zh-CN"/>
                      </w:rPr>
                    </w:pPr>
                  </w:p>
                  <w:p w14:paraId="41A810C0" w14:textId="77777777" w:rsidR="00785244" w:rsidRDefault="00785244">
                    <w:pPr>
                      <w:ind w:firstLine="480"/>
                      <w:rPr>
                        <w:lang w:eastAsia="zh-CN"/>
                      </w:rPr>
                    </w:pPr>
                  </w:p>
                  <w:p w14:paraId="67977A4D" w14:textId="77777777" w:rsidR="00785244" w:rsidRDefault="00785244">
                    <w:pPr>
                      <w:spacing w:line="240" w:lineRule="auto"/>
                      <w:ind w:firstLineChars="0" w:firstLine="0"/>
                      <w:rPr>
                        <w:rFonts w:ascii="黑体" w:eastAsia="黑体" w:hAnsi="黑体" w:hint="eastAsia"/>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393BD309" w14:textId="77777777" w:rsidR="00785244" w:rsidRDefault="00785244">
                    <w:pPr>
                      <w:ind w:firstLine="480"/>
                      <w:rPr>
                        <w:lang w:eastAsia="zh-CN"/>
                      </w:rPr>
                    </w:pPr>
                  </w:p>
                  <w:p w14:paraId="471BCBCC" w14:textId="77777777" w:rsidR="00785244" w:rsidRDefault="00785244">
                    <w:pPr>
                      <w:ind w:firstLine="602"/>
                      <w:rPr>
                        <w:lang w:eastAsia="zh-CN"/>
                      </w:rPr>
                    </w:pPr>
                    <w:r>
                      <w:rPr>
                        <w:rFonts w:ascii="黑体" w:eastAsia="黑体" w:hAnsi="黑体" w:hint="eastAsia"/>
                        <w:b/>
                        <w:color w:val="FFFFFF"/>
                        <w:sz w:val="30"/>
                        <w:szCs w:val="30"/>
                        <w:lang w:eastAsia="zh-CN"/>
                      </w:rPr>
                      <w:t>CEEM 全球宏观经济季度报告（专题）</w:t>
                    </w: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1F5F37" w14:textId="77777777" w:rsidR="00DF431B" w:rsidRDefault="00DF431B">
    <w:pPr>
      <w:pStyle w:val="21"/>
      <w:spacing w:before="120"/>
      <w:ind w:firstLine="480"/>
    </w:pPr>
    <w:r>
      <w:rPr>
        <w:noProof/>
      </w:rPr>
      <mc:AlternateContent>
        <mc:Choice Requires="wps">
          <w:drawing>
            <wp:anchor distT="0" distB="0" distL="114300" distR="114300" simplePos="0" relativeHeight="251708416" behindDoc="0" locked="0" layoutInCell="1" allowOverlap="1" wp14:anchorId="7694A11C" wp14:editId="3FCA0878">
              <wp:simplePos x="0" y="0"/>
              <wp:positionH relativeFrom="column">
                <wp:posOffset>4503420</wp:posOffset>
              </wp:positionH>
              <wp:positionV relativeFrom="paragraph">
                <wp:posOffset>-174625</wp:posOffset>
              </wp:positionV>
              <wp:extent cx="4213860" cy="327660"/>
              <wp:effectExtent l="0" t="0" r="0" b="0"/>
              <wp:wrapNone/>
              <wp:docPr id="2004023691" name="文本框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3860" cy="327660"/>
                      </a:xfrm>
                      <a:prstGeom prst="rect">
                        <a:avLst/>
                      </a:prstGeom>
                      <a:solidFill>
                        <a:srgbClr val="FFFFFF">
                          <a:alpha val="0"/>
                        </a:srgbClr>
                      </a:solidFill>
                      <a:ln>
                        <a:noFill/>
                      </a:ln>
                    </wps:spPr>
                    <wps:txbx>
                      <w:txbxContent>
                        <w:p w14:paraId="08E7F041" w14:textId="775B08BF" w:rsidR="00DF431B" w:rsidRDefault="00894D49" w:rsidP="00DF431B">
                          <w:pPr>
                            <w:ind w:firstLine="602"/>
                            <w:rPr>
                              <w:rFonts w:eastAsia="楷体"/>
                              <w:color w:val="106D9C"/>
                              <w:lang w:eastAsia="zh-CN"/>
                            </w:rPr>
                          </w:pPr>
                          <w:r>
                            <w:rPr>
                              <w:rFonts w:eastAsia="楷体" w:hint="eastAsia"/>
                              <w:b/>
                              <w:color w:val="106D9C"/>
                              <w:sz w:val="30"/>
                              <w:szCs w:val="30"/>
                              <w:lang w:eastAsia="zh-CN"/>
                            </w:rPr>
                            <w:t>日本</w:t>
                          </w:r>
                          <w:r w:rsidR="00DF431B">
                            <w:rPr>
                              <w:rFonts w:eastAsia="楷体" w:hint="eastAsia"/>
                              <w:b/>
                              <w:color w:val="106D9C"/>
                              <w:sz w:val="30"/>
                              <w:szCs w:val="30"/>
                              <w:lang w:eastAsia="zh-CN"/>
                            </w:rPr>
                            <w:t>专题</w:t>
                          </w:r>
                        </w:p>
                        <w:p w14:paraId="44F89806" w14:textId="77777777" w:rsidR="00DF431B" w:rsidRDefault="00DF431B" w:rsidP="00D51929">
                          <w:pPr>
                            <w:ind w:firstLineChars="0" w:firstLine="0"/>
                            <w:rPr>
                              <w:rFonts w:ascii="楷体" w:eastAsia="楷体" w:hAnsi="楷体"/>
                              <w:lang w:eastAsia="zh-CN"/>
                            </w:rPr>
                          </w:pPr>
                          <w:r>
                            <w:rPr>
                              <w:rFonts w:ascii="楷体" w:eastAsia="楷体" w:hAnsi="楷体" w:hint="eastAsia"/>
                              <w:b/>
                              <w:color w:val="FFFFFF"/>
                              <w:sz w:val="30"/>
                              <w:szCs w:val="30"/>
                              <w:lang w:eastAsia="zh-CN"/>
                            </w:rPr>
                            <w:t>CEEM 全球宏观经济季度报告（专题）</w:t>
                          </w:r>
                        </w:p>
                        <w:p w14:paraId="0FECF0AE" w14:textId="77777777" w:rsidR="00DF431B" w:rsidRDefault="00DF431B" w:rsidP="00D51929">
                          <w:pPr>
                            <w:ind w:firstLine="480"/>
                            <w:rPr>
                              <w:rFonts w:ascii="楷体" w:eastAsia="楷体" w:hAnsi="楷体"/>
                              <w:lang w:eastAsia="zh-CN"/>
                            </w:rPr>
                          </w:pPr>
                        </w:p>
                        <w:p w14:paraId="0FD9F62A" w14:textId="77777777" w:rsidR="00DF431B" w:rsidRDefault="00DF431B" w:rsidP="00D51929">
                          <w:pPr>
                            <w:ind w:firstLine="480"/>
                            <w:rPr>
                              <w:rFonts w:ascii="楷体" w:eastAsia="楷体" w:hAnsi="楷体"/>
                              <w:lang w:eastAsia="zh-CN"/>
                            </w:rPr>
                          </w:pPr>
                        </w:p>
                        <w:p w14:paraId="37C57084" w14:textId="77777777" w:rsidR="00DF431B" w:rsidRDefault="00DF431B" w:rsidP="00D51929">
                          <w:pPr>
                            <w:ind w:firstLine="480"/>
                            <w:rPr>
                              <w:rFonts w:ascii="楷体" w:eastAsia="楷体" w:hAnsi="楷体"/>
                              <w:lang w:eastAsia="zh-CN"/>
                            </w:rPr>
                          </w:pPr>
                        </w:p>
                        <w:p w14:paraId="2C7A47D4" w14:textId="77777777" w:rsidR="00DF431B" w:rsidRDefault="00DF431B" w:rsidP="00D51929">
                          <w:pPr>
                            <w:ind w:firstLineChars="0" w:firstLine="0"/>
                            <w:rPr>
                              <w:rFonts w:ascii="楷体" w:eastAsia="楷体" w:hAnsi="楷体"/>
                              <w:lang w:eastAsia="zh-CN"/>
                            </w:rPr>
                          </w:pPr>
                          <w:r>
                            <w:rPr>
                              <w:rFonts w:ascii="楷体" w:eastAsia="楷体" w:hAnsi="楷体"/>
                              <w:b/>
                              <w:color w:val="FFFFFF"/>
                              <w:sz w:val="30"/>
                              <w:szCs w:val="30"/>
                              <w:lang w:eastAsia="zh-CN"/>
                            </w:rPr>
                            <w:t>C</w:t>
                          </w:r>
                          <w:r>
                            <w:rPr>
                              <w:rFonts w:ascii="楷体" w:eastAsia="楷体" w:hAnsi="楷体" w:hint="eastAsia"/>
                              <w:b/>
                              <w:color w:val="FFFFFF"/>
                              <w:sz w:val="30"/>
                              <w:szCs w:val="30"/>
                              <w:lang w:eastAsia="zh-CN"/>
                            </w:rPr>
                            <w:t>EEM 全球宏观经济季度报告（专题）</w:t>
                          </w:r>
                        </w:p>
                        <w:p w14:paraId="6A225B9E" w14:textId="77777777" w:rsidR="00DF431B" w:rsidRDefault="00DF431B" w:rsidP="00D51929">
                          <w:pPr>
                            <w:ind w:firstLine="602"/>
                            <w:rPr>
                              <w:rFonts w:ascii="楷体" w:eastAsia="楷体" w:hAnsi="楷体"/>
                              <w:lang w:eastAsia="zh-CN"/>
                            </w:rPr>
                          </w:pPr>
                          <w:r>
                            <w:rPr>
                              <w:rFonts w:ascii="楷体" w:eastAsia="楷体" w:hAnsi="楷体" w:hint="eastAsia"/>
                              <w:b/>
                              <w:color w:val="FFFFFF"/>
                              <w:sz w:val="30"/>
                              <w:szCs w:val="30"/>
                              <w:lang w:eastAsia="zh-CN"/>
                            </w:rPr>
                            <w:t>CEEM 全球宏观经济季度报告（下篇）</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694A11C" id="_x0000_t202" coordsize="21600,21600" o:spt="202" path="m,l,21600r21600,l21600,xe">
              <v:stroke joinstyle="miter"/>
              <v:path gradientshapeok="t" o:connecttype="rect"/>
            </v:shapetype>
            <v:shape id="_x0000_s1041" type="#_x0000_t202" style="position:absolute;left:0;text-align:left;margin-left:354.6pt;margin-top:-13.75pt;width:331.8pt;height:25.8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" stroked="f">
              <v:fill opacity="0"/>
              <v:textbox>
                <w:txbxContent>
                  <w:p w14:paraId="08E7F041" w14:textId="775B08BF" w:rsidR="00DF431B" w:rsidRDefault="00894D49" w:rsidP="00DF431B">
                    <w:pPr>
                      <w:ind w:firstLine="602"/>
                      <w:rPr>
                        <w:rFonts w:eastAsia="楷体"/>
                        <w:color w:val="106D9C"/>
                        <w:lang w:eastAsia="zh-CN"/>
                      </w:rPr>
                    </w:pPr>
                    <w:r>
                      <w:rPr>
                        <w:rFonts w:eastAsia="楷体" w:hint="eastAsia"/>
                        <w:b/>
                        <w:color w:val="106D9C"/>
                        <w:sz w:val="30"/>
                        <w:szCs w:val="30"/>
                        <w:lang w:eastAsia="zh-CN"/>
                      </w:rPr>
                      <w:t>日本</w:t>
                    </w:r>
                    <w:r w:rsidR="00DF431B">
                      <w:rPr>
                        <w:rFonts w:eastAsia="楷体" w:hint="eastAsia"/>
                        <w:b/>
                        <w:color w:val="106D9C"/>
                        <w:sz w:val="30"/>
                        <w:szCs w:val="30"/>
                        <w:lang w:eastAsia="zh-CN"/>
                      </w:rPr>
                      <w:t>专题</w:t>
                    </w:r>
                  </w:p>
                  <w:p w14:paraId="44F89806" w14:textId="77777777" w:rsidR="00DF431B" w:rsidRDefault="00DF431B" w:rsidP="00D51929">
                    <w:pPr>
                      <w:ind w:firstLineChars="0" w:firstLine="0"/>
                      <w:rPr>
                        <w:rFonts w:ascii="楷体" w:eastAsia="楷体" w:hAnsi="楷体" w:hint="eastAsia"/>
                        <w:lang w:eastAsia="zh-CN"/>
                      </w:rPr>
                    </w:pPr>
                    <w:r>
                      <w:rPr>
                        <w:rFonts w:ascii="楷体" w:eastAsia="楷体" w:hAnsi="楷体" w:hint="eastAsia"/>
                        <w:b/>
                        <w:color w:val="FFFFFF"/>
                        <w:sz w:val="30"/>
                        <w:szCs w:val="30"/>
                        <w:lang w:eastAsia="zh-CN"/>
                      </w:rPr>
                      <w:t>CEEM 全球宏观经济季度报告（专题）</w:t>
                    </w:r>
                  </w:p>
                  <w:p w14:paraId="0FECF0AE" w14:textId="77777777" w:rsidR="00DF431B" w:rsidRDefault="00DF431B" w:rsidP="00D51929">
                    <w:pPr>
                      <w:ind w:firstLine="480"/>
                      <w:rPr>
                        <w:rFonts w:ascii="楷体" w:eastAsia="楷体" w:hAnsi="楷体" w:hint="eastAsia"/>
                        <w:lang w:eastAsia="zh-CN"/>
                      </w:rPr>
                    </w:pPr>
                  </w:p>
                  <w:p w14:paraId="0FD9F62A" w14:textId="77777777" w:rsidR="00DF431B" w:rsidRDefault="00DF431B" w:rsidP="00D51929">
                    <w:pPr>
                      <w:ind w:firstLine="480"/>
                      <w:rPr>
                        <w:rFonts w:ascii="楷体" w:eastAsia="楷体" w:hAnsi="楷体" w:hint="eastAsia"/>
                        <w:lang w:eastAsia="zh-CN"/>
                      </w:rPr>
                    </w:pPr>
                  </w:p>
                  <w:p w14:paraId="37C57084" w14:textId="77777777" w:rsidR="00DF431B" w:rsidRDefault="00DF431B" w:rsidP="00D51929">
                    <w:pPr>
                      <w:ind w:firstLine="480"/>
                      <w:rPr>
                        <w:rFonts w:ascii="楷体" w:eastAsia="楷体" w:hAnsi="楷体" w:hint="eastAsia"/>
                        <w:lang w:eastAsia="zh-CN"/>
                      </w:rPr>
                    </w:pPr>
                  </w:p>
                  <w:p w14:paraId="2C7A47D4" w14:textId="77777777" w:rsidR="00DF431B" w:rsidRDefault="00DF431B" w:rsidP="00D51929">
                    <w:pPr>
                      <w:ind w:firstLineChars="0" w:firstLine="0"/>
                      <w:rPr>
                        <w:rFonts w:ascii="楷体" w:eastAsia="楷体" w:hAnsi="楷体" w:hint="eastAsia"/>
                        <w:lang w:eastAsia="zh-CN"/>
                      </w:rPr>
                    </w:pPr>
                    <w:r>
                      <w:rPr>
                        <w:rFonts w:ascii="楷体" w:eastAsia="楷体" w:hAnsi="楷体"/>
                        <w:b/>
                        <w:color w:val="FFFFFF"/>
                        <w:sz w:val="30"/>
                        <w:szCs w:val="30"/>
                        <w:lang w:eastAsia="zh-CN"/>
                      </w:rPr>
                      <w:t>C</w:t>
                    </w:r>
                    <w:r>
                      <w:rPr>
                        <w:rFonts w:ascii="楷体" w:eastAsia="楷体" w:hAnsi="楷体" w:hint="eastAsia"/>
                        <w:b/>
                        <w:color w:val="FFFFFF"/>
                        <w:sz w:val="30"/>
                        <w:szCs w:val="30"/>
                        <w:lang w:eastAsia="zh-CN"/>
                      </w:rPr>
                      <w:t>EEM 全球宏观经济季度报告（专题）</w:t>
                    </w:r>
                  </w:p>
                  <w:p w14:paraId="6A225B9E" w14:textId="77777777" w:rsidR="00DF431B" w:rsidRDefault="00DF431B" w:rsidP="00D51929">
                    <w:pPr>
                      <w:ind w:firstLine="602"/>
                      <w:rPr>
                        <w:rFonts w:ascii="楷体" w:eastAsia="楷体" w:hAnsi="楷体" w:hint="eastAsia"/>
                        <w:lang w:eastAsia="zh-CN"/>
                      </w:rPr>
                    </w:pPr>
                    <w:r>
                      <w:rPr>
                        <w:rFonts w:ascii="楷体" w:eastAsia="楷体" w:hAnsi="楷体" w:hint="eastAsia"/>
                        <w:b/>
                        <w:color w:val="FFFFFF"/>
                        <w:sz w:val="30"/>
                        <w:szCs w:val="30"/>
                        <w:lang w:eastAsia="zh-CN"/>
                      </w:rPr>
                      <w:t>CEEM 全球宏观经济季度报告（下篇）</w:t>
                    </w:r>
                  </w:p>
                </w:txbxContent>
              </v:textbox>
            </v:shape>
          </w:pict>
        </mc:Fallback>
      </mc:AlternateContent>
    </w:r>
    <w:r>
      <w:rPr>
        <w:noProof/>
      </w:rPr>
      <mc:AlternateContent>
        <mc:Choice Requires="wps">
          <w:drawing>
            <wp:anchor distT="0" distB="0" distL="114300" distR="114300" simplePos="0" relativeHeight="251707392" behindDoc="0" locked="0" layoutInCell="1" allowOverlap="1" wp14:anchorId="7297E4B8" wp14:editId="482E627A">
              <wp:simplePos x="0" y="0"/>
              <wp:positionH relativeFrom="column">
                <wp:posOffset>-473075</wp:posOffset>
              </wp:positionH>
              <wp:positionV relativeFrom="paragraph">
                <wp:posOffset>-172085</wp:posOffset>
              </wp:positionV>
              <wp:extent cx="3810000" cy="327660"/>
              <wp:effectExtent l="0" t="0" r="0" b="0"/>
              <wp:wrapNone/>
              <wp:docPr id="2004023692" name="文本框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327660"/>
                      </a:xfrm>
                      <a:prstGeom prst="rect">
                        <a:avLst/>
                      </a:prstGeom>
                      <a:solidFill>
                        <a:srgbClr val="FFFFFF">
                          <a:alpha val="0"/>
                        </a:srgbClr>
                      </a:solidFill>
                      <a:ln>
                        <a:noFill/>
                      </a:ln>
                    </wps:spPr>
                    <wps:txbx>
                      <w:txbxContent>
                        <w:p w14:paraId="4321A0CD" w14:textId="77777777" w:rsidR="00DF431B" w:rsidRDefault="00DF431B">
                          <w:pPr>
                            <w:ind w:firstLineChars="0" w:firstLine="0"/>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w:t>
                          </w:r>
                        </w:p>
                        <w:p w14:paraId="7C22C198" w14:textId="77777777" w:rsidR="00DF431B" w:rsidRDefault="00DF431B">
                          <w:pPr>
                            <w:ind w:firstLineChars="0" w:firstLine="0"/>
                            <w:rPr>
                              <w:rFonts w:ascii="楷体" w:eastAsia="楷体" w:hAnsi="楷体"/>
                              <w:lang w:eastAsia="zh-CN"/>
                            </w:rPr>
                          </w:pPr>
                          <w:r>
                            <w:rPr>
                              <w:rFonts w:ascii="楷体" w:eastAsia="楷体" w:hAnsi="楷体" w:hint="eastAsia"/>
                              <w:b/>
                              <w:color w:val="FFFFFF"/>
                              <w:sz w:val="30"/>
                              <w:szCs w:val="30"/>
                              <w:lang w:eastAsia="zh-CN"/>
                            </w:rPr>
                            <w:t>CEEM 全球宏观经济季度报告（专题）</w:t>
                          </w:r>
                        </w:p>
                        <w:p w14:paraId="5C69DE5A" w14:textId="77777777" w:rsidR="00DF431B" w:rsidRDefault="00DF431B">
                          <w:pPr>
                            <w:ind w:firstLine="480"/>
                            <w:rPr>
                              <w:rFonts w:ascii="楷体" w:eastAsia="楷体" w:hAnsi="楷体"/>
                              <w:lang w:eastAsia="zh-CN"/>
                            </w:rPr>
                          </w:pPr>
                        </w:p>
                        <w:p w14:paraId="6483FF88" w14:textId="77777777" w:rsidR="00DF431B" w:rsidRDefault="00DF431B">
                          <w:pPr>
                            <w:ind w:firstLine="480"/>
                            <w:rPr>
                              <w:rFonts w:ascii="楷体" w:eastAsia="楷体" w:hAnsi="楷体"/>
                              <w:lang w:eastAsia="zh-CN"/>
                            </w:rPr>
                          </w:pPr>
                        </w:p>
                        <w:p w14:paraId="36EEE045" w14:textId="77777777" w:rsidR="00DF431B" w:rsidRDefault="00DF431B">
                          <w:pPr>
                            <w:ind w:firstLine="480"/>
                            <w:rPr>
                              <w:rFonts w:ascii="楷体" w:eastAsia="楷体" w:hAnsi="楷体"/>
                              <w:lang w:eastAsia="zh-CN"/>
                            </w:rPr>
                          </w:pPr>
                        </w:p>
                        <w:p w14:paraId="051E8512" w14:textId="77777777" w:rsidR="00DF431B" w:rsidRDefault="00DF431B">
                          <w:pPr>
                            <w:ind w:firstLineChars="0" w:firstLine="0"/>
                            <w:rPr>
                              <w:rFonts w:ascii="楷体" w:eastAsia="楷体" w:hAnsi="楷体"/>
                              <w:lang w:eastAsia="zh-CN"/>
                            </w:rPr>
                          </w:pPr>
                          <w:r>
                            <w:rPr>
                              <w:rFonts w:ascii="楷体" w:eastAsia="楷体" w:hAnsi="楷体"/>
                              <w:b/>
                              <w:color w:val="FFFFFF"/>
                              <w:sz w:val="30"/>
                              <w:szCs w:val="30"/>
                              <w:lang w:eastAsia="zh-CN"/>
                            </w:rPr>
                            <w:t>C</w:t>
                          </w:r>
                          <w:r>
                            <w:rPr>
                              <w:rFonts w:ascii="楷体" w:eastAsia="楷体" w:hAnsi="楷体" w:hint="eastAsia"/>
                              <w:b/>
                              <w:color w:val="FFFFFF"/>
                              <w:sz w:val="30"/>
                              <w:szCs w:val="30"/>
                              <w:lang w:eastAsia="zh-CN"/>
                            </w:rPr>
                            <w:t>EEM 全球宏观经济季度报告（专题）</w:t>
                          </w:r>
                        </w:p>
                        <w:p w14:paraId="7EE3BA62" w14:textId="77777777" w:rsidR="00DF431B" w:rsidRDefault="00DF431B">
                          <w:pPr>
                            <w:ind w:firstLine="602"/>
                            <w:rPr>
                              <w:rFonts w:ascii="楷体" w:eastAsia="楷体" w:hAnsi="楷体"/>
                              <w:lang w:eastAsia="zh-CN"/>
                            </w:rPr>
                          </w:pPr>
                          <w:r>
                            <w:rPr>
                              <w:rFonts w:ascii="楷体" w:eastAsia="楷体" w:hAnsi="楷体" w:hint="eastAsia"/>
                              <w:b/>
                              <w:color w:val="FFFFFF"/>
                              <w:sz w:val="30"/>
                              <w:szCs w:val="30"/>
                              <w:lang w:eastAsia="zh-CN"/>
                            </w:rPr>
                            <w:t>CEEM 全球宏观经济季度报告（下篇）</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97E4B8" id="_x0000_s1042" type="#_x0000_t202" style="position:absolute;left:0;text-align:left;margin-left:-37.25pt;margin-top:-13.55pt;width:300pt;height:25.8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" stroked="f">
              <v:fill opacity="0"/>
              <v:textbox>
                <w:txbxContent>
                  <w:p w14:paraId="4321A0CD" w14:textId="77777777" w:rsidR="00DF431B" w:rsidRDefault="00DF431B">
                    <w:pPr>
                      <w:ind w:firstLineChars="0" w:firstLine="0"/>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w:t>
                    </w:r>
                  </w:p>
                  <w:p w14:paraId="7C22C198" w14:textId="77777777" w:rsidR="00DF431B" w:rsidRDefault="00DF431B">
                    <w:pPr>
                      <w:ind w:firstLineChars="0" w:firstLine="0"/>
                      <w:rPr>
                        <w:rFonts w:ascii="楷体" w:eastAsia="楷体" w:hAnsi="楷体" w:hint="eastAsia"/>
                        <w:lang w:eastAsia="zh-CN"/>
                      </w:rPr>
                    </w:pPr>
                    <w:r>
                      <w:rPr>
                        <w:rFonts w:ascii="楷体" w:eastAsia="楷体" w:hAnsi="楷体" w:hint="eastAsia"/>
                        <w:b/>
                        <w:color w:val="FFFFFF"/>
                        <w:sz w:val="30"/>
                        <w:szCs w:val="30"/>
                        <w:lang w:eastAsia="zh-CN"/>
                      </w:rPr>
                      <w:t>CEEM 全球宏观经济季度报告（专题）</w:t>
                    </w:r>
                  </w:p>
                  <w:p w14:paraId="5C69DE5A" w14:textId="77777777" w:rsidR="00DF431B" w:rsidRDefault="00DF431B">
                    <w:pPr>
                      <w:ind w:firstLine="480"/>
                      <w:rPr>
                        <w:rFonts w:ascii="楷体" w:eastAsia="楷体" w:hAnsi="楷体" w:hint="eastAsia"/>
                        <w:lang w:eastAsia="zh-CN"/>
                      </w:rPr>
                    </w:pPr>
                  </w:p>
                  <w:p w14:paraId="6483FF88" w14:textId="77777777" w:rsidR="00DF431B" w:rsidRDefault="00DF431B">
                    <w:pPr>
                      <w:ind w:firstLine="480"/>
                      <w:rPr>
                        <w:rFonts w:ascii="楷体" w:eastAsia="楷体" w:hAnsi="楷体" w:hint="eastAsia"/>
                        <w:lang w:eastAsia="zh-CN"/>
                      </w:rPr>
                    </w:pPr>
                  </w:p>
                  <w:p w14:paraId="36EEE045" w14:textId="77777777" w:rsidR="00DF431B" w:rsidRDefault="00DF431B">
                    <w:pPr>
                      <w:ind w:firstLine="480"/>
                      <w:rPr>
                        <w:rFonts w:ascii="楷体" w:eastAsia="楷体" w:hAnsi="楷体" w:hint="eastAsia"/>
                        <w:lang w:eastAsia="zh-CN"/>
                      </w:rPr>
                    </w:pPr>
                  </w:p>
                  <w:p w14:paraId="051E8512" w14:textId="77777777" w:rsidR="00DF431B" w:rsidRDefault="00DF431B">
                    <w:pPr>
                      <w:ind w:firstLineChars="0" w:firstLine="0"/>
                      <w:rPr>
                        <w:rFonts w:ascii="楷体" w:eastAsia="楷体" w:hAnsi="楷体" w:hint="eastAsia"/>
                        <w:lang w:eastAsia="zh-CN"/>
                      </w:rPr>
                    </w:pPr>
                    <w:r>
                      <w:rPr>
                        <w:rFonts w:ascii="楷体" w:eastAsia="楷体" w:hAnsi="楷体"/>
                        <w:b/>
                        <w:color w:val="FFFFFF"/>
                        <w:sz w:val="30"/>
                        <w:szCs w:val="30"/>
                        <w:lang w:eastAsia="zh-CN"/>
                      </w:rPr>
                      <w:t>C</w:t>
                    </w:r>
                    <w:r>
                      <w:rPr>
                        <w:rFonts w:ascii="楷体" w:eastAsia="楷体" w:hAnsi="楷体" w:hint="eastAsia"/>
                        <w:b/>
                        <w:color w:val="FFFFFF"/>
                        <w:sz w:val="30"/>
                        <w:szCs w:val="30"/>
                        <w:lang w:eastAsia="zh-CN"/>
                      </w:rPr>
                      <w:t>EEM 全球宏观经济季度报告（专题）</w:t>
                    </w:r>
                  </w:p>
                  <w:p w14:paraId="7EE3BA62" w14:textId="77777777" w:rsidR="00DF431B" w:rsidRDefault="00DF431B">
                    <w:pPr>
                      <w:ind w:firstLine="602"/>
                      <w:rPr>
                        <w:rFonts w:ascii="楷体" w:eastAsia="楷体" w:hAnsi="楷体" w:hint="eastAsia"/>
                        <w:lang w:eastAsia="zh-CN"/>
                      </w:rPr>
                    </w:pPr>
                    <w:r>
                      <w:rPr>
                        <w:rFonts w:ascii="楷体" w:eastAsia="楷体" w:hAnsi="楷体" w:hint="eastAsia"/>
                        <w:b/>
                        <w:color w:val="FFFFFF"/>
                        <w:sz w:val="30"/>
                        <w:szCs w:val="30"/>
                        <w:lang w:eastAsia="zh-CN"/>
                      </w:rPr>
                      <w:t>CEEM 全球宏观经济季度报告（下篇）</w:t>
                    </w:r>
                  </w:p>
                </w:txbxContent>
              </v:textbox>
            </v:shape>
          </w:pict>
        </mc:Fallback>
      </mc:AlternateContent>
    </w:r>
    <w:r>
      <w:rPr>
        <w:noProof/>
      </w:rPr>
      <mc:AlternateContent>
        <mc:Choice Requires="wps">
          <w:drawing>
            <wp:anchor distT="0" distB="0" distL="114300" distR="114300" simplePos="0" relativeHeight="251706368" behindDoc="0" locked="0" layoutInCell="1" allowOverlap="1" wp14:anchorId="3684B112" wp14:editId="1B89D5B6">
              <wp:simplePos x="0" y="0"/>
              <wp:positionH relativeFrom="column">
                <wp:posOffset>-381000</wp:posOffset>
              </wp:positionH>
              <wp:positionV relativeFrom="paragraph">
                <wp:posOffset>129540</wp:posOffset>
              </wp:positionV>
              <wp:extent cx="6120000" cy="0"/>
              <wp:effectExtent l="0" t="19050" r="33655" b="19050"/>
              <wp:wrapNone/>
              <wp:docPr id="2004023693" name="直接连接符 29"/>
              <wp:cNvGraphicFramePr/>
              <a:graphic xmlns:a="http://schemas.openxmlformats.org/drawingml/2006/main">
                <a:graphicData uri="http://schemas.microsoft.com/office/word/2010/wordprocessingShape">
                  <wps:wsp>
                    <wps:cNvCnPr/>
                    <wps:spPr>
                      <a:xfrm>
                        <a:off x="0" y="0"/>
                        <a:ext cx="6120000" cy="0"/>
                      </a:xfrm>
                      <a:prstGeom prst="line">
                        <a:avLst/>
                      </a:prstGeom>
                      <a:ln w="28575">
                        <a:solidFill>
                          <a:srgbClr val="106D9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9F85E12" id="直接连接符 29" o:spid="_x0000_s1026" style="position:absolute;left:0;text-align:lef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pt,10.2pt" to="451.9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" strokecolor="#106d9c" strokeweight="2.25pt"/>
          </w:pict>
        </mc:Fallback>
      </mc:AlternateContent>
    </w:r>
    <w:r>
      <w:rPr>
        <w:noProof/>
      </w:rPr>
      <mc:AlternateContent>
        <mc:Choice Requires="wps">
          <w:drawing>
            <wp:anchor distT="0" distB="0" distL="114300" distR="114300" simplePos="0" relativeHeight="251705344" behindDoc="0" locked="0" layoutInCell="1" allowOverlap="1" wp14:anchorId="11D85640" wp14:editId="33719265">
              <wp:simplePos x="0" y="0"/>
              <wp:positionH relativeFrom="column">
                <wp:posOffset>-722630</wp:posOffset>
              </wp:positionH>
              <wp:positionV relativeFrom="paragraph">
                <wp:posOffset>-243840</wp:posOffset>
              </wp:positionV>
              <wp:extent cx="3790950" cy="327660"/>
              <wp:effectExtent l="0" t="0" r="0" b="0"/>
              <wp:wrapNone/>
              <wp:docPr id="2004023694" name="文本框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327660"/>
                      </a:xfrm>
                      <a:prstGeom prst="rect">
                        <a:avLst/>
                      </a:prstGeom>
                      <a:solidFill>
                        <a:srgbClr val="FFFFFF">
                          <a:alpha val="0"/>
                        </a:srgbClr>
                      </a:solidFill>
                      <a:ln>
                        <a:noFill/>
                      </a:ln>
                    </wps:spPr>
                    <wps:txbx>
                      <w:txbxContent>
                        <w:p w14:paraId="0172404F" w14:textId="77777777" w:rsidR="00DF431B" w:rsidRDefault="00DF431B">
                          <w:pPr>
                            <w:ind w:firstLine="480"/>
                          </w:pPr>
                        </w:p>
                        <w:p w14:paraId="1719D02C" w14:textId="77777777" w:rsidR="00DF431B" w:rsidRDefault="00DF431B">
                          <w:pPr>
                            <w:ind w:firstLine="480"/>
                          </w:pPr>
                        </w:p>
                        <w:p w14:paraId="5453E7AC" w14:textId="77777777" w:rsidR="00DF431B" w:rsidRDefault="00DF431B">
                          <w:pPr>
                            <w:ind w:firstLine="480"/>
                          </w:pPr>
                        </w:p>
                        <w:p w14:paraId="31EBA5F6" w14:textId="77777777" w:rsidR="00DF431B" w:rsidRDefault="00DF431B">
                          <w:pPr>
                            <w:spacing w:line="240" w:lineRule="auto"/>
                            <w:ind w:firstLineChars="0" w:firstLine="0"/>
                            <w:rPr>
                              <w:rFonts w:ascii="黑体" w:eastAsia="黑体" w:hAnsi="黑体"/>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384AA2E3" w14:textId="77777777" w:rsidR="00DF431B" w:rsidRDefault="00DF431B">
                          <w:pPr>
                            <w:ind w:firstLine="480"/>
                            <w:rPr>
                              <w:lang w:eastAsia="zh-CN"/>
                            </w:rPr>
                          </w:pPr>
                        </w:p>
                        <w:p w14:paraId="2257B41C" w14:textId="77777777" w:rsidR="00DF431B" w:rsidRDefault="00DF431B">
                          <w:pPr>
                            <w:spacing w:line="240" w:lineRule="auto"/>
                            <w:ind w:firstLineChars="0" w:firstLine="0"/>
                            <w:rPr>
                              <w:rFonts w:ascii="黑体" w:eastAsia="黑体" w:hAnsi="黑体"/>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19A56141" w14:textId="77777777" w:rsidR="00DF431B" w:rsidRDefault="00DF431B">
                          <w:pPr>
                            <w:ind w:firstLine="480"/>
                            <w:rPr>
                              <w:lang w:eastAsia="zh-CN"/>
                            </w:rPr>
                          </w:pPr>
                        </w:p>
                        <w:p w14:paraId="7890AE3C" w14:textId="77777777" w:rsidR="00DF431B" w:rsidRDefault="00DF431B">
                          <w:pPr>
                            <w:ind w:firstLine="480"/>
                            <w:rPr>
                              <w:lang w:eastAsia="zh-CN"/>
                            </w:rPr>
                          </w:pPr>
                        </w:p>
                        <w:p w14:paraId="617939C4" w14:textId="77777777" w:rsidR="00DF431B" w:rsidRDefault="00DF431B">
                          <w:pPr>
                            <w:spacing w:line="240" w:lineRule="auto"/>
                            <w:ind w:firstLineChars="0" w:firstLine="0"/>
                            <w:rPr>
                              <w:rFonts w:ascii="黑体" w:eastAsia="黑体" w:hAnsi="黑体"/>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02AA0BB8" w14:textId="77777777" w:rsidR="00DF431B" w:rsidRDefault="00DF431B">
                          <w:pPr>
                            <w:ind w:firstLine="480"/>
                            <w:rPr>
                              <w:lang w:eastAsia="zh-CN"/>
                            </w:rPr>
                          </w:pPr>
                        </w:p>
                        <w:p w14:paraId="50903A74" w14:textId="77777777" w:rsidR="00DF431B" w:rsidRDefault="00DF431B">
                          <w:pPr>
                            <w:ind w:firstLine="602"/>
                            <w:rPr>
                              <w:lang w:eastAsia="zh-CN"/>
                            </w:rPr>
                          </w:pPr>
                          <w:r>
                            <w:rPr>
                              <w:rFonts w:ascii="黑体" w:eastAsia="黑体" w:hAnsi="黑体" w:hint="eastAsia"/>
                              <w:b/>
                              <w:color w:val="FFFFFF"/>
                              <w:sz w:val="30"/>
                              <w:szCs w:val="30"/>
                              <w:lang w:eastAsia="zh-CN"/>
                            </w:rPr>
                            <w:t>CEEM 全球宏观经济季度报告（专题）</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D85640" id="_x0000_s1043" type="#_x0000_t202" style="position:absolute;left:0;text-align:left;margin-left:-56.9pt;margin-top:-19.2pt;width:298.5pt;height:25.8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" stroked="f">
              <v:fill opacity="0"/>
              <v:textbox>
                <w:txbxContent>
                  <w:p w14:paraId="0172404F" w14:textId="77777777" w:rsidR="00DF431B" w:rsidRDefault="00DF431B">
                    <w:pPr>
                      <w:ind w:firstLine="480"/>
                    </w:pPr>
                  </w:p>
                  <w:p w14:paraId="1719D02C" w14:textId="77777777" w:rsidR="00DF431B" w:rsidRDefault="00DF431B">
                    <w:pPr>
                      <w:ind w:firstLine="480"/>
                    </w:pPr>
                  </w:p>
                  <w:p w14:paraId="5453E7AC" w14:textId="77777777" w:rsidR="00DF431B" w:rsidRDefault="00DF431B">
                    <w:pPr>
                      <w:ind w:firstLine="480"/>
                    </w:pPr>
                  </w:p>
                  <w:p w14:paraId="31EBA5F6" w14:textId="77777777" w:rsidR="00DF431B" w:rsidRDefault="00DF431B">
                    <w:pPr>
                      <w:spacing w:line="240" w:lineRule="auto"/>
                      <w:ind w:firstLineChars="0" w:firstLine="0"/>
                      <w:rPr>
                        <w:rFonts w:ascii="黑体" w:eastAsia="黑体" w:hAnsi="黑体" w:hint="eastAsia"/>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384AA2E3" w14:textId="77777777" w:rsidR="00DF431B" w:rsidRDefault="00DF431B">
                    <w:pPr>
                      <w:ind w:firstLine="480"/>
                      <w:rPr>
                        <w:lang w:eastAsia="zh-CN"/>
                      </w:rPr>
                    </w:pPr>
                  </w:p>
                  <w:p w14:paraId="2257B41C" w14:textId="77777777" w:rsidR="00DF431B" w:rsidRDefault="00DF431B">
                    <w:pPr>
                      <w:spacing w:line="240" w:lineRule="auto"/>
                      <w:ind w:firstLineChars="0" w:firstLine="0"/>
                      <w:rPr>
                        <w:rFonts w:ascii="黑体" w:eastAsia="黑体" w:hAnsi="黑体" w:hint="eastAsia"/>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19A56141" w14:textId="77777777" w:rsidR="00DF431B" w:rsidRDefault="00DF431B">
                    <w:pPr>
                      <w:ind w:firstLine="480"/>
                      <w:rPr>
                        <w:lang w:eastAsia="zh-CN"/>
                      </w:rPr>
                    </w:pPr>
                  </w:p>
                  <w:p w14:paraId="7890AE3C" w14:textId="77777777" w:rsidR="00DF431B" w:rsidRDefault="00DF431B">
                    <w:pPr>
                      <w:ind w:firstLine="480"/>
                      <w:rPr>
                        <w:lang w:eastAsia="zh-CN"/>
                      </w:rPr>
                    </w:pPr>
                  </w:p>
                  <w:p w14:paraId="617939C4" w14:textId="77777777" w:rsidR="00DF431B" w:rsidRDefault="00DF431B">
                    <w:pPr>
                      <w:spacing w:line="240" w:lineRule="auto"/>
                      <w:ind w:firstLineChars="0" w:firstLine="0"/>
                      <w:rPr>
                        <w:rFonts w:ascii="黑体" w:eastAsia="黑体" w:hAnsi="黑体" w:hint="eastAsia"/>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02AA0BB8" w14:textId="77777777" w:rsidR="00DF431B" w:rsidRDefault="00DF431B">
                    <w:pPr>
                      <w:ind w:firstLine="480"/>
                      <w:rPr>
                        <w:lang w:eastAsia="zh-CN"/>
                      </w:rPr>
                    </w:pPr>
                  </w:p>
                  <w:p w14:paraId="50903A74" w14:textId="77777777" w:rsidR="00DF431B" w:rsidRDefault="00DF431B">
                    <w:pPr>
                      <w:ind w:firstLine="602"/>
                      <w:rPr>
                        <w:lang w:eastAsia="zh-CN"/>
                      </w:rPr>
                    </w:pPr>
                    <w:r>
                      <w:rPr>
                        <w:rFonts w:ascii="黑体" w:eastAsia="黑体" w:hAnsi="黑体" w:hint="eastAsia"/>
                        <w:b/>
                        <w:color w:val="FFFFFF"/>
                        <w:sz w:val="30"/>
                        <w:szCs w:val="30"/>
                        <w:lang w:eastAsia="zh-CN"/>
                      </w:rPr>
                      <w:t>CEEM 全球宏观经济季度报告（专题）</w:t>
                    </w:r>
                  </w:p>
                </w:txbxContent>
              </v:textbox>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8AEA4F" w14:textId="77777777" w:rsidR="00DF431B" w:rsidRDefault="00DF431B">
    <w:pPr>
      <w:pStyle w:val="21"/>
      <w:spacing w:before="120"/>
      <w:ind w:firstLine="480"/>
    </w:pPr>
    <w:r>
      <w:rPr>
        <w:noProof/>
      </w:rPr>
      <mc:AlternateContent>
        <mc:Choice Requires="wps">
          <w:drawing>
            <wp:anchor distT="0" distB="0" distL="114300" distR="114300" simplePos="0" relativeHeight="251718656" behindDoc="0" locked="0" layoutInCell="1" allowOverlap="1" wp14:anchorId="204BAC19" wp14:editId="1215F4EE">
              <wp:simplePos x="0" y="0"/>
              <wp:positionH relativeFrom="column">
                <wp:posOffset>4503420</wp:posOffset>
              </wp:positionH>
              <wp:positionV relativeFrom="paragraph">
                <wp:posOffset>-174625</wp:posOffset>
              </wp:positionV>
              <wp:extent cx="4213860" cy="327660"/>
              <wp:effectExtent l="0" t="0" r="0" b="0"/>
              <wp:wrapNone/>
              <wp:docPr id="2004023699" name="文本框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3860" cy="327660"/>
                      </a:xfrm>
                      <a:prstGeom prst="rect">
                        <a:avLst/>
                      </a:prstGeom>
                      <a:solidFill>
                        <a:srgbClr val="FFFFFF">
                          <a:alpha val="0"/>
                        </a:srgbClr>
                      </a:solidFill>
                      <a:ln>
                        <a:noFill/>
                      </a:ln>
                    </wps:spPr>
                    <wps:txbx>
                      <w:txbxContent>
                        <w:p w14:paraId="655009BD" w14:textId="5323E563" w:rsidR="00DF431B" w:rsidRDefault="00894D49" w:rsidP="00894D49">
                          <w:pPr>
                            <w:ind w:firstLineChars="0" w:firstLine="0"/>
                            <w:rPr>
                              <w:rFonts w:eastAsia="楷体"/>
                              <w:color w:val="106D9C"/>
                              <w:lang w:eastAsia="zh-CN"/>
                            </w:rPr>
                          </w:pPr>
                          <w:r>
                            <w:rPr>
                              <w:rFonts w:eastAsia="楷体" w:hint="eastAsia"/>
                              <w:b/>
                              <w:color w:val="106D9C"/>
                              <w:sz w:val="30"/>
                              <w:szCs w:val="30"/>
                              <w:lang w:eastAsia="zh-CN"/>
                            </w:rPr>
                            <w:t>东盟韩国</w:t>
                          </w:r>
                          <w:r w:rsidR="00DF431B">
                            <w:rPr>
                              <w:rFonts w:eastAsia="楷体" w:hint="eastAsia"/>
                              <w:b/>
                              <w:color w:val="106D9C"/>
                              <w:sz w:val="30"/>
                              <w:szCs w:val="30"/>
                              <w:lang w:eastAsia="zh-CN"/>
                            </w:rPr>
                            <w:t>专题</w:t>
                          </w:r>
                        </w:p>
                        <w:p w14:paraId="4A9276E5" w14:textId="77777777" w:rsidR="00DF431B" w:rsidRDefault="00DF431B" w:rsidP="00D51929">
                          <w:pPr>
                            <w:ind w:firstLineChars="0" w:firstLine="0"/>
                            <w:rPr>
                              <w:rFonts w:ascii="楷体" w:eastAsia="楷体" w:hAnsi="楷体"/>
                              <w:lang w:eastAsia="zh-CN"/>
                            </w:rPr>
                          </w:pPr>
                          <w:r>
                            <w:rPr>
                              <w:rFonts w:ascii="楷体" w:eastAsia="楷体" w:hAnsi="楷体" w:hint="eastAsia"/>
                              <w:b/>
                              <w:color w:val="FFFFFF"/>
                              <w:sz w:val="30"/>
                              <w:szCs w:val="30"/>
                              <w:lang w:eastAsia="zh-CN"/>
                            </w:rPr>
                            <w:t>CEEM 全球宏观经济季度报告（专题）</w:t>
                          </w:r>
                        </w:p>
                        <w:p w14:paraId="6FE803DC" w14:textId="77777777" w:rsidR="00DF431B" w:rsidRDefault="00DF431B" w:rsidP="00D51929">
                          <w:pPr>
                            <w:ind w:firstLine="480"/>
                            <w:rPr>
                              <w:rFonts w:ascii="楷体" w:eastAsia="楷体" w:hAnsi="楷体"/>
                              <w:lang w:eastAsia="zh-CN"/>
                            </w:rPr>
                          </w:pPr>
                        </w:p>
                        <w:p w14:paraId="32E8F281" w14:textId="77777777" w:rsidR="00DF431B" w:rsidRDefault="00DF431B" w:rsidP="00D51929">
                          <w:pPr>
                            <w:ind w:firstLine="480"/>
                            <w:rPr>
                              <w:rFonts w:ascii="楷体" w:eastAsia="楷体" w:hAnsi="楷体"/>
                              <w:lang w:eastAsia="zh-CN"/>
                            </w:rPr>
                          </w:pPr>
                        </w:p>
                        <w:p w14:paraId="2DAC01C7" w14:textId="77777777" w:rsidR="00DF431B" w:rsidRDefault="00DF431B" w:rsidP="00D51929">
                          <w:pPr>
                            <w:ind w:firstLine="480"/>
                            <w:rPr>
                              <w:rFonts w:ascii="楷体" w:eastAsia="楷体" w:hAnsi="楷体"/>
                              <w:lang w:eastAsia="zh-CN"/>
                            </w:rPr>
                          </w:pPr>
                        </w:p>
                        <w:p w14:paraId="3ACCEAA3" w14:textId="77777777" w:rsidR="00DF431B" w:rsidRDefault="00DF431B" w:rsidP="00D51929">
                          <w:pPr>
                            <w:ind w:firstLineChars="0" w:firstLine="0"/>
                            <w:rPr>
                              <w:rFonts w:ascii="楷体" w:eastAsia="楷体" w:hAnsi="楷体"/>
                              <w:lang w:eastAsia="zh-CN"/>
                            </w:rPr>
                          </w:pPr>
                          <w:r>
                            <w:rPr>
                              <w:rFonts w:ascii="楷体" w:eastAsia="楷体" w:hAnsi="楷体"/>
                              <w:b/>
                              <w:color w:val="FFFFFF"/>
                              <w:sz w:val="30"/>
                              <w:szCs w:val="30"/>
                              <w:lang w:eastAsia="zh-CN"/>
                            </w:rPr>
                            <w:t>C</w:t>
                          </w:r>
                          <w:r>
                            <w:rPr>
                              <w:rFonts w:ascii="楷体" w:eastAsia="楷体" w:hAnsi="楷体" w:hint="eastAsia"/>
                              <w:b/>
                              <w:color w:val="FFFFFF"/>
                              <w:sz w:val="30"/>
                              <w:szCs w:val="30"/>
                              <w:lang w:eastAsia="zh-CN"/>
                            </w:rPr>
                            <w:t>EEM 全球宏观经济季度报告（专题）</w:t>
                          </w:r>
                        </w:p>
                        <w:p w14:paraId="625243A8" w14:textId="77777777" w:rsidR="00DF431B" w:rsidRDefault="00DF431B" w:rsidP="00D51929">
                          <w:pPr>
                            <w:ind w:firstLine="602"/>
                            <w:rPr>
                              <w:rFonts w:ascii="楷体" w:eastAsia="楷体" w:hAnsi="楷体"/>
                              <w:lang w:eastAsia="zh-CN"/>
                            </w:rPr>
                          </w:pPr>
                          <w:r>
                            <w:rPr>
                              <w:rFonts w:ascii="楷体" w:eastAsia="楷体" w:hAnsi="楷体" w:hint="eastAsia"/>
                              <w:b/>
                              <w:color w:val="FFFFFF"/>
                              <w:sz w:val="30"/>
                              <w:szCs w:val="30"/>
                              <w:lang w:eastAsia="zh-CN"/>
                            </w:rPr>
                            <w:t>CEEM 全球宏观经济季度报告（下篇）</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04BAC19" id="_x0000_t202" coordsize="21600,21600" o:spt="202" path="m,l,21600r21600,l21600,xe">
              <v:stroke joinstyle="miter"/>
              <v:path gradientshapeok="t" o:connecttype="rect"/>
            </v:shapetype>
            <v:shape id="_x0000_s1044" type="#_x0000_t202" style="position:absolute;left:0;text-align:left;margin-left:354.6pt;margin-top:-13.75pt;width:331.8pt;height:25.8pt;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" stroked="f">
              <v:fill opacity="0"/>
              <v:textbox>
                <w:txbxContent>
                  <w:p w14:paraId="655009BD" w14:textId="5323E563" w:rsidR="00DF431B" w:rsidRDefault="00894D49" w:rsidP="00894D49">
                    <w:pPr>
                      <w:ind w:firstLineChars="0" w:firstLine="0"/>
                      <w:rPr>
                        <w:rFonts w:eastAsia="楷体"/>
                        <w:color w:val="106D9C"/>
                        <w:lang w:eastAsia="zh-CN"/>
                      </w:rPr>
                    </w:pPr>
                    <w:r>
                      <w:rPr>
                        <w:rFonts w:eastAsia="楷体" w:hint="eastAsia"/>
                        <w:b/>
                        <w:color w:val="106D9C"/>
                        <w:sz w:val="30"/>
                        <w:szCs w:val="30"/>
                        <w:lang w:eastAsia="zh-CN"/>
                      </w:rPr>
                      <w:t>东盟韩国</w:t>
                    </w:r>
                    <w:r w:rsidR="00DF431B">
                      <w:rPr>
                        <w:rFonts w:eastAsia="楷体" w:hint="eastAsia"/>
                        <w:b/>
                        <w:color w:val="106D9C"/>
                        <w:sz w:val="30"/>
                        <w:szCs w:val="30"/>
                        <w:lang w:eastAsia="zh-CN"/>
                      </w:rPr>
                      <w:t>专题</w:t>
                    </w:r>
                  </w:p>
                  <w:p w14:paraId="4A9276E5" w14:textId="77777777" w:rsidR="00DF431B" w:rsidRDefault="00DF431B" w:rsidP="00D51929">
                    <w:pPr>
                      <w:ind w:firstLineChars="0" w:firstLine="0"/>
                      <w:rPr>
                        <w:rFonts w:ascii="楷体" w:eastAsia="楷体" w:hAnsi="楷体" w:hint="eastAsia"/>
                        <w:lang w:eastAsia="zh-CN"/>
                      </w:rPr>
                    </w:pPr>
                    <w:r>
                      <w:rPr>
                        <w:rFonts w:ascii="楷体" w:eastAsia="楷体" w:hAnsi="楷体" w:hint="eastAsia"/>
                        <w:b/>
                        <w:color w:val="FFFFFF"/>
                        <w:sz w:val="30"/>
                        <w:szCs w:val="30"/>
                        <w:lang w:eastAsia="zh-CN"/>
                      </w:rPr>
                      <w:t>CEEM 全球宏观经济季度报告（专题）</w:t>
                    </w:r>
                  </w:p>
                  <w:p w14:paraId="6FE803DC" w14:textId="77777777" w:rsidR="00DF431B" w:rsidRDefault="00DF431B" w:rsidP="00D51929">
                    <w:pPr>
                      <w:ind w:firstLine="480"/>
                      <w:rPr>
                        <w:rFonts w:ascii="楷体" w:eastAsia="楷体" w:hAnsi="楷体" w:hint="eastAsia"/>
                        <w:lang w:eastAsia="zh-CN"/>
                      </w:rPr>
                    </w:pPr>
                  </w:p>
                  <w:p w14:paraId="32E8F281" w14:textId="77777777" w:rsidR="00DF431B" w:rsidRDefault="00DF431B" w:rsidP="00D51929">
                    <w:pPr>
                      <w:ind w:firstLine="480"/>
                      <w:rPr>
                        <w:rFonts w:ascii="楷体" w:eastAsia="楷体" w:hAnsi="楷体" w:hint="eastAsia"/>
                        <w:lang w:eastAsia="zh-CN"/>
                      </w:rPr>
                    </w:pPr>
                  </w:p>
                  <w:p w14:paraId="2DAC01C7" w14:textId="77777777" w:rsidR="00DF431B" w:rsidRDefault="00DF431B" w:rsidP="00D51929">
                    <w:pPr>
                      <w:ind w:firstLine="480"/>
                      <w:rPr>
                        <w:rFonts w:ascii="楷体" w:eastAsia="楷体" w:hAnsi="楷体" w:hint="eastAsia"/>
                        <w:lang w:eastAsia="zh-CN"/>
                      </w:rPr>
                    </w:pPr>
                  </w:p>
                  <w:p w14:paraId="3ACCEAA3" w14:textId="77777777" w:rsidR="00DF431B" w:rsidRDefault="00DF431B" w:rsidP="00D51929">
                    <w:pPr>
                      <w:ind w:firstLineChars="0" w:firstLine="0"/>
                      <w:rPr>
                        <w:rFonts w:ascii="楷体" w:eastAsia="楷体" w:hAnsi="楷体" w:hint="eastAsia"/>
                        <w:lang w:eastAsia="zh-CN"/>
                      </w:rPr>
                    </w:pPr>
                    <w:r>
                      <w:rPr>
                        <w:rFonts w:ascii="楷体" w:eastAsia="楷体" w:hAnsi="楷体"/>
                        <w:b/>
                        <w:color w:val="FFFFFF"/>
                        <w:sz w:val="30"/>
                        <w:szCs w:val="30"/>
                        <w:lang w:eastAsia="zh-CN"/>
                      </w:rPr>
                      <w:t>C</w:t>
                    </w:r>
                    <w:r>
                      <w:rPr>
                        <w:rFonts w:ascii="楷体" w:eastAsia="楷体" w:hAnsi="楷体" w:hint="eastAsia"/>
                        <w:b/>
                        <w:color w:val="FFFFFF"/>
                        <w:sz w:val="30"/>
                        <w:szCs w:val="30"/>
                        <w:lang w:eastAsia="zh-CN"/>
                      </w:rPr>
                      <w:t>EEM 全球宏观经济季度报告（专题）</w:t>
                    </w:r>
                  </w:p>
                  <w:p w14:paraId="625243A8" w14:textId="77777777" w:rsidR="00DF431B" w:rsidRDefault="00DF431B" w:rsidP="00D51929">
                    <w:pPr>
                      <w:ind w:firstLine="602"/>
                      <w:rPr>
                        <w:rFonts w:ascii="楷体" w:eastAsia="楷体" w:hAnsi="楷体" w:hint="eastAsia"/>
                        <w:lang w:eastAsia="zh-CN"/>
                      </w:rPr>
                    </w:pPr>
                    <w:r>
                      <w:rPr>
                        <w:rFonts w:ascii="楷体" w:eastAsia="楷体" w:hAnsi="楷体" w:hint="eastAsia"/>
                        <w:b/>
                        <w:color w:val="FFFFFF"/>
                        <w:sz w:val="30"/>
                        <w:szCs w:val="30"/>
                        <w:lang w:eastAsia="zh-CN"/>
                      </w:rPr>
                      <w:t>CEEM 全球宏观经济季度报告（下篇）</w:t>
                    </w:r>
                  </w:p>
                </w:txbxContent>
              </v:textbox>
            </v:shape>
          </w:pict>
        </mc:Fallback>
      </mc:AlternateContent>
    </w:r>
    <w:r>
      <w:rPr>
        <w:noProof/>
      </w:rPr>
      <mc:AlternateContent>
        <mc:Choice Requires="wps">
          <w:drawing>
            <wp:anchor distT="0" distB="0" distL="114300" distR="114300" simplePos="0" relativeHeight="251717632" behindDoc="0" locked="0" layoutInCell="1" allowOverlap="1" wp14:anchorId="6F620AA0" wp14:editId="1F3E96DC">
              <wp:simplePos x="0" y="0"/>
              <wp:positionH relativeFrom="column">
                <wp:posOffset>-473075</wp:posOffset>
              </wp:positionH>
              <wp:positionV relativeFrom="paragraph">
                <wp:posOffset>-172085</wp:posOffset>
              </wp:positionV>
              <wp:extent cx="3810000" cy="327660"/>
              <wp:effectExtent l="0" t="0" r="0" b="0"/>
              <wp:wrapNone/>
              <wp:docPr id="2004023700" name="文本框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327660"/>
                      </a:xfrm>
                      <a:prstGeom prst="rect">
                        <a:avLst/>
                      </a:prstGeom>
                      <a:solidFill>
                        <a:srgbClr val="FFFFFF">
                          <a:alpha val="0"/>
                        </a:srgbClr>
                      </a:solidFill>
                      <a:ln>
                        <a:noFill/>
                      </a:ln>
                    </wps:spPr>
                    <wps:txbx>
                      <w:txbxContent>
                        <w:p w14:paraId="08FA7913" w14:textId="77777777" w:rsidR="00DF431B" w:rsidRDefault="00DF431B">
                          <w:pPr>
                            <w:ind w:firstLineChars="0" w:firstLine="0"/>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w:t>
                          </w:r>
                        </w:p>
                        <w:p w14:paraId="0C0376BE" w14:textId="77777777" w:rsidR="00DF431B" w:rsidRDefault="00DF431B">
                          <w:pPr>
                            <w:ind w:firstLineChars="0" w:firstLine="0"/>
                            <w:rPr>
                              <w:rFonts w:ascii="楷体" w:eastAsia="楷体" w:hAnsi="楷体"/>
                              <w:lang w:eastAsia="zh-CN"/>
                            </w:rPr>
                          </w:pPr>
                          <w:r>
                            <w:rPr>
                              <w:rFonts w:ascii="楷体" w:eastAsia="楷体" w:hAnsi="楷体" w:hint="eastAsia"/>
                              <w:b/>
                              <w:color w:val="FFFFFF"/>
                              <w:sz w:val="30"/>
                              <w:szCs w:val="30"/>
                              <w:lang w:eastAsia="zh-CN"/>
                            </w:rPr>
                            <w:t>CEEM 全球宏观经济季度报告（专题）</w:t>
                          </w:r>
                        </w:p>
                        <w:p w14:paraId="7BEF0A45" w14:textId="77777777" w:rsidR="00DF431B" w:rsidRDefault="00DF431B">
                          <w:pPr>
                            <w:ind w:firstLine="480"/>
                            <w:rPr>
                              <w:rFonts w:ascii="楷体" w:eastAsia="楷体" w:hAnsi="楷体"/>
                              <w:lang w:eastAsia="zh-CN"/>
                            </w:rPr>
                          </w:pPr>
                        </w:p>
                        <w:p w14:paraId="1C6A0290" w14:textId="77777777" w:rsidR="00DF431B" w:rsidRDefault="00DF431B">
                          <w:pPr>
                            <w:ind w:firstLine="480"/>
                            <w:rPr>
                              <w:rFonts w:ascii="楷体" w:eastAsia="楷体" w:hAnsi="楷体"/>
                              <w:lang w:eastAsia="zh-CN"/>
                            </w:rPr>
                          </w:pPr>
                        </w:p>
                        <w:p w14:paraId="29F10DC7" w14:textId="77777777" w:rsidR="00DF431B" w:rsidRDefault="00DF431B">
                          <w:pPr>
                            <w:ind w:firstLine="480"/>
                            <w:rPr>
                              <w:rFonts w:ascii="楷体" w:eastAsia="楷体" w:hAnsi="楷体"/>
                              <w:lang w:eastAsia="zh-CN"/>
                            </w:rPr>
                          </w:pPr>
                        </w:p>
                        <w:p w14:paraId="1FAA5F5D" w14:textId="77777777" w:rsidR="00DF431B" w:rsidRDefault="00DF431B">
                          <w:pPr>
                            <w:ind w:firstLineChars="0" w:firstLine="0"/>
                            <w:rPr>
                              <w:rFonts w:ascii="楷体" w:eastAsia="楷体" w:hAnsi="楷体"/>
                              <w:lang w:eastAsia="zh-CN"/>
                            </w:rPr>
                          </w:pPr>
                          <w:r>
                            <w:rPr>
                              <w:rFonts w:ascii="楷体" w:eastAsia="楷体" w:hAnsi="楷体"/>
                              <w:b/>
                              <w:color w:val="FFFFFF"/>
                              <w:sz w:val="30"/>
                              <w:szCs w:val="30"/>
                              <w:lang w:eastAsia="zh-CN"/>
                            </w:rPr>
                            <w:t>C</w:t>
                          </w:r>
                          <w:r>
                            <w:rPr>
                              <w:rFonts w:ascii="楷体" w:eastAsia="楷体" w:hAnsi="楷体" w:hint="eastAsia"/>
                              <w:b/>
                              <w:color w:val="FFFFFF"/>
                              <w:sz w:val="30"/>
                              <w:szCs w:val="30"/>
                              <w:lang w:eastAsia="zh-CN"/>
                            </w:rPr>
                            <w:t>EEM 全球宏观经济季度报告（专题）</w:t>
                          </w:r>
                        </w:p>
                        <w:p w14:paraId="661944FB" w14:textId="77777777" w:rsidR="00DF431B" w:rsidRDefault="00DF431B">
                          <w:pPr>
                            <w:ind w:firstLine="602"/>
                            <w:rPr>
                              <w:rFonts w:ascii="楷体" w:eastAsia="楷体" w:hAnsi="楷体"/>
                              <w:lang w:eastAsia="zh-CN"/>
                            </w:rPr>
                          </w:pPr>
                          <w:r>
                            <w:rPr>
                              <w:rFonts w:ascii="楷体" w:eastAsia="楷体" w:hAnsi="楷体" w:hint="eastAsia"/>
                              <w:b/>
                              <w:color w:val="FFFFFF"/>
                              <w:sz w:val="30"/>
                              <w:szCs w:val="30"/>
                              <w:lang w:eastAsia="zh-CN"/>
                            </w:rPr>
                            <w:t>CEEM 全球宏观经济季度报告（下篇）</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620AA0" id="_x0000_s1045" type="#_x0000_t202" style="position:absolute;left:0;text-align:left;margin-left:-37.25pt;margin-top:-13.55pt;width:300pt;height:25.8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" stroked="f">
              <v:fill opacity="0"/>
              <v:textbox>
                <w:txbxContent>
                  <w:p w14:paraId="08FA7913" w14:textId="77777777" w:rsidR="00DF431B" w:rsidRDefault="00DF431B">
                    <w:pPr>
                      <w:ind w:firstLineChars="0" w:firstLine="0"/>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w:t>
                    </w:r>
                  </w:p>
                  <w:p w14:paraId="0C0376BE" w14:textId="77777777" w:rsidR="00DF431B" w:rsidRDefault="00DF431B">
                    <w:pPr>
                      <w:ind w:firstLineChars="0" w:firstLine="0"/>
                      <w:rPr>
                        <w:rFonts w:ascii="楷体" w:eastAsia="楷体" w:hAnsi="楷体" w:hint="eastAsia"/>
                        <w:lang w:eastAsia="zh-CN"/>
                      </w:rPr>
                    </w:pPr>
                    <w:r>
                      <w:rPr>
                        <w:rFonts w:ascii="楷体" w:eastAsia="楷体" w:hAnsi="楷体" w:hint="eastAsia"/>
                        <w:b/>
                        <w:color w:val="FFFFFF"/>
                        <w:sz w:val="30"/>
                        <w:szCs w:val="30"/>
                        <w:lang w:eastAsia="zh-CN"/>
                      </w:rPr>
                      <w:t>CEEM 全球宏观经济季度报告（专题）</w:t>
                    </w:r>
                  </w:p>
                  <w:p w14:paraId="7BEF0A45" w14:textId="77777777" w:rsidR="00DF431B" w:rsidRDefault="00DF431B">
                    <w:pPr>
                      <w:ind w:firstLine="480"/>
                      <w:rPr>
                        <w:rFonts w:ascii="楷体" w:eastAsia="楷体" w:hAnsi="楷体" w:hint="eastAsia"/>
                        <w:lang w:eastAsia="zh-CN"/>
                      </w:rPr>
                    </w:pPr>
                  </w:p>
                  <w:p w14:paraId="1C6A0290" w14:textId="77777777" w:rsidR="00DF431B" w:rsidRDefault="00DF431B">
                    <w:pPr>
                      <w:ind w:firstLine="480"/>
                      <w:rPr>
                        <w:rFonts w:ascii="楷体" w:eastAsia="楷体" w:hAnsi="楷体" w:hint="eastAsia"/>
                        <w:lang w:eastAsia="zh-CN"/>
                      </w:rPr>
                    </w:pPr>
                  </w:p>
                  <w:p w14:paraId="29F10DC7" w14:textId="77777777" w:rsidR="00DF431B" w:rsidRDefault="00DF431B">
                    <w:pPr>
                      <w:ind w:firstLine="480"/>
                      <w:rPr>
                        <w:rFonts w:ascii="楷体" w:eastAsia="楷体" w:hAnsi="楷体" w:hint="eastAsia"/>
                        <w:lang w:eastAsia="zh-CN"/>
                      </w:rPr>
                    </w:pPr>
                  </w:p>
                  <w:p w14:paraId="1FAA5F5D" w14:textId="77777777" w:rsidR="00DF431B" w:rsidRDefault="00DF431B">
                    <w:pPr>
                      <w:ind w:firstLineChars="0" w:firstLine="0"/>
                      <w:rPr>
                        <w:rFonts w:ascii="楷体" w:eastAsia="楷体" w:hAnsi="楷体" w:hint="eastAsia"/>
                        <w:lang w:eastAsia="zh-CN"/>
                      </w:rPr>
                    </w:pPr>
                    <w:r>
                      <w:rPr>
                        <w:rFonts w:ascii="楷体" w:eastAsia="楷体" w:hAnsi="楷体"/>
                        <w:b/>
                        <w:color w:val="FFFFFF"/>
                        <w:sz w:val="30"/>
                        <w:szCs w:val="30"/>
                        <w:lang w:eastAsia="zh-CN"/>
                      </w:rPr>
                      <w:t>C</w:t>
                    </w:r>
                    <w:r>
                      <w:rPr>
                        <w:rFonts w:ascii="楷体" w:eastAsia="楷体" w:hAnsi="楷体" w:hint="eastAsia"/>
                        <w:b/>
                        <w:color w:val="FFFFFF"/>
                        <w:sz w:val="30"/>
                        <w:szCs w:val="30"/>
                        <w:lang w:eastAsia="zh-CN"/>
                      </w:rPr>
                      <w:t>EEM 全球宏观经济季度报告（专题）</w:t>
                    </w:r>
                  </w:p>
                  <w:p w14:paraId="661944FB" w14:textId="77777777" w:rsidR="00DF431B" w:rsidRDefault="00DF431B">
                    <w:pPr>
                      <w:ind w:firstLine="602"/>
                      <w:rPr>
                        <w:rFonts w:ascii="楷体" w:eastAsia="楷体" w:hAnsi="楷体" w:hint="eastAsia"/>
                        <w:lang w:eastAsia="zh-CN"/>
                      </w:rPr>
                    </w:pPr>
                    <w:r>
                      <w:rPr>
                        <w:rFonts w:ascii="楷体" w:eastAsia="楷体" w:hAnsi="楷体" w:hint="eastAsia"/>
                        <w:b/>
                        <w:color w:val="FFFFFF"/>
                        <w:sz w:val="30"/>
                        <w:szCs w:val="30"/>
                        <w:lang w:eastAsia="zh-CN"/>
                      </w:rPr>
                      <w:t>CEEM 全球宏观经济季度报告（下篇）</w:t>
                    </w:r>
                  </w:p>
                </w:txbxContent>
              </v:textbox>
            </v:shape>
          </w:pict>
        </mc:Fallback>
      </mc:AlternateContent>
    </w:r>
    <w:r>
      <w:rPr>
        <w:noProof/>
      </w:rPr>
      <mc:AlternateContent>
        <mc:Choice Requires="wps">
          <w:drawing>
            <wp:anchor distT="0" distB="0" distL="114300" distR="114300" simplePos="0" relativeHeight="251716608" behindDoc="0" locked="0" layoutInCell="1" allowOverlap="1" wp14:anchorId="3F2E3DC7" wp14:editId="6C04DC8C">
              <wp:simplePos x="0" y="0"/>
              <wp:positionH relativeFrom="column">
                <wp:posOffset>-381000</wp:posOffset>
              </wp:positionH>
              <wp:positionV relativeFrom="paragraph">
                <wp:posOffset>129540</wp:posOffset>
              </wp:positionV>
              <wp:extent cx="6120000" cy="0"/>
              <wp:effectExtent l="0" t="19050" r="33655" b="19050"/>
              <wp:wrapNone/>
              <wp:docPr id="2004023701" name="直接连接符 29"/>
              <wp:cNvGraphicFramePr/>
              <a:graphic xmlns:a="http://schemas.openxmlformats.org/drawingml/2006/main">
                <a:graphicData uri="http://schemas.microsoft.com/office/word/2010/wordprocessingShape">
                  <wps:wsp>
                    <wps:cNvCnPr/>
                    <wps:spPr>
                      <a:xfrm>
                        <a:off x="0" y="0"/>
                        <a:ext cx="6120000" cy="0"/>
                      </a:xfrm>
                      <a:prstGeom prst="line">
                        <a:avLst/>
                      </a:prstGeom>
                      <a:ln w="28575">
                        <a:solidFill>
                          <a:srgbClr val="106D9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06BE103" id="直接连接符 29" o:spid="_x0000_s1026" style="position:absolute;left:0;text-align:lef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pt,10.2pt" to="451.9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" strokecolor="#106d9c" strokeweight="2.25pt"/>
          </w:pict>
        </mc:Fallback>
      </mc:AlternateContent>
    </w:r>
    <w:r>
      <w:rPr>
        <w:noProof/>
      </w:rPr>
      <mc:AlternateContent>
        <mc:Choice Requires="wps">
          <w:drawing>
            <wp:anchor distT="0" distB="0" distL="114300" distR="114300" simplePos="0" relativeHeight="251715584" behindDoc="0" locked="0" layoutInCell="1" allowOverlap="1" wp14:anchorId="118DDE39" wp14:editId="0A92F1D3">
              <wp:simplePos x="0" y="0"/>
              <wp:positionH relativeFrom="column">
                <wp:posOffset>-722630</wp:posOffset>
              </wp:positionH>
              <wp:positionV relativeFrom="paragraph">
                <wp:posOffset>-243840</wp:posOffset>
              </wp:positionV>
              <wp:extent cx="3790950" cy="327660"/>
              <wp:effectExtent l="0" t="0" r="0" b="0"/>
              <wp:wrapNone/>
              <wp:docPr id="2004023703" name="文本框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327660"/>
                      </a:xfrm>
                      <a:prstGeom prst="rect">
                        <a:avLst/>
                      </a:prstGeom>
                      <a:solidFill>
                        <a:srgbClr val="FFFFFF">
                          <a:alpha val="0"/>
                        </a:srgbClr>
                      </a:solidFill>
                      <a:ln>
                        <a:noFill/>
                      </a:ln>
                    </wps:spPr>
                    <wps:txbx>
                      <w:txbxContent>
                        <w:p w14:paraId="727834FC" w14:textId="77777777" w:rsidR="00DF431B" w:rsidRDefault="00DF431B">
                          <w:pPr>
                            <w:ind w:firstLine="480"/>
                          </w:pPr>
                        </w:p>
                        <w:p w14:paraId="0895A5A8" w14:textId="77777777" w:rsidR="00DF431B" w:rsidRDefault="00DF431B">
                          <w:pPr>
                            <w:ind w:firstLine="480"/>
                          </w:pPr>
                        </w:p>
                        <w:p w14:paraId="7000C61E" w14:textId="77777777" w:rsidR="00DF431B" w:rsidRDefault="00DF431B">
                          <w:pPr>
                            <w:ind w:firstLine="480"/>
                          </w:pPr>
                        </w:p>
                        <w:p w14:paraId="68BD4D8E" w14:textId="77777777" w:rsidR="00DF431B" w:rsidRDefault="00DF431B">
                          <w:pPr>
                            <w:spacing w:line="240" w:lineRule="auto"/>
                            <w:ind w:firstLineChars="0" w:firstLine="0"/>
                            <w:rPr>
                              <w:rFonts w:ascii="黑体" w:eastAsia="黑体" w:hAnsi="黑体"/>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415526B7" w14:textId="77777777" w:rsidR="00DF431B" w:rsidRDefault="00DF431B">
                          <w:pPr>
                            <w:ind w:firstLine="480"/>
                            <w:rPr>
                              <w:lang w:eastAsia="zh-CN"/>
                            </w:rPr>
                          </w:pPr>
                        </w:p>
                        <w:p w14:paraId="7ABB040F" w14:textId="77777777" w:rsidR="00DF431B" w:rsidRDefault="00DF431B">
                          <w:pPr>
                            <w:spacing w:line="240" w:lineRule="auto"/>
                            <w:ind w:firstLineChars="0" w:firstLine="0"/>
                            <w:rPr>
                              <w:rFonts w:ascii="黑体" w:eastAsia="黑体" w:hAnsi="黑体"/>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73979B86" w14:textId="77777777" w:rsidR="00DF431B" w:rsidRDefault="00DF431B">
                          <w:pPr>
                            <w:ind w:firstLine="480"/>
                            <w:rPr>
                              <w:lang w:eastAsia="zh-CN"/>
                            </w:rPr>
                          </w:pPr>
                        </w:p>
                        <w:p w14:paraId="1A36490F" w14:textId="77777777" w:rsidR="00DF431B" w:rsidRDefault="00DF431B">
                          <w:pPr>
                            <w:ind w:firstLine="480"/>
                            <w:rPr>
                              <w:lang w:eastAsia="zh-CN"/>
                            </w:rPr>
                          </w:pPr>
                        </w:p>
                        <w:p w14:paraId="2F9D9526" w14:textId="77777777" w:rsidR="00DF431B" w:rsidRDefault="00DF431B">
                          <w:pPr>
                            <w:spacing w:line="240" w:lineRule="auto"/>
                            <w:ind w:firstLineChars="0" w:firstLine="0"/>
                            <w:rPr>
                              <w:rFonts w:ascii="黑体" w:eastAsia="黑体" w:hAnsi="黑体"/>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4B6F9E55" w14:textId="77777777" w:rsidR="00DF431B" w:rsidRDefault="00DF431B">
                          <w:pPr>
                            <w:ind w:firstLine="480"/>
                            <w:rPr>
                              <w:lang w:eastAsia="zh-CN"/>
                            </w:rPr>
                          </w:pPr>
                        </w:p>
                        <w:p w14:paraId="141A0051" w14:textId="77777777" w:rsidR="00DF431B" w:rsidRDefault="00DF431B">
                          <w:pPr>
                            <w:ind w:firstLine="602"/>
                            <w:rPr>
                              <w:lang w:eastAsia="zh-CN"/>
                            </w:rPr>
                          </w:pPr>
                          <w:r>
                            <w:rPr>
                              <w:rFonts w:ascii="黑体" w:eastAsia="黑体" w:hAnsi="黑体" w:hint="eastAsia"/>
                              <w:b/>
                              <w:color w:val="FFFFFF"/>
                              <w:sz w:val="30"/>
                              <w:szCs w:val="30"/>
                              <w:lang w:eastAsia="zh-CN"/>
                            </w:rPr>
                            <w:t>CEEM 全球宏观经济季度报告（专题）</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8DDE39" id="_x0000_s1046" type="#_x0000_t202" style="position:absolute;left:0;text-align:left;margin-left:-56.9pt;margin-top:-19.2pt;width:298.5pt;height:25.8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" stroked="f">
              <v:fill opacity="0"/>
              <v:textbox>
                <w:txbxContent>
                  <w:p w14:paraId="727834FC" w14:textId="77777777" w:rsidR="00DF431B" w:rsidRDefault="00DF431B">
                    <w:pPr>
                      <w:ind w:firstLine="480"/>
                    </w:pPr>
                  </w:p>
                  <w:p w14:paraId="0895A5A8" w14:textId="77777777" w:rsidR="00DF431B" w:rsidRDefault="00DF431B">
                    <w:pPr>
                      <w:ind w:firstLine="480"/>
                    </w:pPr>
                  </w:p>
                  <w:p w14:paraId="7000C61E" w14:textId="77777777" w:rsidR="00DF431B" w:rsidRDefault="00DF431B">
                    <w:pPr>
                      <w:ind w:firstLine="480"/>
                    </w:pPr>
                  </w:p>
                  <w:p w14:paraId="68BD4D8E" w14:textId="77777777" w:rsidR="00DF431B" w:rsidRDefault="00DF431B">
                    <w:pPr>
                      <w:spacing w:line="240" w:lineRule="auto"/>
                      <w:ind w:firstLineChars="0" w:firstLine="0"/>
                      <w:rPr>
                        <w:rFonts w:ascii="黑体" w:eastAsia="黑体" w:hAnsi="黑体" w:hint="eastAsia"/>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415526B7" w14:textId="77777777" w:rsidR="00DF431B" w:rsidRDefault="00DF431B">
                    <w:pPr>
                      <w:ind w:firstLine="480"/>
                      <w:rPr>
                        <w:lang w:eastAsia="zh-CN"/>
                      </w:rPr>
                    </w:pPr>
                  </w:p>
                  <w:p w14:paraId="7ABB040F" w14:textId="77777777" w:rsidR="00DF431B" w:rsidRDefault="00DF431B">
                    <w:pPr>
                      <w:spacing w:line="240" w:lineRule="auto"/>
                      <w:ind w:firstLineChars="0" w:firstLine="0"/>
                      <w:rPr>
                        <w:rFonts w:ascii="黑体" w:eastAsia="黑体" w:hAnsi="黑体" w:hint="eastAsia"/>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73979B86" w14:textId="77777777" w:rsidR="00DF431B" w:rsidRDefault="00DF431B">
                    <w:pPr>
                      <w:ind w:firstLine="480"/>
                      <w:rPr>
                        <w:lang w:eastAsia="zh-CN"/>
                      </w:rPr>
                    </w:pPr>
                  </w:p>
                  <w:p w14:paraId="1A36490F" w14:textId="77777777" w:rsidR="00DF431B" w:rsidRDefault="00DF431B">
                    <w:pPr>
                      <w:ind w:firstLine="480"/>
                      <w:rPr>
                        <w:lang w:eastAsia="zh-CN"/>
                      </w:rPr>
                    </w:pPr>
                  </w:p>
                  <w:p w14:paraId="2F9D9526" w14:textId="77777777" w:rsidR="00DF431B" w:rsidRDefault="00DF431B">
                    <w:pPr>
                      <w:spacing w:line="240" w:lineRule="auto"/>
                      <w:ind w:firstLineChars="0" w:firstLine="0"/>
                      <w:rPr>
                        <w:rFonts w:ascii="黑体" w:eastAsia="黑体" w:hAnsi="黑体" w:hint="eastAsia"/>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4B6F9E55" w14:textId="77777777" w:rsidR="00DF431B" w:rsidRDefault="00DF431B">
                    <w:pPr>
                      <w:ind w:firstLine="480"/>
                      <w:rPr>
                        <w:lang w:eastAsia="zh-CN"/>
                      </w:rPr>
                    </w:pPr>
                  </w:p>
                  <w:p w14:paraId="141A0051" w14:textId="77777777" w:rsidR="00DF431B" w:rsidRDefault="00DF431B">
                    <w:pPr>
                      <w:ind w:firstLine="602"/>
                      <w:rPr>
                        <w:lang w:eastAsia="zh-CN"/>
                      </w:rPr>
                    </w:pPr>
                    <w:r>
                      <w:rPr>
                        <w:rFonts w:ascii="黑体" w:eastAsia="黑体" w:hAnsi="黑体" w:hint="eastAsia"/>
                        <w:b/>
                        <w:color w:val="FFFFFF"/>
                        <w:sz w:val="30"/>
                        <w:szCs w:val="30"/>
                        <w:lang w:eastAsia="zh-CN"/>
                      </w:rPr>
                      <w:t>CEEM 全球宏观经济季度报告（专题）</w:t>
                    </w:r>
                  </w:p>
                </w:txbxContent>
              </v:textbox>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01EB1F" w14:textId="77777777" w:rsidR="00660068" w:rsidRDefault="00660068">
    <w:pPr>
      <w:pStyle w:val="21"/>
      <w:spacing w:before="120"/>
      <w:ind w:firstLine="480"/>
    </w:pPr>
    <w:r>
      <w:rPr>
        <w:noProof/>
      </w:rPr>
      <mc:AlternateContent>
        <mc:Choice Requires="wps">
          <w:drawing>
            <wp:anchor distT="0" distB="0" distL="114300" distR="114300" simplePos="0" relativeHeight="251739136" behindDoc="0" locked="0" layoutInCell="1" allowOverlap="1" wp14:anchorId="6EA5B809" wp14:editId="66921ED0">
              <wp:simplePos x="0" y="0"/>
              <wp:positionH relativeFrom="column">
                <wp:posOffset>4503420</wp:posOffset>
              </wp:positionH>
              <wp:positionV relativeFrom="paragraph">
                <wp:posOffset>-174625</wp:posOffset>
              </wp:positionV>
              <wp:extent cx="4213860" cy="327660"/>
              <wp:effectExtent l="0" t="0" r="0" b="0"/>
              <wp:wrapNone/>
              <wp:docPr id="37" name="文本框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3860" cy="327660"/>
                      </a:xfrm>
                      <a:prstGeom prst="rect">
                        <a:avLst/>
                      </a:prstGeom>
                      <a:solidFill>
                        <a:srgbClr val="FFFFFF">
                          <a:alpha val="0"/>
                        </a:srgbClr>
                      </a:solidFill>
                      <a:ln>
                        <a:noFill/>
                      </a:ln>
                    </wps:spPr>
                    <wps:txbx>
                      <w:txbxContent>
                        <w:p w14:paraId="333F9886" w14:textId="15E5A866" w:rsidR="00660068" w:rsidRDefault="00660068" w:rsidP="00894D49">
                          <w:pPr>
                            <w:ind w:firstLineChars="0" w:firstLine="0"/>
                            <w:rPr>
                              <w:rFonts w:eastAsia="楷体"/>
                              <w:color w:val="106D9C"/>
                              <w:lang w:eastAsia="zh-CN"/>
                            </w:rPr>
                          </w:pPr>
                          <w:r>
                            <w:rPr>
                              <w:rFonts w:eastAsia="楷体" w:hint="eastAsia"/>
                              <w:b/>
                              <w:color w:val="106D9C"/>
                              <w:sz w:val="30"/>
                              <w:szCs w:val="30"/>
                              <w:lang w:eastAsia="zh-CN"/>
                            </w:rPr>
                            <w:t>金砖国家专题</w:t>
                          </w:r>
                        </w:p>
                        <w:p w14:paraId="29CB1F54" w14:textId="77777777" w:rsidR="00660068" w:rsidRDefault="00660068" w:rsidP="00D51929">
                          <w:pPr>
                            <w:ind w:firstLineChars="0" w:firstLine="0"/>
                            <w:rPr>
                              <w:rFonts w:ascii="楷体" w:eastAsia="楷体" w:hAnsi="楷体"/>
                              <w:lang w:eastAsia="zh-CN"/>
                            </w:rPr>
                          </w:pPr>
                          <w:r>
                            <w:rPr>
                              <w:rFonts w:ascii="楷体" w:eastAsia="楷体" w:hAnsi="楷体" w:hint="eastAsia"/>
                              <w:b/>
                              <w:color w:val="FFFFFF"/>
                              <w:sz w:val="30"/>
                              <w:szCs w:val="30"/>
                              <w:lang w:eastAsia="zh-CN"/>
                            </w:rPr>
                            <w:t>CEEM 全球宏观经济季度报告（专题）</w:t>
                          </w:r>
                        </w:p>
                        <w:p w14:paraId="707D9A67" w14:textId="77777777" w:rsidR="00660068" w:rsidRDefault="00660068" w:rsidP="00D51929">
                          <w:pPr>
                            <w:ind w:firstLine="480"/>
                            <w:rPr>
                              <w:rFonts w:ascii="楷体" w:eastAsia="楷体" w:hAnsi="楷体"/>
                              <w:lang w:eastAsia="zh-CN"/>
                            </w:rPr>
                          </w:pPr>
                        </w:p>
                        <w:p w14:paraId="1D9946CC" w14:textId="77777777" w:rsidR="00660068" w:rsidRDefault="00660068" w:rsidP="00D51929">
                          <w:pPr>
                            <w:ind w:firstLine="480"/>
                            <w:rPr>
                              <w:rFonts w:ascii="楷体" w:eastAsia="楷体" w:hAnsi="楷体"/>
                              <w:lang w:eastAsia="zh-CN"/>
                            </w:rPr>
                          </w:pPr>
                        </w:p>
                        <w:p w14:paraId="1C3DD0CF" w14:textId="77777777" w:rsidR="00660068" w:rsidRDefault="00660068" w:rsidP="00D51929">
                          <w:pPr>
                            <w:ind w:firstLine="480"/>
                            <w:rPr>
                              <w:rFonts w:ascii="楷体" w:eastAsia="楷体" w:hAnsi="楷体"/>
                              <w:lang w:eastAsia="zh-CN"/>
                            </w:rPr>
                          </w:pPr>
                        </w:p>
                        <w:p w14:paraId="0A8060BB" w14:textId="77777777" w:rsidR="00660068" w:rsidRDefault="00660068" w:rsidP="00D51929">
                          <w:pPr>
                            <w:ind w:firstLineChars="0" w:firstLine="0"/>
                            <w:rPr>
                              <w:rFonts w:ascii="楷体" w:eastAsia="楷体" w:hAnsi="楷体"/>
                              <w:lang w:eastAsia="zh-CN"/>
                            </w:rPr>
                          </w:pPr>
                          <w:r>
                            <w:rPr>
                              <w:rFonts w:ascii="楷体" w:eastAsia="楷体" w:hAnsi="楷体"/>
                              <w:b/>
                              <w:color w:val="FFFFFF"/>
                              <w:sz w:val="30"/>
                              <w:szCs w:val="30"/>
                              <w:lang w:eastAsia="zh-CN"/>
                            </w:rPr>
                            <w:t>C</w:t>
                          </w:r>
                          <w:r>
                            <w:rPr>
                              <w:rFonts w:ascii="楷体" w:eastAsia="楷体" w:hAnsi="楷体" w:hint="eastAsia"/>
                              <w:b/>
                              <w:color w:val="FFFFFF"/>
                              <w:sz w:val="30"/>
                              <w:szCs w:val="30"/>
                              <w:lang w:eastAsia="zh-CN"/>
                            </w:rPr>
                            <w:t>EEM 全球宏观经济季度报告（专题）</w:t>
                          </w:r>
                        </w:p>
                        <w:p w14:paraId="7A0B9D01" w14:textId="77777777" w:rsidR="00660068" w:rsidRDefault="00660068" w:rsidP="00D51929">
                          <w:pPr>
                            <w:ind w:firstLine="602"/>
                            <w:rPr>
                              <w:rFonts w:ascii="楷体" w:eastAsia="楷体" w:hAnsi="楷体"/>
                              <w:lang w:eastAsia="zh-CN"/>
                            </w:rPr>
                          </w:pPr>
                          <w:r>
                            <w:rPr>
                              <w:rFonts w:ascii="楷体" w:eastAsia="楷体" w:hAnsi="楷体" w:hint="eastAsia"/>
                              <w:b/>
                              <w:color w:val="FFFFFF"/>
                              <w:sz w:val="30"/>
                              <w:szCs w:val="30"/>
                              <w:lang w:eastAsia="zh-CN"/>
                            </w:rPr>
                            <w:t>CEEM 全球宏观经济季度报告（下篇）</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EA5B809" id="_x0000_t202" coordsize="21600,21600" o:spt="202" path="m,l,21600r21600,l21600,xe">
              <v:stroke joinstyle="miter"/>
              <v:path gradientshapeok="t" o:connecttype="rect"/>
            </v:shapetype>
            <v:shape id="_x0000_s1047" type="#_x0000_t202" style="position:absolute;left:0;text-align:left;margin-left:354.6pt;margin-top:-13.75pt;width:331.8pt;height:25.8pt;z-index:25173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" stroked="f">
              <v:fill opacity="0"/>
              <v:textbox>
                <w:txbxContent>
                  <w:p w14:paraId="333F9886" w14:textId="15E5A866" w:rsidR="00660068" w:rsidRDefault="00660068" w:rsidP="00894D49">
                    <w:pPr>
                      <w:ind w:firstLineChars="0" w:firstLine="0"/>
                      <w:rPr>
                        <w:rFonts w:eastAsia="楷体"/>
                        <w:color w:val="106D9C"/>
                        <w:lang w:eastAsia="zh-CN"/>
                      </w:rPr>
                    </w:pPr>
                    <w:r>
                      <w:rPr>
                        <w:rFonts w:eastAsia="楷体" w:hint="eastAsia"/>
                        <w:b/>
                        <w:color w:val="106D9C"/>
                        <w:sz w:val="30"/>
                        <w:szCs w:val="30"/>
                        <w:lang w:eastAsia="zh-CN"/>
                      </w:rPr>
                      <w:t>金砖国家专题</w:t>
                    </w:r>
                  </w:p>
                  <w:p w14:paraId="29CB1F54" w14:textId="77777777" w:rsidR="00660068" w:rsidRDefault="00660068" w:rsidP="00D51929">
                    <w:pPr>
                      <w:ind w:firstLineChars="0" w:firstLine="0"/>
                      <w:rPr>
                        <w:rFonts w:ascii="楷体" w:eastAsia="楷体" w:hAnsi="楷体" w:hint="eastAsia"/>
                        <w:lang w:eastAsia="zh-CN"/>
                      </w:rPr>
                    </w:pPr>
                    <w:r>
                      <w:rPr>
                        <w:rFonts w:ascii="楷体" w:eastAsia="楷体" w:hAnsi="楷体" w:hint="eastAsia"/>
                        <w:b/>
                        <w:color w:val="FFFFFF"/>
                        <w:sz w:val="30"/>
                        <w:szCs w:val="30"/>
                        <w:lang w:eastAsia="zh-CN"/>
                      </w:rPr>
                      <w:t>CEEM 全球宏观经济季度报告（专题）</w:t>
                    </w:r>
                  </w:p>
                  <w:p w14:paraId="707D9A67" w14:textId="77777777" w:rsidR="00660068" w:rsidRDefault="00660068" w:rsidP="00D51929">
                    <w:pPr>
                      <w:ind w:firstLine="480"/>
                      <w:rPr>
                        <w:rFonts w:ascii="楷体" w:eastAsia="楷体" w:hAnsi="楷体" w:hint="eastAsia"/>
                        <w:lang w:eastAsia="zh-CN"/>
                      </w:rPr>
                    </w:pPr>
                  </w:p>
                  <w:p w14:paraId="1D9946CC" w14:textId="77777777" w:rsidR="00660068" w:rsidRDefault="00660068" w:rsidP="00D51929">
                    <w:pPr>
                      <w:ind w:firstLine="480"/>
                      <w:rPr>
                        <w:rFonts w:ascii="楷体" w:eastAsia="楷体" w:hAnsi="楷体" w:hint="eastAsia"/>
                        <w:lang w:eastAsia="zh-CN"/>
                      </w:rPr>
                    </w:pPr>
                  </w:p>
                  <w:p w14:paraId="1C3DD0CF" w14:textId="77777777" w:rsidR="00660068" w:rsidRDefault="00660068" w:rsidP="00D51929">
                    <w:pPr>
                      <w:ind w:firstLine="480"/>
                      <w:rPr>
                        <w:rFonts w:ascii="楷体" w:eastAsia="楷体" w:hAnsi="楷体" w:hint="eastAsia"/>
                        <w:lang w:eastAsia="zh-CN"/>
                      </w:rPr>
                    </w:pPr>
                  </w:p>
                  <w:p w14:paraId="0A8060BB" w14:textId="77777777" w:rsidR="00660068" w:rsidRDefault="00660068" w:rsidP="00D51929">
                    <w:pPr>
                      <w:ind w:firstLineChars="0" w:firstLine="0"/>
                      <w:rPr>
                        <w:rFonts w:ascii="楷体" w:eastAsia="楷体" w:hAnsi="楷体" w:hint="eastAsia"/>
                        <w:lang w:eastAsia="zh-CN"/>
                      </w:rPr>
                    </w:pPr>
                    <w:r>
                      <w:rPr>
                        <w:rFonts w:ascii="楷体" w:eastAsia="楷体" w:hAnsi="楷体"/>
                        <w:b/>
                        <w:color w:val="FFFFFF"/>
                        <w:sz w:val="30"/>
                        <w:szCs w:val="30"/>
                        <w:lang w:eastAsia="zh-CN"/>
                      </w:rPr>
                      <w:t>C</w:t>
                    </w:r>
                    <w:r>
                      <w:rPr>
                        <w:rFonts w:ascii="楷体" w:eastAsia="楷体" w:hAnsi="楷体" w:hint="eastAsia"/>
                        <w:b/>
                        <w:color w:val="FFFFFF"/>
                        <w:sz w:val="30"/>
                        <w:szCs w:val="30"/>
                        <w:lang w:eastAsia="zh-CN"/>
                      </w:rPr>
                      <w:t>EEM 全球宏观经济季度报告（专题）</w:t>
                    </w:r>
                  </w:p>
                  <w:p w14:paraId="7A0B9D01" w14:textId="77777777" w:rsidR="00660068" w:rsidRDefault="00660068" w:rsidP="00D51929">
                    <w:pPr>
                      <w:ind w:firstLine="602"/>
                      <w:rPr>
                        <w:rFonts w:ascii="楷体" w:eastAsia="楷体" w:hAnsi="楷体" w:hint="eastAsia"/>
                        <w:lang w:eastAsia="zh-CN"/>
                      </w:rPr>
                    </w:pPr>
                    <w:r>
                      <w:rPr>
                        <w:rFonts w:ascii="楷体" w:eastAsia="楷体" w:hAnsi="楷体" w:hint="eastAsia"/>
                        <w:b/>
                        <w:color w:val="FFFFFF"/>
                        <w:sz w:val="30"/>
                        <w:szCs w:val="30"/>
                        <w:lang w:eastAsia="zh-CN"/>
                      </w:rPr>
                      <w:t>CEEM 全球宏观经济季度报告（下篇）</w:t>
                    </w:r>
                  </w:p>
                </w:txbxContent>
              </v:textbox>
            </v:shape>
          </w:pict>
        </mc:Fallback>
      </mc:AlternateContent>
    </w:r>
    <w:r>
      <w:rPr>
        <w:noProof/>
      </w:rPr>
      <mc:AlternateContent>
        <mc:Choice Requires="wps">
          <w:drawing>
            <wp:anchor distT="0" distB="0" distL="114300" distR="114300" simplePos="0" relativeHeight="251738112" behindDoc="0" locked="0" layoutInCell="1" allowOverlap="1" wp14:anchorId="0EB500FC" wp14:editId="50F37AD8">
              <wp:simplePos x="0" y="0"/>
              <wp:positionH relativeFrom="column">
                <wp:posOffset>-473075</wp:posOffset>
              </wp:positionH>
              <wp:positionV relativeFrom="paragraph">
                <wp:posOffset>-172085</wp:posOffset>
              </wp:positionV>
              <wp:extent cx="3810000" cy="327660"/>
              <wp:effectExtent l="0" t="0" r="0" b="0"/>
              <wp:wrapNone/>
              <wp:docPr id="38" name="文本框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327660"/>
                      </a:xfrm>
                      <a:prstGeom prst="rect">
                        <a:avLst/>
                      </a:prstGeom>
                      <a:solidFill>
                        <a:srgbClr val="FFFFFF">
                          <a:alpha val="0"/>
                        </a:srgbClr>
                      </a:solidFill>
                      <a:ln>
                        <a:noFill/>
                      </a:ln>
                    </wps:spPr>
                    <wps:txbx>
                      <w:txbxContent>
                        <w:p w14:paraId="68BD6037" w14:textId="77777777" w:rsidR="00660068" w:rsidRDefault="00660068">
                          <w:pPr>
                            <w:ind w:firstLineChars="0" w:firstLine="0"/>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w:t>
                          </w:r>
                        </w:p>
                        <w:p w14:paraId="44210C20" w14:textId="77777777" w:rsidR="00660068" w:rsidRDefault="00660068">
                          <w:pPr>
                            <w:ind w:firstLineChars="0" w:firstLine="0"/>
                            <w:rPr>
                              <w:rFonts w:ascii="楷体" w:eastAsia="楷体" w:hAnsi="楷体"/>
                              <w:lang w:eastAsia="zh-CN"/>
                            </w:rPr>
                          </w:pPr>
                          <w:r>
                            <w:rPr>
                              <w:rFonts w:ascii="楷体" w:eastAsia="楷体" w:hAnsi="楷体" w:hint="eastAsia"/>
                              <w:b/>
                              <w:color w:val="FFFFFF"/>
                              <w:sz w:val="30"/>
                              <w:szCs w:val="30"/>
                              <w:lang w:eastAsia="zh-CN"/>
                            </w:rPr>
                            <w:t>CEEM 全球宏观经济季度报告（专题）</w:t>
                          </w:r>
                        </w:p>
                        <w:p w14:paraId="42DB01EA" w14:textId="77777777" w:rsidR="00660068" w:rsidRDefault="00660068">
                          <w:pPr>
                            <w:ind w:firstLine="480"/>
                            <w:rPr>
                              <w:rFonts w:ascii="楷体" w:eastAsia="楷体" w:hAnsi="楷体"/>
                              <w:lang w:eastAsia="zh-CN"/>
                            </w:rPr>
                          </w:pPr>
                        </w:p>
                        <w:p w14:paraId="66E54320" w14:textId="77777777" w:rsidR="00660068" w:rsidRDefault="00660068">
                          <w:pPr>
                            <w:ind w:firstLine="480"/>
                            <w:rPr>
                              <w:rFonts w:ascii="楷体" w:eastAsia="楷体" w:hAnsi="楷体"/>
                              <w:lang w:eastAsia="zh-CN"/>
                            </w:rPr>
                          </w:pPr>
                        </w:p>
                        <w:p w14:paraId="044D09A8" w14:textId="77777777" w:rsidR="00660068" w:rsidRDefault="00660068">
                          <w:pPr>
                            <w:ind w:firstLine="480"/>
                            <w:rPr>
                              <w:rFonts w:ascii="楷体" w:eastAsia="楷体" w:hAnsi="楷体"/>
                              <w:lang w:eastAsia="zh-CN"/>
                            </w:rPr>
                          </w:pPr>
                        </w:p>
                        <w:p w14:paraId="1A781C25" w14:textId="77777777" w:rsidR="00660068" w:rsidRDefault="00660068">
                          <w:pPr>
                            <w:ind w:firstLineChars="0" w:firstLine="0"/>
                            <w:rPr>
                              <w:rFonts w:ascii="楷体" w:eastAsia="楷体" w:hAnsi="楷体"/>
                              <w:lang w:eastAsia="zh-CN"/>
                            </w:rPr>
                          </w:pPr>
                          <w:r>
                            <w:rPr>
                              <w:rFonts w:ascii="楷体" w:eastAsia="楷体" w:hAnsi="楷体"/>
                              <w:b/>
                              <w:color w:val="FFFFFF"/>
                              <w:sz w:val="30"/>
                              <w:szCs w:val="30"/>
                              <w:lang w:eastAsia="zh-CN"/>
                            </w:rPr>
                            <w:t>C</w:t>
                          </w:r>
                          <w:r>
                            <w:rPr>
                              <w:rFonts w:ascii="楷体" w:eastAsia="楷体" w:hAnsi="楷体" w:hint="eastAsia"/>
                              <w:b/>
                              <w:color w:val="FFFFFF"/>
                              <w:sz w:val="30"/>
                              <w:szCs w:val="30"/>
                              <w:lang w:eastAsia="zh-CN"/>
                            </w:rPr>
                            <w:t>EEM 全球宏观经济季度报告（专题）</w:t>
                          </w:r>
                        </w:p>
                        <w:p w14:paraId="0CDC6E11" w14:textId="77777777" w:rsidR="00660068" w:rsidRDefault="00660068">
                          <w:pPr>
                            <w:ind w:firstLine="602"/>
                            <w:rPr>
                              <w:rFonts w:ascii="楷体" w:eastAsia="楷体" w:hAnsi="楷体"/>
                              <w:lang w:eastAsia="zh-CN"/>
                            </w:rPr>
                          </w:pPr>
                          <w:r>
                            <w:rPr>
                              <w:rFonts w:ascii="楷体" w:eastAsia="楷体" w:hAnsi="楷体" w:hint="eastAsia"/>
                              <w:b/>
                              <w:color w:val="FFFFFF"/>
                              <w:sz w:val="30"/>
                              <w:szCs w:val="30"/>
                              <w:lang w:eastAsia="zh-CN"/>
                            </w:rPr>
                            <w:t>CEEM 全球宏观经济季度报告（下篇）</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B500FC" id="_x0000_s1048" type="#_x0000_t202" style="position:absolute;left:0;text-align:left;margin-left:-37.25pt;margin-top:-13.55pt;width:300pt;height:25.8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" stroked="f">
              <v:fill opacity="0"/>
              <v:textbox>
                <w:txbxContent>
                  <w:p w14:paraId="68BD6037" w14:textId="77777777" w:rsidR="00660068" w:rsidRDefault="00660068">
                    <w:pPr>
                      <w:ind w:firstLineChars="0" w:firstLine="0"/>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w:t>
                    </w:r>
                  </w:p>
                  <w:p w14:paraId="44210C20" w14:textId="77777777" w:rsidR="00660068" w:rsidRDefault="00660068">
                    <w:pPr>
                      <w:ind w:firstLineChars="0" w:firstLine="0"/>
                      <w:rPr>
                        <w:rFonts w:ascii="楷体" w:eastAsia="楷体" w:hAnsi="楷体" w:hint="eastAsia"/>
                        <w:lang w:eastAsia="zh-CN"/>
                      </w:rPr>
                    </w:pPr>
                    <w:r>
                      <w:rPr>
                        <w:rFonts w:ascii="楷体" w:eastAsia="楷体" w:hAnsi="楷体" w:hint="eastAsia"/>
                        <w:b/>
                        <w:color w:val="FFFFFF"/>
                        <w:sz w:val="30"/>
                        <w:szCs w:val="30"/>
                        <w:lang w:eastAsia="zh-CN"/>
                      </w:rPr>
                      <w:t>CEEM 全球宏观经济季度报告（专题）</w:t>
                    </w:r>
                  </w:p>
                  <w:p w14:paraId="42DB01EA" w14:textId="77777777" w:rsidR="00660068" w:rsidRDefault="00660068">
                    <w:pPr>
                      <w:ind w:firstLine="480"/>
                      <w:rPr>
                        <w:rFonts w:ascii="楷体" w:eastAsia="楷体" w:hAnsi="楷体" w:hint="eastAsia"/>
                        <w:lang w:eastAsia="zh-CN"/>
                      </w:rPr>
                    </w:pPr>
                  </w:p>
                  <w:p w14:paraId="66E54320" w14:textId="77777777" w:rsidR="00660068" w:rsidRDefault="00660068">
                    <w:pPr>
                      <w:ind w:firstLine="480"/>
                      <w:rPr>
                        <w:rFonts w:ascii="楷体" w:eastAsia="楷体" w:hAnsi="楷体" w:hint="eastAsia"/>
                        <w:lang w:eastAsia="zh-CN"/>
                      </w:rPr>
                    </w:pPr>
                  </w:p>
                  <w:p w14:paraId="044D09A8" w14:textId="77777777" w:rsidR="00660068" w:rsidRDefault="00660068">
                    <w:pPr>
                      <w:ind w:firstLine="480"/>
                      <w:rPr>
                        <w:rFonts w:ascii="楷体" w:eastAsia="楷体" w:hAnsi="楷体" w:hint="eastAsia"/>
                        <w:lang w:eastAsia="zh-CN"/>
                      </w:rPr>
                    </w:pPr>
                  </w:p>
                  <w:p w14:paraId="1A781C25" w14:textId="77777777" w:rsidR="00660068" w:rsidRDefault="00660068">
                    <w:pPr>
                      <w:ind w:firstLineChars="0" w:firstLine="0"/>
                      <w:rPr>
                        <w:rFonts w:ascii="楷体" w:eastAsia="楷体" w:hAnsi="楷体" w:hint="eastAsia"/>
                        <w:lang w:eastAsia="zh-CN"/>
                      </w:rPr>
                    </w:pPr>
                    <w:r>
                      <w:rPr>
                        <w:rFonts w:ascii="楷体" w:eastAsia="楷体" w:hAnsi="楷体"/>
                        <w:b/>
                        <w:color w:val="FFFFFF"/>
                        <w:sz w:val="30"/>
                        <w:szCs w:val="30"/>
                        <w:lang w:eastAsia="zh-CN"/>
                      </w:rPr>
                      <w:t>C</w:t>
                    </w:r>
                    <w:r>
                      <w:rPr>
                        <w:rFonts w:ascii="楷体" w:eastAsia="楷体" w:hAnsi="楷体" w:hint="eastAsia"/>
                        <w:b/>
                        <w:color w:val="FFFFFF"/>
                        <w:sz w:val="30"/>
                        <w:szCs w:val="30"/>
                        <w:lang w:eastAsia="zh-CN"/>
                      </w:rPr>
                      <w:t>EEM 全球宏观经济季度报告（专题）</w:t>
                    </w:r>
                  </w:p>
                  <w:p w14:paraId="0CDC6E11" w14:textId="77777777" w:rsidR="00660068" w:rsidRDefault="00660068">
                    <w:pPr>
                      <w:ind w:firstLine="602"/>
                      <w:rPr>
                        <w:rFonts w:ascii="楷体" w:eastAsia="楷体" w:hAnsi="楷体" w:hint="eastAsia"/>
                        <w:lang w:eastAsia="zh-CN"/>
                      </w:rPr>
                    </w:pPr>
                    <w:r>
                      <w:rPr>
                        <w:rFonts w:ascii="楷体" w:eastAsia="楷体" w:hAnsi="楷体" w:hint="eastAsia"/>
                        <w:b/>
                        <w:color w:val="FFFFFF"/>
                        <w:sz w:val="30"/>
                        <w:szCs w:val="30"/>
                        <w:lang w:eastAsia="zh-CN"/>
                      </w:rPr>
                      <w:t>CEEM 全球宏观经济季度报告（下篇）</w:t>
                    </w:r>
                  </w:p>
                </w:txbxContent>
              </v:textbox>
            </v:shape>
          </w:pict>
        </mc:Fallback>
      </mc:AlternateContent>
    </w:r>
    <w:r>
      <w:rPr>
        <w:noProof/>
      </w:rPr>
      <mc:AlternateContent>
        <mc:Choice Requires="wps">
          <w:drawing>
            <wp:anchor distT="0" distB="0" distL="114300" distR="114300" simplePos="0" relativeHeight="251737088" behindDoc="0" locked="0" layoutInCell="1" allowOverlap="1" wp14:anchorId="27BC8C42" wp14:editId="075D8703">
              <wp:simplePos x="0" y="0"/>
              <wp:positionH relativeFrom="column">
                <wp:posOffset>-381000</wp:posOffset>
              </wp:positionH>
              <wp:positionV relativeFrom="paragraph">
                <wp:posOffset>129540</wp:posOffset>
              </wp:positionV>
              <wp:extent cx="6120000" cy="0"/>
              <wp:effectExtent l="0" t="19050" r="33655" b="19050"/>
              <wp:wrapNone/>
              <wp:docPr id="39" name="直接连接符 29"/>
              <wp:cNvGraphicFramePr/>
              <a:graphic xmlns:a="http://schemas.openxmlformats.org/drawingml/2006/main">
                <a:graphicData uri="http://schemas.microsoft.com/office/word/2010/wordprocessingShape">
                  <wps:wsp>
                    <wps:cNvCnPr/>
                    <wps:spPr>
                      <a:xfrm>
                        <a:off x="0" y="0"/>
                        <a:ext cx="6120000" cy="0"/>
                      </a:xfrm>
                      <a:prstGeom prst="line">
                        <a:avLst/>
                      </a:prstGeom>
                      <a:ln w="28575">
                        <a:solidFill>
                          <a:srgbClr val="106D9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D927BF8" id="直接连接符 29" o:spid="_x0000_s1026" style="position:absolute;left:0;text-align:lef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pt,10.2pt" to="451.9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" strokecolor="#106d9c" strokeweight="2.25pt"/>
          </w:pict>
        </mc:Fallback>
      </mc:AlternateContent>
    </w:r>
    <w:r>
      <w:rPr>
        <w:noProof/>
      </w:rPr>
      <mc:AlternateContent>
        <mc:Choice Requires="wps">
          <w:drawing>
            <wp:anchor distT="0" distB="0" distL="114300" distR="114300" simplePos="0" relativeHeight="251736064" behindDoc="0" locked="0" layoutInCell="1" allowOverlap="1" wp14:anchorId="2A11390F" wp14:editId="71C6CC6A">
              <wp:simplePos x="0" y="0"/>
              <wp:positionH relativeFrom="column">
                <wp:posOffset>-722630</wp:posOffset>
              </wp:positionH>
              <wp:positionV relativeFrom="paragraph">
                <wp:posOffset>-243840</wp:posOffset>
              </wp:positionV>
              <wp:extent cx="3790950" cy="327660"/>
              <wp:effectExtent l="0" t="0" r="0" b="0"/>
              <wp:wrapNone/>
              <wp:docPr id="40" name="文本框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327660"/>
                      </a:xfrm>
                      <a:prstGeom prst="rect">
                        <a:avLst/>
                      </a:prstGeom>
                      <a:solidFill>
                        <a:srgbClr val="FFFFFF">
                          <a:alpha val="0"/>
                        </a:srgbClr>
                      </a:solidFill>
                      <a:ln>
                        <a:noFill/>
                      </a:ln>
                    </wps:spPr>
                    <wps:txbx>
                      <w:txbxContent>
                        <w:p w14:paraId="1DB65DCC" w14:textId="77777777" w:rsidR="00660068" w:rsidRDefault="00660068">
                          <w:pPr>
                            <w:ind w:firstLine="480"/>
                          </w:pPr>
                        </w:p>
                        <w:p w14:paraId="783912C7" w14:textId="77777777" w:rsidR="00660068" w:rsidRDefault="00660068">
                          <w:pPr>
                            <w:ind w:firstLine="480"/>
                          </w:pPr>
                        </w:p>
                        <w:p w14:paraId="40925AEC" w14:textId="77777777" w:rsidR="00660068" w:rsidRDefault="00660068">
                          <w:pPr>
                            <w:ind w:firstLine="480"/>
                          </w:pPr>
                        </w:p>
                        <w:p w14:paraId="49B6E8AD" w14:textId="77777777" w:rsidR="00660068" w:rsidRDefault="00660068">
                          <w:pPr>
                            <w:spacing w:line="240" w:lineRule="auto"/>
                            <w:ind w:firstLineChars="0" w:firstLine="0"/>
                            <w:rPr>
                              <w:rFonts w:ascii="黑体" w:eastAsia="黑体" w:hAnsi="黑体"/>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0908FFA1" w14:textId="77777777" w:rsidR="00660068" w:rsidRDefault="00660068">
                          <w:pPr>
                            <w:ind w:firstLine="480"/>
                            <w:rPr>
                              <w:lang w:eastAsia="zh-CN"/>
                            </w:rPr>
                          </w:pPr>
                        </w:p>
                        <w:p w14:paraId="3943819B" w14:textId="77777777" w:rsidR="00660068" w:rsidRDefault="00660068">
                          <w:pPr>
                            <w:spacing w:line="240" w:lineRule="auto"/>
                            <w:ind w:firstLineChars="0" w:firstLine="0"/>
                            <w:rPr>
                              <w:rFonts w:ascii="黑体" w:eastAsia="黑体" w:hAnsi="黑体"/>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6DCFE109" w14:textId="77777777" w:rsidR="00660068" w:rsidRDefault="00660068">
                          <w:pPr>
                            <w:ind w:firstLine="480"/>
                            <w:rPr>
                              <w:lang w:eastAsia="zh-CN"/>
                            </w:rPr>
                          </w:pPr>
                        </w:p>
                        <w:p w14:paraId="5AF90C48" w14:textId="77777777" w:rsidR="00660068" w:rsidRDefault="00660068">
                          <w:pPr>
                            <w:ind w:firstLine="480"/>
                            <w:rPr>
                              <w:lang w:eastAsia="zh-CN"/>
                            </w:rPr>
                          </w:pPr>
                        </w:p>
                        <w:p w14:paraId="1F59034B" w14:textId="77777777" w:rsidR="00660068" w:rsidRDefault="00660068">
                          <w:pPr>
                            <w:spacing w:line="240" w:lineRule="auto"/>
                            <w:ind w:firstLineChars="0" w:firstLine="0"/>
                            <w:rPr>
                              <w:rFonts w:ascii="黑体" w:eastAsia="黑体" w:hAnsi="黑体"/>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34E0259F" w14:textId="77777777" w:rsidR="00660068" w:rsidRDefault="00660068">
                          <w:pPr>
                            <w:ind w:firstLine="480"/>
                            <w:rPr>
                              <w:lang w:eastAsia="zh-CN"/>
                            </w:rPr>
                          </w:pPr>
                        </w:p>
                        <w:p w14:paraId="16100248" w14:textId="77777777" w:rsidR="00660068" w:rsidRDefault="00660068">
                          <w:pPr>
                            <w:ind w:firstLine="602"/>
                            <w:rPr>
                              <w:lang w:eastAsia="zh-CN"/>
                            </w:rPr>
                          </w:pPr>
                          <w:r>
                            <w:rPr>
                              <w:rFonts w:ascii="黑体" w:eastAsia="黑体" w:hAnsi="黑体" w:hint="eastAsia"/>
                              <w:b/>
                              <w:color w:val="FFFFFF"/>
                              <w:sz w:val="30"/>
                              <w:szCs w:val="30"/>
                              <w:lang w:eastAsia="zh-CN"/>
                            </w:rPr>
                            <w:t>CEEM 全球宏观经济季度报告（专题）</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11390F" id="_x0000_s1049" type="#_x0000_t202" style="position:absolute;left:0;text-align:left;margin-left:-56.9pt;margin-top:-19.2pt;width:298.5pt;height:25.8pt;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" stroked="f">
              <v:fill opacity="0"/>
              <v:textbox>
                <w:txbxContent>
                  <w:p w14:paraId="1DB65DCC" w14:textId="77777777" w:rsidR="00660068" w:rsidRDefault="00660068">
                    <w:pPr>
                      <w:ind w:firstLine="480"/>
                    </w:pPr>
                  </w:p>
                  <w:p w14:paraId="783912C7" w14:textId="77777777" w:rsidR="00660068" w:rsidRDefault="00660068">
                    <w:pPr>
                      <w:ind w:firstLine="480"/>
                    </w:pPr>
                  </w:p>
                  <w:p w14:paraId="40925AEC" w14:textId="77777777" w:rsidR="00660068" w:rsidRDefault="00660068">
                    <w:pPr>
                      <w:ind w:firstLine="480"/>
                    </w:pPr>
                  </w:p>
                  <w:p w14:paraId="49B6E8AD" w14:textId="77777777" w:rsidR="00660068" w:rsidRDefault="00660068">
                    <w:pPr>
                      <w:spacing w:line="240" w:lineRule="auto"/>
                      <w:ind w:firstLineChars="0" w:firstLine="0"/>
                      <w:rPr>
                        <w:rFonts w:ascii="黑体" w:eastAsia="黑体" w:hAnsi="黑体" w:hint="eastAsia"/>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0908FFA1" w14:textId="77777777" w:rsidR="00660068" w:rsidRDefault="00660068">
                    <w:pPr>
                      <w:ind w:firstLine="480"/>
                      <w:rPr>
                        <w:lang w:eastAsia="zh-CN"/>
                      </w:rPr>
                    </w:pPr>
                  </w:p>
                  <w:p w14:paraId="3943819B" w14:textId="77777777" w:rsidR="00660068" w:rsidRDefault="00660068">
                    <w:pPr>
                      <w:spacing w:line="240" w:lineRule="auto"/>
                      <w:ind w:firstLineChars="0" w:firstLine="0"/>
                      <w:rPr>
                        <w:rFonts w:ascii="黑体" w:eastAsia="黑体" w:hAnsi="黑体" w:hint="eastAsia"/>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6DCFE109" w14:textId="77777777" w:rsidR="00660068" w:rsidRDefault="00660068">
                    <w:pPr>
                      <w:ind w:firstLine="480"/>
                      <w:rPr>
                        <w:lang w:eastAsia="zh-CN"/>
                      </w:rPr>
                    </w:pPr>
                  </w:p>
                  <w:p w14:paraId="5AF90C48" w14:textId="77777777" w:rsidR="00660068" w:rsidRDefault="00660068">
                    <w:pPr>
                      <w:ind w:firstLine="480"/>
                      <w:rPr>
                        <w:lang w:eastAsia="zh-CN"/>
                      </w:rPr>
                    </w:pPr>
                  </w:p>
                  <w:p w14:paraId="1F59034B" w14:textId="77777777" w:rsidR="00660068" w:rsidRDefault="00660068">
                    <w:pPr>
                      <w:spacing w:line="240" w:lineRule="auto"/>
                      <w:ind w:firstLineChars="0" w:firstLine="0"/>
                      <w:rPr>
                        <w:rFonts w:ascii="黑体" w:eastAsia="黑体" w:hAnsi="黑体" w:hint="eastAsia"/>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34E0259F" w14:textId="77777777" w:rsidR="00660068" w:rsidRDefault="00660068">
                    <w:pPr>
                      <w:ind w:firstLine="480"/>
                      <w:rPr>
                        <w:lang w:eastAsia="zh-CN"/>
                      </w:rPr>
                    </w:pPr>
                  </w:p>
                  <w:p w14:paraId="16100248" w14:textId="77777777" w:rsidR="00660068" w:rsidRDefault="00660068">
                    <w:pPr>
                      <w:ind w:firstLine="602"/>
                      <w:rPr>
                        <w:lang w:eastAsia="zh-CN"/>
                      </w:rPr>
                    </w:pPr>
                    <w:r>
                      <w:rPr>
                        <w:rFonts w:ascii="黑体" w:eastAsia="黑体" w:hAnsi="黑体" w:hint="eastAsia"/>
                        <w:b/>
                        <w:color w:val="FFFFFF"/>
                        <w:sz w:val="30"/>
                        <w:szCs w:val="30"/>
                        <w:lang w:eastAsia="zh-CN"/>
                      </w:rPr>
                      <w:t>CEEM 全球宏观经济季度报告（专题）</w:t>
                    </w:r>
                  </w:p>
                </w:txbxContent>
              </v:textbox>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1E9CEA" w14:textId="77777777" w:rsidR="00894D49" w:rsidRDefault="00894D49">
    <w:pPr>
      <w:pStyle w:val="21"/>
      <w:spacing w:before="120"/>
      <w:ind w:firstLine="480"/>
    </w:pPr>
    <w:r>
      <w:rPr>
        <w:noProof/>
      </w:rPr>
      <mc:AlternateContent>
        <mc:Choice Requires="wps">
          <w:drawing>
            <wp:anchor distT="0" distB="0" distL="114300" distR="114300" simplePos="0" relativeHeight="251728896" behindDoc="0" locked="0" layoutInCell="1" allowOverlap="1" wp14:anchorId="1E7699D9" wp14:editId="46F8CF55">
              <wp:simplePos x="0" y="0"/>
              <wp:positionH relativeFrom="column">
                <wp:posOffset>4503420</wp:posOffset>
              </wp:positionH>
              <wp:positionV relativeFrom="paragraph">
                <wp:posOffset>-174625</wp:posOffset>
              </wp:positionV>
              <wp:extent cx="4213860" cy="327660"/>
              <wp:effectExtent l="0" t="0" r="0" b="0"/>
              <wp:wrapNone/>
              <wp:docPr id="2004023708" name="文本框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3860" cy="327660"/>
                      </a:xfrm>
                      <a:prstGeom prst="rect">
                        <a:avLst/>
                      </a:prstGeom>
                      <a:solidFill>
                        <a:srgbClr val="FFFFFF">
                          <a:alpha val="0"/>
                        </a:srgbClr>
                      </a:solidFill>
                      <a:ln>
                        <a:noFill/>
                      </a:ln>
                    </wps:spPr>
                    <wps:txbx>
                      <w:txbxContent>
                        <w:p w14:paraId="30F302C3" w14:textId="77777777" w:rsidR="00894D49" w:rsidRDefault="00894D49" w:rsidP="00894D49">
                          <w:pPr>
                            <w:ind w:firstLineChars="0" w:firstLine="0"/>
                            <w:rPr>
                              <w:rFonts w:eastAsia="楷体"/>
                              <w:color w:val="106D9C"/>
                              <w:lang w:eastAsia="zh-CN"/>
                            </w:rPr>
                          </w:pPr>
                          <w:r>
                            <w:rPr>
                              <w:rFonts w:eastAsia="楷体" w:hint="eastAsia"/>
                              <w:b/>
                              <w:color w:val="106D9C"/>
                              <w:sz w:val="30"/>
                              <w:szCs w:val="30"/>
                              <w:lang w:eastAsia="zh-CN"/>
                            </w:rPr>
                            <w:t>金融市场专题</w:t>
                          </w:r>
                        </w:p>
                        <w:p w14:paraId="75BDAE68" w14:textId="77777777" w:rsidR="00894D49" w:rsidRDefault="00894D49" w:rsidP="00D51929">
                          <w:pPr>
                            <w:ind w:firstLineChars="0" w:firstLine="0"/>
                            <w:rPr>
                              <w:rFonts w:ascii="楷体" w:eastAsia="楷体" w:hAnsi="楷体"/>
                              <w:lang w:eastAsia="zh-CN"/>
                            </w:rPr>
                          </w:pPr>
                          <w:r>
                            <w:rPr>
                              <w:rFonts w:ascii="楷体" w:eastAsia="楷体" w:hAnsi="楷体" w:hint="eastAsia"/>
                              <w:b/>
                              <w:color w:val="FFFFFF"/>
                              <w:sz w:val="30"/>
                              <w:szCs w:val="30"/>
                              <w:lang w:eastAsia="zh-CN"/>
                            </w:rPr>
                            <w:t>CEEM 全球宏观经济季度报告（专题）</w:t>
                          </w:r>
                        </w:p>
                        <w:p w14:paraId="08D8B522" w14:textId="77777777" w:rsidR="00894D49" w:rsidRDefault="00894D49" w:rsidP="00D51929">
                          <w:pPr>
                            <w:ind w:firstLine="480"/>
                            <w:rPr>
                              <w:rFonts w:ascii="楷体" w:eastAsia="楷体" w:hAnsi="楷体"/>
                              <w:lang w:eastAsia="zh-CN"/>
                            </w:rPr>
                          </w:pPr>
                        </w:p>
                        <w:p w14:paraId="7CA99BCF" w14:textId="77777777" w:rsidR="00894D49" w:rsidRDefault="00894D49" w:rsidP="00D51929">
                          <w:pPr>
                            <w:ind w:firstLine="480"/>
                            <w:rPr>
                              <w:rFonts w:ascii="楷体" w:eastAsia="楷体" w:hAnsi="楷体"/>
                              <w:lang w:eastAsia="zh-CN"/>
                            </w:rPr>
                          </w:pPr>
                        </w:p>
                        <w:p w14:paraId="11CB58D3" w14:textId="77777777" w:rsidR="00894D49" w:rsidRDefault="00894D49" w:rsidP="00D51929">
                          <w:pPr>
                            <w:ind w:firstLine="480"/>
                            <w:rPr>
                              <w:rFonts w:ascii="楷体" w:eastAsia="楷体" w:hAnsi="楷体"/>
                              <w:lang w:eastAsia="zh-CN"/>
                            </w:rPr>
                          </w:pPr>
                        </w:p>
                        <w:p w14:paraId="411B5D9C" w14:textId="77777777" w:rsidR="00894D49" w:rsidRDefault="00894D49" w:rsidP="00D51929">
                          <w:pPr>
                            <w:ind w:firstLineChars="0" w:firstLine="0"/>
                            <w:rPr>
                              <w:rFonts w:ascii="楷体" w:eastAsia="楷体" w:hAnsi="楷体"/>
                              <w:lang w:eastAsia="zh-CN"/>
                            </w:rPr>
                          </w:pPr>
                          <w:r>
                            <w:rPr>
                              <w:rFonts w:ascii="楷体" w:eastAsia="楷体" w:hAnsi="楷体"/>
                              <w:b/>
                              <w:color w:val="FFFFFF"/>
                              <w:sz w:val="30"/>
                              <w:szCs w:val="30"/>
                              <w:lang w:eastAsia="zh-CN"/>
                            </w:rPr>
                            <w:t>C</w:t>
                          </w:r>
                          <w:r>
                            <w:rPr>
                              <w:rFonts w:ascii="楷体" w:eastAsia="楷体" w:hAnsi="楷体" w:hint="eastAsia"/>
                              <w:b/>
                              <w:color w:val="FFFFFF"/>
                              <w:sz w:val="30"/>
                              <w:szCs w:val="30"/>
                              <w:lang w:eastAsia="zh-CN"/>
                            </w:rPr>
                            <w:t>EEM 全球宏观经济季度报告（专题）</w:t>
                          </w:r>
                        </w:p>
                        <w:p w14:paraId="51E30409" w14:textId="77777777" w:rsidR="00894D49" w:rsidRDefault="00894D49" w:rsidP="00D51929">
                          <w:pPr>
                            <w:ind w:firstLine="602"/>
                            <w:rPr>
                              <w:rFonts w:ascii="楷体" w:eastAsia="楷体" w:hAnsi="楷体"/>
                              <w:lang w:eastAsia="zh-CN"/>
                            </w:rPr>
                          </w:pPr>
                          <w:r>
                            <w:rPr>
                              <w:rFonts w:ascii="楷体" w:eastAsia="楷体" w:hAnsi="楷体" w:hint="eastAsia"/>
                              <w:b/>
                              <w:color w:val="FFFFFF"/>
                              <w:sz w:val="30"/>
                              <w:szCs w:val="30"/>
                              <w:lang w:eastAsia="zh-CN"/>
                            </w:rPr>
                            <w:t>CEEM 全球宏观经济季度报告（下篇）</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E7699D9" id="_x0000_t202" coordsize="21600,21600" o:spt="202" path="m,l,21600r21600,l21600,xe">
              <v:stroke joinstyle="miter"/>
              <v:path gradientshapeok="t" o:connecttype="rect"/>
            </v:shapetype>
            <v:shape id="_x0000_s1050" type="#_x0000_t202" style="position:absolute;left:0;text-align:left;margin-left:354.6pt;margin-top:-13.75pt;width:331.8pt;height:25.8pt;z-index:251728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" stroked="f">
              <v:fill opacity="0"/>
              <v:textbox>
                <w:txbxContent>
                  <w:p w14:paraId="30F302C3" w14:textId="77777777" w:rsidR="00894D49" w:rsidRDefault="00894D49" w:rsidP="00894D49">
                    <w:pPr>
                      <w:ind w:firstLineChars="0" w:firstLine="0"/>
                      <w:rPr>
                        <w:rFonts w:eastAsia="楷体"/>
                        <w:color w:val="106D9C"/>
                        <w:lang w:eastAsia="zh-CN"/>
                      </w:rPr>
                    </w:pPr>
                    <w:r>
                      <w:rPr>
                        <w:rFonts w:eastAsia="楷体" w:hint="eastAsia"/>
                        <w:b/>
                        <w:color w:val="106D9C"/>
                        <w:sz w:val="30"/>
                        <w:szCs w:val="30"/>
                        <w:lang w:eastAsia="zh-CN"/>
                      </w:rPr>
                      <w:t>金融市场专题</w:t>
                    </w:r>
                  </w:p>
                  <w:p w14:paraId="75BDAE68" w14:textId="77777777" w:rsidR="00894D49" w:rsidRDefault="00894D49" w:rsidP="00D51929">
                    <w:pPr>
                      <w:ind w:firstLineChars="0" w:firstLine="0"/>
                      <w:rPr>
                        <w:rFonts w:ascii="楷体" w:eastAsia="楷体" w:hAnsi="楷体" w:hint="eastAsia"/>
                        <w:lang w:eastAsia="zh-CN"/>
                      </w:rPr>
                    </w:pPr>
                    <w:r>
                      <w:rPr>
                        <w:rFonts w:ascii="楷体" w:eastAsia="楷体" w:hAnsi="楷体" w:hint="eastAsia"/>
                        <w:b/>
                        <w:color w:val="FFFFFF"/>
                        <w:sz w:val="30"/>
                        <w:szCs w:val="30"/>
                        <w:lang w:eastAsia="zh-CN"/>
                      </w:rPr>
                      <w:t>CEEM 全球宏观经济季度报告（专题）</w:t>
                    </w:r>
                  </w:p>
                  <w:p w14:paraId="08D8B522" w14:textId="77777777" w:rsidR="00894D49" w:rsidRDefault="00894D49" w:rsidP="00D51929">
                    <w:pPr>
                      <w:ind w:firstLine="480"/>
                      <w:rPr>
                        <w:rFonts w:ascii="楷体" w:eastAsia="楷体" w:hAnsi="楷体" w:hint="eastAsia"/>
                        <w:lang w:eastAsia="zh-CN"/>
                      </w:rPr>
                    </w:pPr>
                  </w:p>
                  <w:p w14:paraId="7CA99BCF" w14:textId="77777777" w:rsidR="00894D49" w:rsidRDefault="00894D49" w:rsidP="00D51929">
                    <w:pPr>
                      <w:ind w:firstLine="480"/>
                      <w:rPr>
                        <w:rFonts w:ascii="楷体" w:eastAsia="楷体" w:hAnsi="楷体" w:hint="eastAsia"/>
                        <w:lang w:eastAsia="zh-CN"/>
                      </w:rPr>
                    </w:pPr>
                  </w:p>
                  <w:p w14:paraId="11CB58D3" w14:textId="77777777" w:rsidR="00894D49" w:rsidRDefault="00894D49" w:rsidP="00D51929">
                    <w:pPr>
                      <w:ind w:firstLine="480"/>
                      <w:rPr>
                        <w:rFonts w:ascii="楷体" w:eastAsia="楷体" w:hAnsi="楷体" w:hint="eastAsia"/>
                        <w:lang w:eastAsia="zh-CN"/>
                      </w:rPr>
                    </w:pPr>
                  </w:p>
                  <w:p w14:paraId="411B5D9C" w14:textId="77777777" w:rsidR="00894D49" w:rsidRDefault="00894D49" w:rsidP="00D51929">
                    <w:pPr>
                      <w:ind w:firstLineChars="0" w:firstLine="0"/>
                      <w:rPr>
                        <w:rFonts w:ascii="楷体" w:eastAsia="楷体" w:hAnsi="楷体" w:hint="eastAsia"/>
                        <w:lang w:eastAsia="zh-CN"/>
                      </w:rPr>
                    </w:pPr>
                    <w:r>
                      <w:rPr>
                        <w:rFonts w:ascii="楷体" w:eastAsia="楷体" w:hAnsi="楷体"/>
                        <w:b/>
                        <w:color w:val="FFFFFF"/>
                        <w:sz w:val="30"/>
                        <w:szCs w:val="30"/>
                        <w:lang w:eastAsia="zh-CN"/>
                      </w:rPr>
                      <w:t>C</w:t>
                    </w:r>
                    <w:r>
                      <w:rPr>
                        <w:rFonts w:ascii="楷体" w:eastAsia="楷体" w:hAnsi="楷体" w:hint="eastAsia"/>
                        <w:b/>
                        <w:color w:val="FFFFFF"/>
                        <w:sz w:val="30"/>
                        <w:szCs w:val="30"/>
                        <w:lang w:eastAsia="zh-CN"/>
                      </w:rPr>
                      <w:t>EEM 全球宏观经济季度报告（专题）</w:t>
                    </w:r>
                  </w:p>
                  <w:p w14:paraId="51E30409" w14:textId="77777777" w:rsidR="00894D49" w:rsidRDefault="00894D49" w:rsidP="00D51929">
                    <w:pPr>
                      <w:ind w:firstLine="602"/>
                      <w:rPr>
                        <w:rFonts w:ascii="楷体" w:eastAsia="楷体" w:hAnsi="楷体" w:hint="eastAsia"/>
                        <w:lang w:eastAsia="zh-CN"/>
                      </w:rPr>
                    </w:pPr>
                    <w:r>
                      <w:rPr>
                        <w:rFonts w:ascii="楷体" w:eastAsia="楷体" w:hAnsi="楷体" w:hint="eastAsia"/>
                        <w:b/>
                        <w:color w:val="FFFFFF"/>
                        <w:sz w:val="30"/>
                        <w:szCs w:val="30"/>
                        <w:lang w:eastAsia="zh-CN"/>
                      </w:rPr>
                      <w:t>CEEM 全球宏观经济季度报告（下篇）</w:t>
                    </w:r>
                  </w:p>
                </w:txbxContent>
              </v:textbox>
            </v:shape>
          </w:pict>
        </mc:Fallback>
      </mc:AlternateContent>
    </w:r>
    <w:r>
      <w:rPr>
        <w:noProof/>
      </w:rPr>
      <mc:AlternateContent>
        <mc:Choice Requires="wps">
          <w:drawing>
            <wp:anchor distT="0" distB="0" distL="114300" distR="114300" simplePos="0" relativeHeight="251727872" behindDoc="0" locked="0" layoutInCell="1" allowOverlap="1" wp14:anchorId="5236BDE1" wp14:editId="191F3DF4">
              <wp:simplePos x="0" y="0"/>
              <wp:positionH relativeFrom="column">
                <wp:posOffset>-473075</wp:posOffset>
              </wp:positionH>
              <wp:positionV relativeFrom="paragraph">
                <wp:posOffset>-172085</wp:posOffset>
              </wp:positionV>
              <wp:extent cx="3810000" cy="327660"/>
              <wp:effectExtent l="0" t="0" r="0" b="0"/>
              <wp:wrapNone/>
              <wp:docPr id="2004023709" name="文本框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327660"/>
                      </a:xfrm>
                      <a:prstGeom prst="rect">
                        <a:avLst/>
                      </a:prstGeom>
                      <a:solidFill>
                        <a:srgbClr val="FFFFFF">
                          <a:alpha val="0"/>
                        </a:srgbClr>
                      </a:solidFill>
                      <a:ln>
                        <a:noFill/>
                      </a:ln>
                    </wps:spPr>
                    <wps:txbx>
                      <w:txbxContent>
                        <w:p w14:paraId="6C53EAF6" w14:textId="77777777" w:rsidR="00894D49" w:rsidRDefault="00894D49">
                          <w:pPr>
                            <w:ind w:firstLineChars="0" w:firstLine="0"/>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w:t>
                          </w:r>
                        </w:p>
                        <w:p w14:paraId="6A69D693" w14:textId="77777777" w:rsidR="00894D49" w:rsidRDefault="00894D49">
                          <w:pPr>
                            <w:ind w:firstLineChars="0" w:firstLine="0"/>
                            <w:rPr>
                              <w:rFonts w:ascii="楷体" w:eastAsia="楷体" w:hAnsi="楷体"/>
                              <w:lang w:eastAsia="zh-CN"/>
                            </w:rPr>
                          </w:pPr>
                          <w:r>
                            <w:rPr>
                              <w:rFonts w:ascii="楷体" w:eastAsia="楷体" w:hAnsi="楷体" w:hint="eastAsia"/>
                              <w:b/>
                              <w:color w:val="FFFFFF"/>
                              <w:sz w:val="30"/>
                              <w:szCs w:val="30"/>
                              <w:lang w:eastAsia="zh-CN"/>
                            </w:rPr>
                            <w:t>CEEM 全球宏观经济季度报告（专题）</w:t>
                          </w:r>
                        </w:p>
                        <w:p w14:paraId="7959C54D" w14:textId="77777777" w:rsidR="00894D49" w:rsidRDefault="00894D49">
                          <w:pPr>
                            <w:ind w:firstLine="480"/>
                            <w:rPr>
                              <w:rFonts w:ascii="楷体" w:eastAsia="楷体" w:hAnsi="楷体"/>
                              <w:lang w:eastAsia="zh-CN"/>
                            </w:rPr>
                          </w:pPr>
                        </w:p>
                        <w:p w14:paraId="03F31D80" w14:textId="77777777" w:rsidR="00894D49" w:rsidRDefault="00894D49">
                          <w:pPr>
                            <w:ind w:firstLine="480"/>
                            <w:rPr>
                              <w:rFonts w:ascii="楷体" w:eastAsia="楷体" w:hAnsi="楷体"/>
                              <w:lang w:eastAsia="zh-CN"/>
                            </w:rPr>
                          </w:pPr>
                        </w:p>
                        <w:p w14:paraId="20BF7B2A" w14:textId="77777777" w:rsidR="00894D49" w:rsidRDefault="00894D49">
                          <w:pPr>
                            <w:ind w:firstLine="480"/>
                            <w:rPr>
                              <w:rFonts w:ascii="楷体" w:eastAsia="楷体" w:hAnsi="楷体"/>
                              <w:lang w:eastAsia="zh-CN"/>
                            </w:rPr>
                          </w:pPr>
                        </w:p>
                        <w:p w14:paraId="6CE4AE8E" w14:textId="77777777" w:rsidR="00894D49" w:rsidRDefault="00894D49">
                          <w:pPr>
                            <w:ind w:firstLineChars="0" w:firstLine="0"/>
                            <w:rPr>
                              <w:rFonts w:ascii="楷体" w:eastAsia="楷体" w:hAnsi="楷体"/>
                              <w:lang w:eastAsia="zh-CN"/>
                            </w:rPr>
                          </w:pPr>
                          <w:r>
                            <w:rPr>
                              <w:rFonts w:ascii="楷体" w:eastAsia="楷体" w:hAnsi="楷体"/>
                              <w:b/>
                              <w:color w:val="FFFFFF"/>
                              <w:sz w:val="30"/>
                              <w:szCs w:val="30"/>
                              <w:lang w:eastAsia="zh-CN"/>
                            </w:rPr>
                            <w:t>C</w:t>
                          </w:r>
                          <w:r>
                            <w:rPr>
                              <w:rFonts w:ascii="楷体" w:eastAsia="楷体" w:hAnsi="楷体" w:hint="eastAsia"/>
                              <w:b/>
                              <w:color w:val="FFFFFF"/>
                              <w:sz w:val="30"/>
                              <w:szCs w:val="30"/>
                              <w:lang w:eastAsia="zh-CN"/>
                            </w:rPr>
                            <w:t>EEM 全球宏观经济季度报告（专题）</w:t>
                          </w:r>
                        </w:p>
                        <w:p w14:paraId="1C09758C" w14:textId="77777777" w:rsidR="00894D49" w:rsidRDefault="00894D49">
                          <w:pPr>
                            <w:ind w:firstLine="602"/>
                            <w:rPr>
                              <w:rFonts w:ascii="楷体" w:eastAsia="楷体" w:hAnsi="楷体"/>
                              <w:lang w:eastAsia="zh-CN"/>
                            </w:rPr>
                          </w:pPr>
                          <w:r>
                            <w:rPr>
                              <w:rFonts w:ascii="楷体" w:eastAsia="楷体" w:hAnsi="楷体" w:hint="eastAsia"/>
                              <w:b/>
                              <w:color w:val="FFFFFF"/>
                              <w:sz w:val="30"/>
                              <w:szCs w:val="30"/>
                              <w:lang w:eastAsia="zh-CN"/>
                            </w:rPr>
                            <w:t>CEEM 全球宏观经济季度报告（下篇）</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36BDE1" id="_x0000_s1051" type="#_x0000_t202" style="position:absolute;left:0;text-align:left;margin-left:-37.25pt;margin-top:-13.55pt;width:300pt;height:25.8pt;z-index:251727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" stroked="f">
              <v:fill opacity="0"/>
              <v:textbox>
                <w:txbxContent>
                  <w:p w14:paraId="6C53EAF6" w14:textId="77777777" w:rsidR="00894D49" w:rsidRDefault="00894D49">
                    <w:pPr>
                      <w:ind w:firstLineChars="0" w:firstLine="0"/>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w:t>
                    </w:r>
                  </w:p>
                  <w:p w14:paraId="6A69D693" w14:textId="77777777" w:rsidR="00894D49" w:rsidRDefault="00894D49">
                    <w:pPr>
                      <w:ind w:firstLineChars="0" w:firstLine="0"/>
                      <w:rPr>
                        <w:rFonts w:ascii="楷体" w:eastAsia="楷体" w:hAnsi="楷体" w:hint="eastAsia"/>
                        <w:lang w:eastAsia="zh-CN"/>
                      </w:rPr>
                    </w:pPr>
                    <w:r>
                      <w:rPr>
                        <w:rFonts w:ascii="楷体" w:eastAsia="楷体" w:hAnsi="楷体" w:hint="eastAsia"/>
                        <w:b/>
                        <w:color w:val="FFFFFF"/>
                        <w:sz w:val="30"/>
                        <w:szCs w:val="30"/>
                        <w:lang w:eastAsia="zh-CN"/>
                      </w:rPr>
                      <w:t>CEEM 全球宏观经济季度报告（专题）</w:t>
                    </w:r>
                  </w:p>
                  <w:p w14:paraId="7959C54D" w14:textId="77777777" w:rsidR="00894D49" w:rsidRDefault="00894D49">
                    <w:pPr>
                      <w:ind w:firstLine="480"/>
                      <w:rPr>
                        <w:rFonts w:ascii="楷体" w:eastAsia="楷体" w:hAnsi="楷体" w:hint="eastAsia"/>
                        <w:lang w:eastAsia="zh-CN"/>
                      </w:rPr>
                    </w:pPr>
                  </w:p>
                  <w:p w14:paraId="03F31D80" w14:textId="77777777" w:rsidR="00894D49" w:rsidRDefault="00894D49">
                    <w:pPr>
                      <w:ind w:firstLine="480"/>
                      <w:rPr>
                        <w:rFonts w:ascii="楷体" w:eastAsia="楷体" w:hAnsi="楷体" w:hint="eastAsia"/>
                        <w:lang w:eastAsia="zh-CN"/>
                      </w:rPr>
                    </w:pPr>
                  </w:p>
                  <w:p w14:paraId="20BF7B2A" w14:textId="77777777" w:rsidR="00894D49" w:rsidRDefault="00894D49">
                    <w:pPr>
                      <w:ind w:firstLine="480"/>
                      <w:rPr>
                        <w:rFonts w:ascii="楷体" w:eastAsia="楷体" w:hAnsi="楷体" w:hint="eastAsia"/>
                        <w:lang w:eastAsia="zh-CN"/>
                      </w:rPr>
                    </w:pPr>
                  </w:p>
                  <w:p w14:paraId="6CE4AE8E" w14:textId="77777777" w:rsidR="00894D49" w:rsidRDefault="00894D49">
                    <w:pPr>
                      <w:ind w:firstLineChars="0" w:firstLine="0"/>
                      <w:rPr>
                        <w:rFonts w:ascii="楷体" w:eastAsia="楷体" w:hAnsi="楷体" w:hint="eastAsia"/>
                        <w:lang w:eastAsia="zh-CN"/>
                      </w:rPr>
                    </w:pPr>
                    <w:r>
                      <w:rPr>
                        <w:rFonts w:ascii="楷体" w:eastAsia="楷体" w:hAnsi="楷体"/>
                        <w:b/>
                        <w:color w:val="FFFFFF"/>
                        <w:sz w:val="30"/>
                        <w:szCs w:val="30"/>
                        <w:lang w:eastAsia="zh-CN"/>
                      </w:rPr>
                      <w:t>C</w:t>
                    </w:r>
                    <w:r>
                      <w:rPr>
                        <w:rFonts w:ascii="楷体" w:eastAsia="楷体" w:hAnsi="楷体" w:hint="eastAsia"/>
                        <w:b/>
                        <w:color w:val="FFFFFF"/>
                        <w:sz w:val="30"/>
                        <w:szCs w:val="30"/>
                        <w:lang w:eastAsia="zh-CN"/>
                      </w:rPr>
                      <w:t>EEM 全球宏观经济季度报告（专题）</w:t>
                    </w:r>
                  </w:p>
                  <w:p w14:paraId="1C09758C" w14:textId="77777777" w:rsidR="00894D49" w:rsidRDefault="00894D49">
                    <w:pPr>
                      <w:ind w:firstLine="602"/>
                      <w:rPr>
                        <w:rFonts w:ascii="楷体" w:eastAsia="楷体" w:hAnsi="楷体" w:hint="eastAsia"/>
                        <w:lang w:eastAsia="zh-CN"/>
                      </w:rPr>
                    </w:pPr>
                    <w:r>
                      <w:rPr>
                        <w:rFonts w:ascii="楷体" w:eastAsia="楷体" w:hAnsi="楷体" w:hint="eastAsia"/>
                        <w:b/>
                        <w:color w:val="FFFFFF"/>
                        <w:sz w:val="30"/>
                        <w:szCs w:val="30"/>
                        <w:lang w:eastAsia="zh-CN"/>
                      </w:rPr>
                      <w:t>CEEM 全球宏观经济季度报告（下篇）</w:t>
                    </w:r>
                  </w:p>
                </w:txbxContent>
              </v:textbox>
            </v:shape>
          </w:pict>
        </mc:Fallback>
      </mc:AlternateContent>
    </w:r>
    <w:r>
      <w:rPr>
        <w:noProof/>
      </w:rPr>
      <mc:AlternateContent>
        <mc:Choice Requires="wps">
          <w:drawing>
            <wp:anchor distT="0" distB="0" distL="114300" distR="114300" simplePos="0" relativeHeight="251726848" behindDoc="0" locked="0" layoutInCell="1" allowOverlap="1" wp14:anchorId="5E986B9E" wp14:editId="18656C29">
              <wp:simplePos x="0" y="0"/>
              <wp:positionH relativeFrom="column">
                <wp:posOffset>-381000</wp:posOffset>
              </wp:positionH>
              <wp:positionV relativeFrom="paragraph">
                <wp:posOffset>129540</wp:posOffset>
              </wp:positionV>
              <wp:extent cx="6120000" cy="0"/>
              <wp:effectExtent l="0" t="19050" r="33655" b="19050"/>
              <wp:wrapNone/>
              <wp:docPr id="2004023710" name="直接连接符 29"/>
              <wp:cNvGraphicFramePr/>
              <a:graphic xmlns:a="http://schemas.openxmlformats.org/drawingml/2006/main">
                <a:graphicData uri="http://schemas.microsoft.com/office/word/2010/wordprocessingShape">
                  <wps:wsp>
                    <wps:cNvCnPr/>
                    <wps:spPr>
                      <a:xfrm>
                        <a:off x="0" y="0"/>
                        <a:ext cx="6120000" cy="0"/>
                      </a:xfrm>
                      <a:prstGeom prst="line">
                        <a:avLst/>
                      </a:prstGeom>
                      <a:ln w="28575">
                        <a:solidFill>
                          <a:srgbClr val="106D9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E660C4" id="直接连接符 29" o:spid="_x0000_s1026" style="position:absolute;left:0;text-align:lef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pt,10.2pt" to="451.9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" strokecolor="#106d9c" strokeweight="2.25pt"/>
          </w:pict>
        </mc:Fallback>
      </mc:AlternateContent>
    </w:r>
    <w:r>
      <w:rPr>
        <w:noProof/>
      </w:rPr>
      <mc:AlternateContent>
        <mc:Choice Requires="wps">
          <w:drawing>
            <wp:anchor distT="0" distB="0" distL="114300" distR="114300" simplePos="0" relativeHeight="251725824" behindDoc="0" locked="0" layoutInCell="1" allowOverlap="1" wp14:anchorId="05F3199E" wp14:editId="5A2A8921">
              <wp:simplePos x="0" y="0"/>
              <wp:positionH relativeFrom="column">
                <wp:posOffset>-722630</wp:posOffset>
              </wp:positionH>
              <wp:positionV relativeFrom="paragraph">
                <wp:posOffset>-243840</wp:posOffset>
              </wp:positionV>
              <wp:extent cx="3790950" cy="327660"/>
              <wp:effectExtent l="0" t="0" r="0" b="0"/>
              <wp:wrapNone/>
              <wp:docPr id="2004023711" name="文本框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327660"/>
                      </a:xfrm>
                      <a:prstGeom prst="rect">
                        <a:avLst/>
                      </a:prstGeom>
                      <a:solidFill>
                        <a:srgbClr val="FFFFFF">
                          <a:alpha val="0"/>
                        </a:srgbClr>
                      </a:solidFill>
                      <a:ln>
                        <a:noFill/>
                      </a:ln>
                    </wps:spPr>
                    <wps:txbx>
                      <w:txbxContent>
                        <w:p w14:paraId="449DD260" w14:textId="77777777" w:rsidR="00894D49" w:rsidRDefault="00894D49">
                          <w:pPr>
                            <w:ind w:firstLine="480"/>
                          </w:pPr>
                        </w:p>
                        <w:p w14:paraId="759C7421" w14:textId="77777777" w:rsidR="00894D49" w:rsidRDefault="00894D49">
                          <w:pPr>
                            <w:ind w:firstLine="480"/>
                          </w:pPr>
                        </w:p>
                        <w:p w14:paraId="0E200C3A" w14:textId="77777777" w:rsidR="00894D49" w:rsidRDefault="00894D49">
                          <w:pPr>
                            <w:ind w:firstLine="480"/>
                          </w:pPr>
                        </w:p>
                        <w:p w14:paraId="7E81D8D2" w14:textId="77777777" w:rsidR="00894D49" w:rsidRDefault="00894D49">
                          <w:pPr>
                            <w:spacing w:line="240" w:lineRule="auto"/>
                            <w:ind w:firstLineChars="0" w:firstLine="0"/>
                            <w:rPr>
                              <w:rFonts w:ascii="黑体" w:eastAsia="黑体" w:hAnsi="黑体"/>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5667E2A1" w14:textId="77777777" w:rsidR="00894D49" w:rsidRDefault="00894D49">
                          <w:pPr>
                            <w:ind w:firstLine="480"/>
                            <w:rPr>
                              <w:lang w:eastAsia="zh-CN"/>
                            </w:rPr>
                          </w:pPr>
                        </w:p>
                        <w:p w14:paraId="6A6E1B85" w14:textId="77777777" w:rsidR="00894D49" w:rsidRDefault="00894D49">
                          <w:pPr>
                            <w:spacing w:line="240" w:lineRule="auto"/>
                            <w:ind w:firstLineChars="0" w:firstLine="0"/>
                            <w:rPr>
                              <w:rFonts w:ascii="黑体" w:eastAsia="黑体" w:hAnsi="黑体"/>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1D229FC6" w14:textId="77777777" w:rsidR="00894D49" w:rsidRDefault="00894D49">
                          <w:pPr>
                            <w:ind w:firstLine="480"/>
                            <w:rPr>
                              <w:lang w:eastAsia="zh-CN"/>
                            </w:rPr>
                          </w:pPr>
                        </w:p>
                        <w:p w14:paraId="54583C54" w14:textId="77777777" w:rsidR="00894D49" w:rsidRDefault="00894D49">
                          <w:pPr>
                            <w:ind w:firstLine="480"/>
                            <w:rPr>
                              <w:lang w:eastAsia="zh-CN"/>
                            </w:rPr>
                          </w:pPr>
                        </w:p>
                        <w:p w14:paraId="580F54B5" w14:textId="77777777" w:rsidR="00894D49" w:rsidRDefault="00894D49">
                          <w:pPr>
                            <w:spacing w:line="240" w:lineRule="auto"/>
                            <w:ind w:firstLineChars="0" w:firstLine="0"/>
                            <w:rPr>
                              <w:rFonts w:ascii="黑体" w:eastAsia="黑体" w:hAnsi="黑体"/>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5F3176B3" w14:textId="77777777" w:rsidR="00894D49" w:rsidRDefault="00894D49">
                          <w:pPr>
                            <w:ind w:firstLine="480"/>
                            <w:rPr>
                              <w:lang w:eastAsia="zh-CN"/>
                            </w:rPr>
                          </w:pPr>
                        </w:p>
                        <w:p w14:paraId="07A38DCB" w14:textId="77777777" w:rsidR="00894D49" w:rsidRDefault="00894D49">
                          <w:pPr>
                            <w:ind w:firstLine="602"/>
                            <w:rPr>
                              <w:lang w:eastAsia="zh-CN"/>
                            </w:rPr>
                          </w:pPr>
                          <w:r>
                            <w:rPr>
                              <w:rFonts w:ascii="黑体" w:eastAsia="黑体" w:hAnsi="黑体" w:hint="eastAsia"/>
                              <w:b/>
                              <w:color w:val="FFFFFF"/>
                              <w:sz w:val="30"/>
                              <w:szCs w:val="30"/>
                              <w:lang w:eastAsia="zh-CN"/>
                            </w:rPr>
                            <w:t>CEEM 全球宏观经济季度报告（专题）</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F3199E" id="_x0000_s1052" type="#_x0000_t202" style="position:absolute;left:0;text-align:left;margin-left:-56.9pt;margin-top:-19.2pt;width:298.5pt;height:25.8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" stroked="f">
              <v:fill opacity="0"/>
              <v:textbox>
                <w:txbxContent>
                  <w:p w14:paraId="449DD260" w14:textId="77777777" w:rsidR="00894D49" w:rsidRDefault="00894D49">
                    <w:pPr>
                      <w:ind w:firstLine="480"/>
                    </w:pPr>
                  </w:p>
                  <w:p w14:paraId="759C7421" w14:textId="77777777" w:rsidR="00894D49" w:rsidRDefault="00894D49">
                    <w:pPr>
                      <w:ind w:firstLine="480"/>
                    </w:pPr>
                  </w:p>
                  <w:p w14:paraId="0E200C3A" w14:textId="77777777" w:rsidR="00894D49" w:rsidRDefault="00894D49">
                    <w:pPr>
                      <w:ind w:firstLine="480"/>
                    </w:pPr>
                  </w:p>
                  <w:p w14:paraId="7E81D8D2" w14:textId="77777777" w:rsidR="00894D49" w:rsidRDefault="00894D49">
                    <w:pPr>
                      <w:spacing w:line="240" w:lineRule="auto"/>
                      <w:ind w:firstLineChars="0" w:firstLine="0"/>
                      <w:rPr>
                        <w:rFonts w:ascii="黑体" w:eastAsia="黑体" w:hAnsi="黑体" w:hint="eastAsia"/>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5667E2A1" w14:textId="77777777" w:rsidR="00894D49" w:rsidRDefault="00894D49">
                    <w:pPr>
                      <w:ind w:firstLine="480"/>
                      <w:rPr>
                        <w:lang w:eastAsia="zh-CN"/>
                      </w:rPr>
                    </w:pPr>
                  </w:p>
                  <w:p w14:paraId="6A6E1B85" w14:textId="77777777" w:rsidR="00894D49" w:rsidRDefault="00894D49">
                    <w:pPr>
                      <w:spacing w:line="240" w:lineRule="auto"/>
                      <w:ind w:firstLineChars="0" w:firstLine="0"/>
                      <w:rPr>
                        <w:rFonts w:ascii="黑体" w:eastAsia="黑体" w:hAnsi="黑体" w:hint="eastAsia"/>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1D229FC6" w14:textId="77777777" w:rsidR="00894D49" w:rsidRDefault="00894D49">
                    <w:pPr>
                      <w:ind w:firstLine="480"/>
                      <w:rPr>
                        <w:lang w:eastAsia="zh-CN"/>
                      </w:rPr>
                    </w:pPr>
                  </w:p>
                  <w:p w14:paraId="54583C54" w14:textId="77777777" w:rsidR="00894D49" w:rsidRDefault="00894D49">
                    <w:pPr>
                      <w:ind w:firstLine="480"/>
                      <w:rPr>
                        <w:lang w:eastAsia="zh-CN"/>
                      </w:rPr>
                    </w:pPr>
                  </w:p>
                  <w:p w14:paraId="580F54B5" w14:textId="77777777" w:rsidR="00894D49" w:rsidRDefault="00894D49">
                    <w:pPr>
                      <w:spacing w:line="240" w:lineRule="auto"/>
                      <w:ind w:firstLineChars="0" w:firstLine="0"/>
                      <w:rPr>
                        <w:rFonts w:ascii="黑体" w:eastAsia="黑体" w:hAnsi="黑体" w:hint="eastAsia"/>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5F3176B3" w14:textId="77777777" w:rsidR="00894D49" w:rsidRDefault="00894D49">
                    <w:pPr>
                      <w:ind w:firstLine="480"/>
                      <w:rPr>
                        <w:lang w:eastAsia="zh-CN"/>
                      </w:rPr>
                    </w:pPr>
                  </w:p>
                  <w:p w14:paraId="07A38DCB" w14:textId="77777777" w:rsidR="00894D49" w:rsidRDefault="00894D49">
                    <w:pPr>
                      <w:ind w:firstLine="602"/>
                      <w:rPr>
                        <w:lang w:eastAsia="zh-CN"/>
                      </w:rPr>
                    </w:pPr>
                    <w:r>
                      <w:rPr>
                        <w:rFonts w:ascii="黑体" w:eastAsia="黑体" w:hAnsi="黑体" w:hint="eastAsia"/>
                        <w:b/>
                        <w:color w:val="FFFFFF"/>
                        <w:sz w:val="30"/>
                        <w:szCs w:val="30"/>
                        <w:lang w:eastAsia="zh-CN"/>
                      </w:rPr>
                      <w:t>CEEM 全球宏观经济季度报告（专题）</w:t>
                    </w:r>
                  </w:p>
                </w:txbxContent>
              </v:textbox>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0BC23D" w14:textId="77777777" w:rsidR="00EC4BA2" w:rsidRDefault="00EC4BA2">
    <w:pPr>
      <w:pStyle w:val="21"/>
      <w:spacing w:before="120"/>
      <w:ind w:firstLine="480"/>
    </w:pPr>
    <w:r>
      <w:rPr>
        <w:noProof/>
      </w:rPr>
      <mc:AlternateContent>
        <mc:Choice Requires="wps">
          <w:drawing>
            <wp:anchor distT="0" distB="0" distL="114300" distR="114300" simplePos="0" relativeHeight="251744256" behindDoc="0" locked="0" layoutInCell="1" allowOverlap="1" wp14:anchorId="6227875C" wp14:editId="2180AF2A">
              <wp:simplePos x="0" y="0"/>
              <wp:positionH relativeFrom="column">
                <wp:posOffset>4503420</wp:posOffset>
              </wp:positionH>
              <wp:positionV relativeFrom="paragraph">
                <wp:posOffset>-174625</wp:posOffset>
              </wp:positionV>
              <wp:extent cx="4213860" cy="327660"/>
              <wp:effectExtent l="0" t="0" r="0" b="0"/>
              <wp:wrapNone/>
              <wp:docPr id="41" name="文本框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3860" cy="327660"/>
                      </a:xfrm>
                      <a:prstGeom prst="rect">
                        <a:avLst/>
                      </a:prstGeom>
                      <a:solidFill>
                        <a:srgbClr val="FFFFFF">
                          <a:alpha val="0"/>
                        </a:srgbClr>
                      </a:solidFill>
                      <a:ln>
                        <a:noFill/>
                      </a:ln>
                    </wps:spPr>
                    <wps:txbx>
                      <w:txbxContent>
                        <w:p w14:paraId="3882EBB0" w14:textId="2A103027" w:rsidR="00EC4BA2" w:rsidRDefault="00EC4BA2" w:rsidP="00894D49">
                          <w:pPr>
                            <w:ind w:firstLineChars="0" w:firstLine="0"/>
                            <w:rPr>
                              <w:rFonts w:eastAsia="楷体"/>
                              <w:color w:val="106D9C"/>
                              <w:lang w:eastAsia="zh-CN"/>
                            </w:rPr>
                          </w:pPr>
                          <w:r>
                            <w:rPr>
                              <w:rFonts w:eastAsia="楷体" w:hint="eastAsia"/>
                              <w:b/>
                              <w:color w:val="106D9C"/>
                              <w:sz w:val="30"/>
                              <w:szCs w:val="30"/>
                              <w:lang w:eastAsia="zh-CN"/>
                            </w:rPr>
                            <w:t>大宗商品专题</w:t>
                          </w:r>
                        </w:p>
                        <w:p w14:paraId="1198A0B9" w14:textId="77777777" w:rsidR="00EC4BA2" w:rsidRDefault="00EC4BA2" w:rsidP="00D51929">
                          <w:pPr>
                            <w:ind w:firstLineChars="0" w:firstLine="0"/>
                            <w:rPr>
                              <w:rFonts w:ascii="楷体" w:eastAsia="楷体" w:hAnsi="楷体"/>
                              <w:lang w:eastAsia="zh-CN"/>
                            </w:rPr>
                          </w:pPr>
                          <w:r>
                            <w:rPr>
                              <w:rFonts w:ascii="楷体" w:eastAsia="楷体" w:hAnsi="楷体" w:hint="eastAsia"/>
                              <w:b/>
                              <w:color w:val="FFFFFF"/>
                              <w:sz w:val="30"/>
                              <w:szCs w:val="30"/>
                              <w:lang w:eastAsia="zh-CN"/>
                            </w:rPr>
                            <w:t>CEEM 全球宏观经济季度报告（专题）</w:t>
                          </w:r>
                        </w:p>
                        <w:p w14:paraId="275A8E42" w14:textId="77777777" w:rsidR="00EC4BA2" w:rsidRDefault="00EC4BA2" w:rsidP="00D51929">
                          <w:pPr>
                            <w:ind w:firstLine="480"/>
                            <w:rPr>
                              <w:rFonts w:ascii="楷体" w:eastAsia="楷体" w:hAnsi="楷体"/>
                              <w:lang w:eastAsia="zh-CN"/>
                            </w:rPr>
                          </w:pPr>
                        </w:p>
                        <w:p w14:paraId="58104487" w14:textId="77777777" w:rsidR="00EC4BA2" w:rsidRDefault="00EC4BA2" w:rsidP="00D51929">
                          <w:pPr>
                            <w:ind w:firstLine="480"/>
                            <w:rPr>
                              <w:rFonts w:ascii="楷体" w:eastAsia="楷体" w:hAnsi="楷体"/>
                              <w:lang w:eastAsia="zh-CN"/>
                            </w:rPr>
                          </w:pPr>
                        </w:p>
                        <w:p w14:paraId="0321E4FC" w14:textId="77777777" w:rsidR="00EC4BA2" w:rsidRDefault="00EC4BA2" w:rsidP="00D51929">
                          <w:pPr>
                            <w:ind w:firstLine="480"/>
                            <w:rPr>
                              <w:rFonts w:ascii="楷体" w:eastAsia="楷体" w:hAnsi="楷体"/>
                              <w:lang w:eastAsia="zh-CN"/>
                            </w:rPr>
                          </w:pPr>
                        </w:p>
                        <w:p w14:paraId="465A4747" w14:textId="77777777" w:rsidR="00EC4BA2" w:rsidRDefault="00EC4BA2" w:rsidP="00D51929">
                          <w:pPr>
                            <w:ind w:firstLineChars="0" w:firstLine="0"/>
                            <w:rPr>
                              <w:rFonts w:ascii="楷体" w:eastAsia="楷体" w:hAnsi="楷体"/>
                              <w:lang w:eastAsia="zh-CN"/>
                            </w:rPr>
                          </w:pPr>
                          <w:r>
                            <w:rPr>
                              <w:rFonts w:ascii="楷体" w:eastAsia="楷体" w:hAnsi="楷体"/>
                              <w:b/>
                              <w:color w:val="FFFFFF"/>
                              <w:sz w:val="30"/>
                              <w:szCs w:val="30"/>
                              <w:lang w:eastAsia="zh-CN"/>
                            </w:rPr>
                            <w:t>C</w:t>
                          </w:r>
                          <w:r>
                            <w:rPr>
                              <w:rFonts w:ascii="楷体" w:eastAsia="楷体" w:hAnsi="楷体" w:hint="eastAsia"/>
                              <w:b/>
                              <w:color w:val="FFFFFF"/>
                              <w:sz w:val="30"/>
                              <w:szCs w:val="30"/>
                              <w:lang w:eastAsia="zh-CN"/>
                            </w:rPr>
                            <w:t>EEM 全球宏观经济季度报告（专题）</w:t>
                          </w:r>
                        </w:p>
                        <w:p w14:paraId="106D3D53" w14:textId="77777777" w:rsidR="00EC4BA2" w:rsidRDefault="00EC4BA2" w:rsidP="00D51929">
                          <w:pPr>
                            <w:ind w:firstLine="602"/>
                            <w:rPr>
                              <w:rFonts w:ascii="楷体" w:eastAsia="楷体" w:hAnsi="楷体"/>
                              <w:lang w:eastAsia="zh-CN"/>
                            </w:rPr>
                          </w:pPr>
                          <w:r>
                            <w:rPr>
                              <w:rFonts w:ascii="楷体" w:eastAsia="楷体" w:hAnsi="楷体" w:hint="eastAsia"/>
                              <w:b/>
                              <w:color w:val="FFFFFF"/>
                              <w:sz w:val="30"/>
                              <w:szCs w:val="30"/>
                              <w:lang w:eastAsia="zh-CN"/>
                            </w:rPr>
                            <w:t>CEEM 全球宏观经济季度报告（下篇）</w:t>
                          </w: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227875C" id="_x0000_t202" coordsize="21600,21600" o:spt="202" path="m,l,21600r21600,l21600,xe">
              <v:stroke joinstyle="miter"/>
              <v:path gradientshapeok="t" o:connecttype="rect"/>
            </v:shapetype>
            <v:shape id="_x0000_s1053" type="#_x0000_t202" style="position:absolute;left:0;text-align:left;margin-left:354.6pt;margin-top:-13.75pt;width:331.8pt;height:25.8pt;z-index:251744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" stroked="f">
              <v:fill opacity="0"/>
              <v:textbox>
                <w:txbxContent>
                  <w:p w14:paraId="3882EBB0" w14:textId="2A103027" w:rsidR="00EC4BA2" w:rsidRDefault="00EC4BA2" w:rsidP="00894D49">
                    <w:pPr>
                      <w:ind w:firstLineChars="0" w:firstLine="0"/>
                      <w:rPr>
                        <w:rFonts w:eastAsia="楷体"/>
                        <w:color w:val="106D9C"/>
                        <w:lang w:eastAsia="zh-CN"/>
                      </w:rPr>
                    </w:pPr>
                    <w:r>
                      <w:rPr>
                        <w:rFonts w:eastAsia="楷体" w:hint="eastAsia"/>
                        <w:b/>
                        <w:color w:val="106D9C"/>
                        <w:sz w:val="30"/>
                        <w:szCs w:val="30"/>
                        <w:lang w:eastAsia="zh-CN"/>
                      </w:rPr>
                      <w:t>大宗商品专题</w:t>
                    </w:r>
                  </w:p>
                  <w:p w14:paraId="1198A0B9" w14:textId="77777777" w:rsidR="00EC4BA2" w:rsidRDefault="00EC4BA2" w:rsidP="00D51929">
                    <w:pPr>
                      <w:ind w:firstLineChars="0" w:firstLine="0"/>
                      <w:rPr>
                        <w:rFonts w:ascii="楷体" w:eastAsia="楷体" w:hAnsi="楷体" w:hint="eastAsia"/>
                        <w:lang w:eastAsia="zh-CN"/>
                      </w:rPr>
                    </w:pPr>
                    <w:r>
                      <w:rPr>
                        <w:rFonts w:ascii="楷体" w:eastAsia="楷体" w:hAnsi="楷体" w:hint="eastAsia"/>
                        <w:b/>
                        <w:color w:val="FFFFFF"/>
                        <w:sz w:val="30"/>
                        <w:szCs w:val="30"/>
                        <w:lang w:eastAsia="zh-CN"/>
                      </w:rPr>
                      <w:t>CEEM 全球宏观经济季度报告（专题）</w:t>
                    </w:r>
                  </w:p>
                  <w:p w14:paraId="275A8E42" w14:textId="77777777" w:rsidR="00EC4BA2" w:rsidRDefault="00EC4BA2" w:rsidP="00D51929">
                    <w:pPr>
                      <w:ind w:firstLine="480"/>
                      <w:rPr>
                        <w:rFonts w:ascii="楷体" w:eastAsia="楷体" w:hAnsi="楷体" w:hint="eastAsia"/>
                        <w:lang w:eastAsia="zh-CN"/>
                      </w:rPr>
                    </w:pPr>
                  </w:p>
                  <w:p w14:paraId="58104487" w14:textId="77777777" w:rsidR="00EC4BA2" w:rsidRDefault="00EC4BA2" w:rsidP="00D51929">
                    <w:pPr>
                      <w:ind w:firstLine="480"/>
                      <w:rPr>
                        <w:rFonts w:ascii="楷体" w:eastAsia="楷体" w:hAnsi="楷体" w:hint="eastAsia"/>
                        <w:lang w:eastAsia="zh-CN"/>
                      </w:rPr>
                    </w:pPr>
                  </w:p>
                  <w:p w14:paraId="0321E4FC" w14:textId="77777777" w:rsidR="00EC4BA2" w:rsidRDefault="00EC4BA2" w:rsidP="00D51929">
                    <w:pPr>
                      <w:ind w:firstLine="480"/>
                      <w:rPr>
                        <w:rFonts w:ascii="楷体" w:eastAsia="楷体" w:hAnsi="楷体" w:hint="eastAsia"/>
                        <w:lang w:eastAsia="zh-CN"/>
                      </w:rPr>
                    </w:pPr>
                  </w:p>
                  <w:p w14:paraId="465A4747" w14:textId="77777777" w:rsidR="00EC4BA2" w:rsidRDefault="00EC4BA2" w:rsidP="00D51929">
                    <w:pPr>
                      <w:ind w:firstLineChars="0" w:firstLine="0"/>
                      <w:rPr>
                        <w:rFonts w:ascii="楷体" w:eastAsia="楷体" w:hAnsi="楷体" w:hint="eastAsia"/>
                        <w:lang w:eastAsia="zh-CN"/>
                      </w:rPr>
                    </w:pPr>
                    <w:r>
                      <w:rPr>
                        <w:rFonts w:ascii="楷体" w:eastAsia="楷体" w:hAnsi="楷体"/>
                        <w:b/>
                        <w:color w:val="FFFFFF"/>
                        <w:sz w:val="30"/>
                        <w:szCs w:val="30"/>
                        <w:lang w:eastAsia="zh-CN"/>
                      </w:rPr>
                      <w:t>C</w:t>
                    </w:r>
                    <w:r>
                      <w:rPr>
                        <w:rFonts w:ascii="楷体" w:eastAsia="楷体" w:hAnsi="楷体" w:hint="eastAsia"/>
                        <w:b/>
                        <w:color w:val="FFFFFF"/>
                        <w:sz w:val="30"/>
                        <w:szCs w:val="30"/>
                        <w:lang w:eastAsia="zh-CN"/>
                      </w:rPr>
                      <w:t>EEM 全球宏观经济季度报告（专题）</w:t>
                    </w:r>
                  </w:p>
                  <w:p w14:paraId="106D3D53" w14:textId="77777777" w:rsidR="00EC4BA2" w:rsidRDefault="00EC4BA2" w:rsidP="00D51929">
                    <w:pPr>
                      <w:ind w:firstLine="602"/>
                      <w:rPr>
                        <w:rFonts w:ascii="楷体" w:eastAsia="楷体" w:hAnsi="楷体" w:hint="eastAsia"/>
                        <w:lang w:eastAsia="zh-CN"/>
                      </w:rPr>
                    </w:pPr>
                    <w:r>
                      <w:rPr>
                        <w:rFonts w:ascii="楷体" w:eastAsia="楷体" w:hAnsi="楷体" w:hint="eastAsia"/>
                        <w:b/>
                        <w:color w:val="FFFFFF"/>
                        <w:sz w:val="30"/>
                        <w:szCs w:val="30"/>
                        <w:lang w:eastAsia="zh-CN"/>
                      </w:rPr>
                      <w:t>CEEM 全球宏观经济季度报告（下篇）</w:t>
                    </w:r>
                  </w:p>
                </w:txbxContent>
              </v:textbox>
            </v:shape>
          </w:pict>
        </mc:Fallback>
      </mc:AlternateContent>
    </w:r>
    <w:r>
      <w:rPr>
        <w:noProof/>
      </w:rPr>
      <mc:AlternateContent>
        <mc:Choice Requires="wps">
          <w:drawing>
            <wp:anchor distT="0" distB="0" distL="114300" distR="114300" simplePos="0" relativeHeight="251743232" behindDoc="0" locked="0" layoutInCell="1" allowOverlap="1" wp14:anchorId="60CC9075" wp14:editId="22CECD2B">
              <wp:simplePos x="0" y="0"/>
              <wp:positionH relativeFrom="column">
                <wp:posOffset>-473075</wp:posOffset>
              </wp:positionH>
              <wp:positionV relativeFrom="paragraph">
                <wp:posOffset>-172085</wp:posOffset>
              </wp:positionV>
              <wp:extent cx="3810000" cy="327660"/>
              <wp:effectExtent l="0" t="0" r="0" b="0"/>
              <wp:wrapNone/>
              <wp:docPr id="42" name="文本框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327660"/>
                      </a:xfrm>
                      <a:prstGeom prst="rect">
                        <a:avLst/>
                      </a:prstGeom>
                      <a:solidFill>
                        <a:srgbClr val="FFFFFF">
                          <a:alpha val="0"/>
                        </a:srgbClr>
                      </a:solidFill>
                      <a:ln>
                        <a:noFill/>
                      </a:ln>
                    </wps:spPr>
                    <wps:txbx>
                      <w:txbxContent>
                        <w:p w14:paraId="3D0A30E0" w14:textId="77777777" w:rsidR="00EC4BA2" w:rsidRDefault="00EC4BA2">
                          <w:pPr>
                            <w:ind w:firstLineChars="0" w:firstLine="0"/>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w:t>
                          </w:r>
                        </w:p>
                        <w:p w14:paraId="4B01E494" w14:textId="77777777" w:rsidR="00EC4BA2" w:rsidRDefault="00EC4BA2">
                          <w:pPr>
                            <w:ind w:firstLineChars="0" w:firstLine="0"/>
                            <w:rPr>
                              <w:rFonts w:ascii="楷体" w:eastAsia="楷体" w:hAnsi="楷体"/>
                              <w:lang w:eastAsia="zh-CN"/>
                            </w:rPr>
                          </w:pPr>
                          <w:r>
                            <w:rPr>
                              <w:rFonts w:ascii="楷体" w:eastAsia="楷体" w:hAnsi="楷体" w:hint="eastAsia"/>
                              <w:b/>
                              <w:color w:val="FFFFFF"/>
                              <w:sz w:val="30"/>
                              <w:szCs w:val="30"/>
                              <w:lang w:eastAsia="zh-CN"/>
                            </w:rPr>
                            <w:t>CEEM 全球宏观经济季度报告（专题）</w:t>
                          </w:r>
                        </w:p>
                        <w:p w14:paraId="22AAEE7D" w14:textId="77777777" w:rsidR="00EC4BA2" w:rsidRDefault="00EC4BA2">
                          <w:pPr>
                            <w:ind w:firstLine="480"/>
                            <w:rPr>
                              <w:rFonts w:ascii="楷体" w:eastAsia="楷体" w:hAnsi="楷体"/>
                              <w:lang w:eastAsia="zh-CN"/>
                            </w:rPr>
                          </w:pPr>
                        </w:p>
                        <w:p w14:paraId="128BFA65" w14:textId="77777777" w:rsidR="00EC4BA2" w:rsidRDefault="00EC4BA2">
                          <w:pPr>
                            <w:ind w:firstLine="480"/>
                            <w:rPr>
                              <w:rFonts w:ascii="楷体" w:eastAsia="楷体" w:hAnsi="楷体"/>
                              <w:lang w:eastAsia="zh-CN"/>
                            </w:rPr>
                          </w:pPr>
                        </w:p>
                        <w:p w14:paraId="1F11A506" w14:textId="77777777" w:rsidR="00EC4BA2" w:rsidRDefault="00EC4BA2">
                          <w:pPr>
                            <w:ind w:firstLine="480"/>
                            <w:rPr>
                              <w:rFonts w:ascii="楷体" w:eastAsia="楷体" w:hAnsi="楷体"/>
                              <w:lang w:eastAsia="zh-CN"/>
                            </w:rPr>
                          </w:pPr>
                        </w:p>
                        <w:p w14:paraId="02F490BB" w14:textId="77777777" w:rsidR="00EC4BA2" w:rsidRDefault="00EC4BA2">
                          <w:pPr>
                            <w:ind w:firstLineChars="0" w:firstLine="0"/>
                            <w:rPr>
                              <w:rFonts w:ascii="楷体" w:eastAsia="楷体" w:hAnsi="楷体"/>
                              <w:lang w:eastAsia="zh-CN"/>
                            </w:rPr>
                          </w:pPr>
                          <w:r>
                            <w:rPr>
                              <w:rFonts w:ascii="楷体" w:eastAsia="楷体" w:hAnsi="楷体"/>
                              <w:b/>
                              <w:color w:val="FFFFFF"/>
                              <w:sz w:val="30"/>
                              <w:szCs w:val="30"/>
                              <w:lang w:eastAsia="zh-CN"/>
                            </w:rPr>
                            <w:t>C</w:t>
                          </w:r>
                          <w:r>
                            <w:rPr>
                              <w:rFonts w:ascii="楷体" w:eastAsia="楷体" w:hAnsi="楷体" w:hint="eastAsia"/>
                              <w:b/>
                              <w:color w:val="FFFFFF"/>
                              <w:sz w:val="30"/>
                              <w:szCs w:val="30"/>
                              <w:lang w:eastAsia="zh-CN"/>
                            </w:rPr>
                            <w:t>EEM 全球宏观经济季度报告（专题）</w:t>
                          </w:r>
                        </w:p>
                        <w:p w14:paraId="7B60F639" w14:textId="77777777" w:rsidR="00EC4BA2" w:rsidRDefault="00EC4BA2">
                          <w:pPr>
                            <w:ind w:firstLine="602"/>
                            <w:rPr>
                              <w:rFonts w:ascii="楷体" w:eastAsia="楷体" w:hAnsi="楷体"/>
                              <w:lang w:eastAsia="zh-CN"/>
                            </w:rPr>
                          </w:pPr>
                          <w:r>
                            <w:rPr>
                              <w:rFonts w:ascii="楷体" w:eastAsia="楷体" w:hAnsi="楷体" w:hint="eastAsia"/>
                              <w:b/>
                              <w:color w:val="FFFFFF"/>
                              <w:sz w:val="30"/>
                              <w:szCs w:val="30"/>
                              <w:lang w:eastAsia="zh-CN"/>
                            </w:rPr>
                            <w:t>CEEM 全球宏观经济季度报告（下篇）</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CC9075" id="_x0000_s1054" type="#_x0000_t202" style="position:absolute;left:0;text-align:left;margin-left:-37.25pt;margin-top:-13.55pt;width:300pt;height:25.8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" stroked="f">
              <v:fill opacity="0"/>
              <v:textbox>
                <w:txbxContent>
                  <w:p w14:paraId="3D0A30E0" w14:textId="77777777" w:rsidR="00EC4BA2" w:rsidRDefault="00EC4BA2">
                    <w:pPr>
                      <w:ind w:firstLineChars="0" w:firstLine="0"/>
                      <w:rPr>
                        <w:rFonts w:eastAsia="楷体"/>
                        <w:color w:val="106D9C"/>
                        <w:lang w:eastAsia="zh-CN"/>
                      </w:rPr>
                    </w:pPr>
                    <w:r>
                      <w:rPr>
                        <w:rFonts w:eastAsia="楷体"/>
                        <w:b/>
                        <w:color w:val="106D9C"/>
                        <w:sz w:val="30"/>
                        <w:szCs w:val="30"/>
                        <w:lang w:eastAsia="zh-CN"/>
                      </w:rPr>
                      <w:t>CEEM</w:t>
                    </w:r>
                    <w:r>
                      <w:rPr>
                        <w:rFonts w:eastAsia="楷体"/>
                        <w:b/>
                        <w:color w:val="106D9C"/>
                        <w:sz w:val="30"/>
                        <w:szCs w:val="30"/>
                        <w:lang w:eastAsia="zh-CN"/>
                      </w:rPr>
                      <w:t>全球宏观经济季度报告</w:t>
                    </w:r>
                  </w:p>
                  <w:p w14:paraId="4B01E494" w14:textId="77777777" w:rsidR="00EC4BA2" w:rsidRDefault="00EC4BA2">
                    <w:pPr>
                      <w:ind w:firstLineChars="0" w:firstLine="0"/>
                      <w:rPr>
                        <w:rFonts w:ascii="楷体" w:eastAsia="楷体" w:hAnsi="楷体" w:hint="eastAsia"/>
                        <w:lang w:eastAsia="zh-CN"/>
                      </w:rPr>
                    </w:pPr>
                    <w:r>
                      <w:rPr>
                        <w:rFonts w:ascii="楷体" w:eastAsia="楷体" w:hAnsi="楷体" w:hint="eastAsia"/>
                        <w:b/>
                        <w:color w:val="FFFFFF"/>
                        <w:sz w:val="30"/>
                        <w:szCs w:val="30"/>
                        <w:lang w:eastAsia="zh-CN"/>
                      </w:rPr>
                      <w:t>CEEM 全球宏观经济季度报告（专题）</w:t>
                    </w:r>
                  </w:p>
                  <w:p w14:paraId="22AAEE7D" w14:textId="77777777" w:rsidR="00EC4BA2" w:rsidRDefault="00EC4BA2">
                    <w:pPr>
                      <w:ind w:firstLine="480"/>
                      <w:rPr>
                        <w:rFonts w:ascii="楷体" w:eastAsia="楷体" w:hAnsi="楷体" w:hint="eastAsia"/>
                        <w:lang w:eastAsia="zh-CN"/>
                      </w:rPr>
                    </w:pPr>
                  </w:p>
                  <w:p w14:paraId="128BFA65" w14:textId="77777777" w:rsidR="00EC4BA2" w:rsidRDefault="00EC4BA2">
                    <w:pPr>
                      <w:ind w:firstLine="480"/>
                      <w:rPr>
                        <w:rFonts w:ascii="楷体" w:eastAsia="楷体" w:hAnsi="楷体" w:hint="eastAsia"/>
                        <w:lang w:eastAsia="zh-CN"/>
                      </w:rPr>
                    </w:pPr>
                  </w:p>
                  <w:p w14:paraId="1F11A506" w14:textId="77777777" w:rsidR="00EC4BA2" w:rsidRDefault="00EC4BA2">
                    <w:pPr>
                      <w:ind w:firstLine="480"/>
                      <w:rPr>
                        <w:rFonts w:ascii="楷体" w:eastAsia="楷体" w:hAnsi="楷体" w:hint="eastAsia"/>
                        <w:lang w:eastAsia="zh-CN"/>
                      </w:rPr>
                    </w:pPr>
                  </w:p>
                  <w:p w14:paraId="02F490BB" w14:textId="77777777" w:rsidR="00EC4BA2" w:rsidRDefault="00EC4BA2">
                    <w:pPr>
                      <w:ind w:firstLineChars="0" w:firstLine="0"/>
                      <w:rPr>
                        <w:rFonts w:ascii="楷体" w:eastAsia="楷体" w:hAnsi="楷体" w:hint="eastAsia"/>
                        <w:lang w:eastAsia="zh-CN"/>
                      </w:rPr>
                    </w:pPr>
                    <w:r>
                      <w:rPr>
                        <w:rFonts w:ascii="楷体" w:eastAsia="楷体" w:hAnsi="楷体"/>
                        <w:b/>
                        <w:color w:val="FFFFFF"/>
                        <w:sz w:val="30"/>
                        <w:szCs w:val="30"/>
                        <w:lang w:eastAsia="zh-CN"/>
                      </w:rPr>
                      <w:t>C</w:t>
                    </w:r>
                    <w:r>
                      <w:rPr>
                        <w:rFonts w:ascii="楷体" w:eastAsia="楷体" w:hAnsi="楷体" w:hint="eastAsia"/>
                        <w:b/>
                        <w:color w:val="FFFFFF"/>
                        <w:sz w:val="30"/>
                        <w:szCs w:val="30"/>
                        <w:lang w:eastAsia="zh-CN"/>
                      </w:rPr>
                      <w:t>EEM 全球宏观经济季度报告（专题）</w:t>
                    </w:r>
                  </w:p>
                  <w:p w14:paraId="7B60F639" w14:textId="77777777" w:rsidR="00EC4BA2" w:rsidRDefault="00EC4BA2">
                    <w:pPr>
                      <w:ind w:firstLine="602"/>
                      <w:rPr>
                        <w:rFonts w:ascii="楷体" w:eastAsia="楷体" w:hAnsi="楷体" w:hint="eastAsia"/>
                        <w:lang w:eastAsia="zh-CN"/>
                      </w:rPr>
                    </w:pPr>
                    <w:r>
                      <w:rPr>
                        <w:rFonts w:ascii="楷体" w:eastAsia="楷体" w:hAnsi="楷体" w:hint="eastAsia"/>
                        <w:b/>
                        <w:color w:val="FFFFFF"/>
                        <w:sz w:val="30"/>
                        <w:szCs w:val="30"/>
                        <w:lang w:eastAsia="zh-CN"/>
                      </w:rPr>
                      <w:t>CEEM 全球宏观经济季度报告（下篇）</w:t>
                    </w:r>
                  </w:p>
                </w:txbxContent>
              </v:textbox>
            </v:shape>
          </w:pict>
        </mc:Fallback>
      </mc:AlternateContent>
    </w:r>
    <w:r>
      <w:rPr>
        <w:noProof/>
      </w:rPr>
      <mc:AlternateContent>
        <mc:Choice Requires="wps">
          <w:drawing>
            <wp:anchor distT="0" distB="0" distL="114300" distR="114300" simplePos="0" relativeHeight="251742208" behindDoc="0" locked="0" layoutInCell="1" allowOverlap="1" wp14:anchorId="72A1BD57" wp14:editId="41E9A0D3">
              <wp:simplePos x="0" y="0"/>
              <wp:positionH relativeFrom="column">
                <wp:posOffset>-381000</wp:posOffset>
              </wp:positionH>
              <wp:positionV relativeFrom="paragraph">
                <wp:posOffset>129540</wp:posOffset>
              </wp:positionV>
              <wp:extent cx="6120000" cy="0"/>
              <wp:effectExtent l="0" t="19050" r="33655" b="19050"/>
              <wp:wrapNone/>
              <wp:docPr id="43" name="直接连接符 29"/>
              <wp:cNvGraphicFramePr/>
              <a:graphic xmlns:a="http://schemas.openxmlformats.org/drawingml/2006/main">
                <a:graphicData uri="http://schemas.microsoft.com/office/word/2010/wordprocessingShape">
                  <wps:wsp>
                    <wps:cNvCnPr/>
                    <wps:spPr>
                      <a:xfrm>
                        <a:off x="0" y="0"/>
                        <a:ext cx="6120000" cy="0"/>
                      </a:xfrm>
                      <a:prstGeom prst="line">
                        <a:avLst/>
                      </a:prstGeom>
                      <a:ln w="28575">
                        <a:solidFill>
                          <a:srgbClr val="106D9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64DA930" id="直接连接符 29" o:spid="_x0000_s1026" style="position:absolute;left:0;text-align:lef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pt,10.2pt" to="451.9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" strokecolor="#106d9c" strokeweight="2.25pt"/>
          </w:pict>
        </mc:Fallback>
      </mc:AlternateContent>
    </w:r>
    <w:r>
      <w:rPr>
        <w:noProof/>
      </w:rPr>
      <mc:AlternateContent>
        <mc:Choice Requires="wps">
          <w:drawing>
            <wp:anchor distT="0" distB="0" distL="114300" distR="114300" simplePos="0" relativeHeight="251741184" behindDoc="0" locked="0" layoutInCell="1" allowOverlap="1" wp14:anchorId="3ACB9FFC" wp14:editId="30C55E84">
              <wp:simplePos x="0" y="0"/>
              <wp:positionH relativeFrom="column">
                <wp:posOffset>-722630</wp:posOffset>
              </wp:positionH>
              <wp:positionV relativeFrom="paragraph">
                <wp:posOffset>-243840</wp:posOffset>
              </wp:positionV>
              <wp:extent cx="3790950" cy="327660"/>
              <wp:effectExtent l="0" t="0" r="0" b="0"/>
              <wp:wrapNone/>
              <wp:docPr id="44" name="文本框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327660"/>
                      </a:xfrm>
                      <a:prstGeom prst="rect">
                        <a:avLst/>
                      </a:prstGeom>
                      <a:solidFill>
                        <a:srgbClr val="FFFFFF">
                          <a:alpha val="0"/>
                        </a:srgbClr>
                      </a:solidFill>
                      <a:ln>
                        <a:noFill/>
                      </a:ln>
                    </wps:spPr>
                    <wps:txbx>
                      <w:txbxContent>
                        <w:p w14:paraId="24E4A863" w14:textId="77777777" w:rsidR="00EC4BA2" w:rsidRDefault="00EC4BA2">
                          <w:pPr>
                            <w:ind w:firstLine="480"/>
                          </w:pPr>
                        </w:p>
                        <w:p w14:paraId="731C96E8" w14:textId="77777777" w:rsidR="00EC4BA2" w:rsidRDefault="00EC4BA2">
                          <w:pPr>
                            <w:ind w:firstLine="480"/>
                          </w:pPr>
                        </w:p>
                        <w:p w14:paraId="2AD64449" w14:textId="77777777" w:rsidR="00EC4BA2" w:rsidRDefault="00EC4BA2">
                          <w:pPr>
                            <w:ind w:firstLine="480"/>
                          </w:pPr>
                        </w:p>
                        <w:p w14:paraId="79065DB0" w14:textId="77777777" w:rsidR="00EC4BA2" w:rsidRDefault="00EC4BA2">
                          <w:pPr>
                            <w:spacing w:line="240" w:lineRule="auto"/>
                            <w:ind w:firstLineChars="0" w:firstLine="0"/>
                            <w:rPr>
                              <w:rFonts w:ascii="黑体" w:eastAsia="黑体" w:hAnsi="黑体"/>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0445197C" w14:textId="77777777" w:rsidR="00EC4BA2" w:rsidRDefault="00EC4BA2">
                          <w:pPr>
                            <w:ind w:firstLine="480"/>
                            <w:rPr>
                              <w:lang w:eastAsia="zh-CN"/>
                            </w:rPr>
                          </w:pPr>
                        </w:p>
                        <w:p w14:paraId="69EF56ED" w14:textId="77777777" w:rsidR="00EC4BA2" w:rsidRDefault="00EC4BA2">
                          <w:pPr>
                            <w:spacing w:line="240" w:lineRule="auto"/>
                            <w:ind w:firstLineChars="0" w:firstLine="0"/>
                            <w:rPr>
                              <w:rFonts w:ascii="黑体" w:eastAsia="黑体" w:hAnsi="黑体"/>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1DE6BABC" w14:textId="77777777" w:rsidR="00EC4BA2" w:rsidRDefault="00EC4BA2">
                          <w:pPr>
                            <w:ind w:firstLine="480"/>
                            <w:rPr>
                              <w:lang w:eastAsia="zh-CN"/>
                            </w:rPr>
                          </w:pPr>
                        </w:p>
                        <w:p w14:paraId="379682B5" w14:textId="77777777" w:rsidR="00EC4BA2" w:rsidRDefault="00EC4BA2">
                          <w:pPr>
                            <w:ind w:firstLine="480"/>
                            <w:rPr>
                              <w:lang w:eastAsia="zh-CN"/>
                            </w:rPr>
                          </w:pPr>
                        </w:p>
                        <w:p w14:paraId="24212D60" w14:textId="77777777" w:rsidR="00EC4BA2" w:rsidRDefault="00EC4BA2">
                          <w:pPr>
                            <w:spacing w:line="240" w:lineRule="auto"/>
                            <w:ind w:firstLineChars="0" w:firstLine="0"/>
                            <w:rPr>
                              <w:rFonts w:ascii="黑体" w:eastAsia="黑体" w:hAnsi="黑体"/>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27D68AA0" w14:textId="77777777" w:rsidR="00EC4BA2" w:rsidRDefault="00EC4BA2">
                          <w:pPr>
                            <w:ind w:firstLine="480"/>
                            <w:rPr>
                              <w:lang w:eastAsia="zh-CN"/>
                            </w:rPr>
                          </w:pPr>
                        </w:p>
                        <w:p w14:paraId="6C90F24A" w14:textId="77777777" w:rsidR="00EC4BA2" w:rsidRDefault="00EC4BA2">
                          <w:pPr>
                            <w:ind w:firstLine="602"/>
                            <w:rPr>
                              <w:lang w:eastAsia="zh-CN"/>
                            </w:rPr>
                          </w:pPr>
                          <w:r>
                            <w:rPr>
                              <w:rFonts w:ascii="黑体" w:eastAsia="黑体" w:hAnsi="黑体" w:hint="eastAsia"/>
                              <w:b/>
                              <w:color w:val="FFFFFF"/>
                              <w:sz w:val="30"/>
                              <w:szCs w:val="30"/>
                              <w:lang w:eastAsia="zh-CN"/>
                            </w:rPr>
                            <w:t>CEEM 全球宏观经济季度报告（专题）</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CB9FFC" id="_x0000_s1055" type="#_x0000_t202" style="position:absolute;left:0;text-align:left;margin-left:-56.9pt;margin-top:-19.2pt;width:298.5pt;height:25.8pt;z-index:251741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" stroked="f">
              <v:fill opacity="0"/>
              <v:textbox>
                <w:txbxContent>
                  <w:p w14:paraId="24E4A863" w14:textId="77777777" w:rsidR="00EC4BA2" w:rsidRDefault="00EC4BA2">
                    <w:pPr>
                      <w:ind w:firstLine="480"/>
                    </w:pPr>
                  </w:p>
                  <w:p w14:paraId="731C96E8" w14:textId="77777777" w:rsidR="00EC4BA2" w:rsidRDefault="00EC4BA2">
                    <w:pPr>
                      <w:ind w:firstLine="480"/>
                    </w:pPr>
                  </w:p>
                  <w:p w14:paraId="2AD64449" w14:textId="77777777" w:rsidR="00EC4BA2" w:rsidRDefault="00EC4BA2">
                    <w:pPr>
                      <w:ind w:firstLine="480"/>
                    </w:pPr>
                  </w:p>
                  <w:p w14:paraId="79065DB0" w14:textId="77777777" w:rsidR="00EC4BA2" w:rsidRDefault="00EC4BA2">
                    <w:pPr>
                      <w:spacing w:line="240" w:lineRule="auto"/>
                      <w:ind w:firstLineChars="0" w:firstLine="0"/>
                      <w:rPr>
                        <w:rFonts w:ascii="黑体" w:eastAsia="黑体" w:hAnsi="黑体" w:hint="eastAsia"/>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0445197C" w14:textId="77777777" w:rsidR="00EC4BA2" w:rsidRDefault="00EC4BA2">
                    <w:pPr>
                      <w:ind w:firstLine="480"/>
                      <w:rPr>
                        <w:lang w:eastAsia="zh-CN"/>
                      </w:rPr>
                    </w:pPr>
                  </w:p>
                  <w:p w14:paraId="69EF56ED" w14:textId="77777777" w:rsidR="00EC4BA2" w:rsidRDefault="00EC4BA2">
                    <w:pPr>
                      <w:spacing w:line="240" w:lineRule="auto"/>
                      <w:ind w:firstLineChars="0" w:firstLine="0"/>
                      <w:rPr>
                        <w:rFonts w:ascii="黑体" w:eastAsia="黑体" w:hAnsi="黑体" w:hint="eastAsia"/>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1DE6BABC" w14:textId="77777777" w:rsidR="00EC4BA2" w:rsidRDefault="00EC4BA2">
                    <w:pPr>
                      <w:ind w:firstLine="480"/>
                      <w:rPr>
                        <w:lang w:eastAsia="zh-CN"/>
                      </w:rPr>
                    </w:pPr>
                  </w:p>
                  <w:p w14:paraId="379682B5" w14:textId="77777777" w:rsidR="00EC4BA2" w:rsidRDefault="00EC4BA2">
                    <w:pPr>
                      <w:ind w:firstLine="480"/>
                      <w:rPr>
                        <w:lang w:eastAsia="zh-CN"/>
                      </w:rPr>
                    </w:pPr>
                  </w:p>
                  <w:p w14:paraId="24212D60" w14:textId="77777777" w:rsidR="00EC4BA2" w:rsidRDefault="00EC4BA2">
                    <w:pPr>
                      <w:spacing w:line="240" w:lineRule="auto"/>
                      <w:ind w:firstLineChars="0" w:firstLine="0"/>
                      <w:rPr>
                        <w:rFonts w:ascii="黑体" w:eastAsia="黑体" w:hAnsi="黑体" w:hint="eastAsia"/>
                        <w:b/>
                        <w:color w:val="FFFFFF"/>
                        <w:sz w:val="30"/>
                        <w:szCs w:val="30"/>
                        <w:lang w:eastAsia="zh-CN"/>
                      </w:rPr>
                    </w:pPr>
                    <w:r>
                      <w:rPr>
                        <w:rFonts w:ascii="黑体" w:eastAsia="黑体" w:hAnsi="黑体" w:hint="eastAsia"/>
                        <w:b/>
                        <w:color w:val="FFFFFF"/>
                        <w:sz w:val="30"/>
                        <w:szCs w:val="30"/>
                        <w:lang w:eastAsia="zh-CN"/>
                      </w:rPr>
                      <w:t>CEEM 全球宏观经济季度报告（专题）</w:t>
                    </w:r>
                  </w:p>
                  <w:p w14:paraId="27D68AA0" w14:textId="77777777" w:rsidR="00EC4BA2" w:rsidRDefault="00EC4BA2">
                    <w:pPr>
                      <w:ind w:firstLine="480"/>
                      <w:rPr>
                        <w:lang w:eastAsia="zh-CN"/>
                      </w:rPr>
                    </w:pPr>
                  </w:p>
                  <w:p w14:paraId="6C90F24A" w14:textId="77777777" w:rsidR="00EC4BA2" w:rsidRDefault="00EC4BA2">
                    <w:pPr>
                      <w:ind w:firstLine="602"/>
                      <w:rPr>
                        <w:lang w:eastAsia="zh-CN"/>
                      </w:rPr>
                    </w:pPr>
                    <w:r>
                      <w:rPr>
                        <w:rFonts w:ascii="黑体" w:eastAsia="黑体" w:hAnsi="黑体" w:hint="eastAsia"/>
                        <w:b/>
                        <w:color w:val="FFFFFF"/>
                        <w:sz w:val="30"/>
                        <w:szCs w:val="30"/>
                        <w:lang w:eastAsia="zh-CN"/>
                      </w:rPr>
                      <w:t>CEEM 全球宏观经济季度报告（专题）</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BA22545"/>
    <w:multiLevelType w:val="singleLevel"/>
    <w:tmpl w:val="EBA22545"/>
    <w:lvl w:ilvl="0">
      <w:start w:val="3"/>
      <w:numFmt w:val="chineseCounting"/>
      <w:suff w:val="nothing"/>
      <w:lvlText w:val="%1、"/>
      <w:lvlJc w:val="left"/>
      <w:rPr>
        <w:rFonts w:hint="eastAsia"/>
      </w:rPr>
    </w:lvl>
  </w:abstractNum>
  <w:abstractNum w:abstractNumId="1">
    <w:nsid w:val="47A67C02"/>
    <w:multiLevelType w:val="multilevel"/>
    <w:tmpl w:val="47A67C02"/>
    <w:lvl w:ilvl="0">
      <w:start w:val="1"/>
      <w:numFmt w:val="chineseCountingThousand"/>
      <w:lvlText w:val="%1、"/>
      <w:lvlJc w:val="left"/>
      <w:pPr>
        <w:ind w:left="704"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508C479D"/>
    <w:multiLevelType w:val="multilevel"/>
    <w:tmpl w:val="508C479D"/>
    <w:lvl w:ilvl="0">
      <w:start w:val="2"/>
      <w:numFmt w:val="japaneseCounting"/>
      <w:lvlText w:val="%1、"/>
      <w:lvlJc w:val="left"/>
      <w:pPr>
        <w:ind w:left="580" w:hanging="58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48F5B3A"/>
    <w:multiLevelType w:val="hybridMultilevel"/>
    <w:tmpl w:val="AF002280"/>
    <w:lvl w:ilvl="0" w:tplc="F4982E00">
      <w:start w:val="1"/>
      <w:numFmt w:val="japaneseCounting"/>
      <w:lvlText w:val="（%1）"/>
      <w:lvlJc w:val="left"/>
      <w:pPr>
        <w:ind w:left="1146" w:hanging="720"/>
      </w:pPr>
      <w:rPr>
        <w:rFonts w:hint="default"/>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20"/>
  <w:drawingGridHorizontalSpacing w:val="120"/>
  <w:drawingGridVerticalSpacing w:val="163"/>
  <w:displayHorizontalDrawingGridEvery w:val="2"/>
  <w:displayVerticalDrawingGridEvery w:val="2"/>
  <w:characterSpacingControl w:val="doNotCompress"/>
  <w:hdrShapeDefaults>
    <o:shapedefaults v:ext="edit" spidmax="2049" fillcolor="white" stroke="f">
      <v:fill color="white" opacity=".5"/>
      <v:stroke on="f"/>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kN2VkY2Q0YmFjNGNlM2FiYTQ5ODBlNDBkNWE5OGYifQ=="/>
  </w:docVars>
  <w:rsids>
    <w:rsidRoot w:val="00172A27"/>
    <w:rsid w:val="00000888"/>
    <w:rsid w:val="000009AF"/>
    <w:rsid w:val="00000FBA"/>
    <w:rsid w:val="00000FFC"/>
    <w:rsid w:val="000010C5"/>
    <w:rsid w:val="00001231"/>
    <w:rsid w:val="00001975"/>
    <w:rsid w:val="00001DA9"/>
    <w:rsid w:val="0000208C"/>
    <w:rsid w:val="0000231A"/>
    <w:rsid w:val="00002392"/>
    <w:rsid w:val="000024E4"/>
    <w:rsid w:val="0000274C"/>
    <w:rsid w:val="00002C35"/>
    <w:rsid w:val="00002DDE"/>
    <w:rsid w:val="000047AC"/>
    <w:rsid w:val="00005A4B"/>
    <w:rsid w:val="00005F0C"/>
    <w:rsid w:val="000060C6"/>
    <w:rsid w:val="000062CF"/>
    <w:rsid w:val="0000644A"/>
    <w:rsid w:val="00006B0A"/>
    <w:rsid w:val="00006DF4"/>
    <w:rsid w:val="00006E18"/>
    <w:rsid w:val="00007304"/>
    <w:rsid w:val="00007398"/>
    <w:rsid w:val="00007874"/>
    <w:rsid w:val="0000799F"/>
    <w:rsid w:val="00007C9D"/>
    <w:rsid w:val="000100D5"/>
    <w:rsid w:val="000107FD"/>
    <w:rsid w:val="0001083F"/>
    <w:rsid w:val="00010ACA"/>
    <w:rsid w:val="00010C02"/>
    <w:rsid w:val="00010D23"/>
    <w:rsid w:val="00010E70"/>
    <w:rsid w:val="00010F8D"/>
    <w:rsid w:val="00010FAF"/>
    <w:rsid w:val="000110A7"/>
    <w:rsid w:val="00011219"/>
    <w:rsid w:val="00011236"/>
    <w:rsid w:val="00011BC9"/>
    <w:rsid w:val="00011D53"/>
    <w:rsid w:val="00011FD9"/>
    <w:rsid w:val="0001219E"/>
    <w:rsid w:val="0001253B"/>
    <w:rsid w:val="000131C6"/>
    <w:rsid w:val="00013449"/>
    <w:rsid w:val="00013CFF"/>
    <w:rsid w:val="00013F3C"/>
    <w:rsid w:val="0001450E"/>
    <w:rsid w:val="0001463E"/>
    <w:rsid w:val="00014778"/>
    <w:rsid w:val="00015529"/>
    <w:rsid w:val="00015A54"/>
    <w:rsid w:val="00015AFA"/>
    <w:rsid w:val="00015BC0"/>
    <w:rsid w:val="000163EE"/>
    <w:rsid w:val="0001747C"/>
    <w:rsid w:val="00017602"/>
    <w:rsid w:val="00017E64"/>
    <w:rsid w:val="00020372"/>
    <w:rsid w:val="000203A3"/>
    <w:rsid w:val="0002076A"/>
    <w:rsid w:val="000207D5"/>
    <w:rsid w:val="00020C5C"/>
    <w:rsid w:val="000212B5"/>
    <w:rsid w:val="0002185B"/>
    <w:rsid w:val="00021DEF"/>
    <w:rsid w:val="00021E33"/>
    <w:rsid w:val="0002260F"/>
    <w:rsid w:val="00022C2B"/>
    <w:rsid w:val="00022FFF"/>
    <w:rsid w:val="0002331D"/>
    <w:rsid w:val="000237FA"/>
    <w:rsid w:val="00023EDC"/>
    <w:rsid w:val="000240D9"/>
    <w:rsid w:val="00024428"/>
    <w:rsid w:val="00025D9F"/>
    <w:rsid w:val="00025EF2"/>
    <w:rsid w:val="00025FB7"/>
    <w:rsid w:val="000266A3"/>
    <w:rsid w:val="00026A5C"/>
    <w:rsid w:val="00026D14"/>
    <w:rsid w:val="000270B7"/>
    <w:rsid w:val="00027669"/>
    <w:rsid w:val="0002778D"/>
    <w:rsid w:val="00027ACD"/>
    <w:rsid w:val="00027B27"/>
    <w:rsid w:val="00030399"/>
    <w:rsid w:val="00030702"/>
    <w:rsid w:val="000309D7"/>
    <w:rsid w:val="00030B8E"/>
    <w:rsid w:val="00030D22"/>
    <w:rsid w:val="00031221"/>
    <w:rsid w:val="0003138A"/>
    <w:rsid w:val="000316B2"/>
    <w:rsid w:val="00031F7C"/>
    <w:rsid w:val="000328E3"/>
    <w:rsid w:val="00032ADB"/>
    <w:rsid w:val="00032F86"/>
    <w:rsid w:val="00033255"/>
    <w:rsid w:val="00033E4A"/>
    <w:rsid w:val="000344A1"/>
    <w:rsid w:val="0003488F"/>
    <w:rsid w:val="00034C8D"/>
    <w:rsid w:val="00034E66"/>
    <w:rsid w:val="00034FB1"/>
    <w:rsid w:val="0003509B"/>
    <w:rsid w:val="0003526E"/>
    <w:rsid w:val="000356A3"/>
    <w:rsid w:val="00035791"/>
    <w:rsid w:val="000357D5"/>
    <w:rsid w:val="000363CA"/>
    <w:rsid w:val="000365A0"/>
    <w:rsid w:val="00036602"/>
    <w:rsid w:val="00036802"/>
    <w:rsid w:val="00036A43"/>
    <w:rsid w:val="00036CFD"/>
    <w:rsid w:val="00036D2B"/>
    <w:rsid w:val="00037AE5"/>
    <w:rsid w:val="00037B73"/>
    <w:rsid w:val="00037CF6"/>
    <w:rsid w:val="000401E5"/>
    <w:rsid w:val="0004027B"/>
    <w:rsid w:val="000406A8"/>
    <w:rsid w:val="000411B0"/>
    <w:rsid w:val="00041C32"/>
    <w:rsid w:val="00041C84"/>
    <w:rsid w:val="00041F6A"/>
    <w:rsid w:val="00042818"/>
    <w:rsid w:val="00042A9E"/>
    <w:rsid w:val="00042F43"/>
    <w:rsid w:val="00042F57"/>
    <w:rsid w:val="0004374E"/>
    <w:rsid w:val="00043768"/>
    <w:rsid w:val="00043866"/>
    <w:rsid w:val="00043E72"/>
    <w:rsid w:val="00044283"/>
    <w:rsid w:val="0004443D"/>
    <w:rsid w:val="0004456B"/>
    <w:rsid w:val="000445DB"/>
    <w:rsid w:val="00044828"/>
    <w:rsid w:val="00044A8D"/>
    <w:rsid w:val="00044E8D"/>
    <w:rsid w:val="000455B0"/>
    <w:rsid w:val="000459AE"/>
    <w:rsid w:val="000459EF"/>
    <w:rsid w:val="00045DC0"/>
    <w:rsid w:val="00045EBE"/>
    <w:rsid w:val="00046081"/>
    <w:rsid w:val="00046803"/>
    <w:rsid w:val="00046932"/>
    <w:rsid w:val="00046937"/>
    <w:rsid w:val="00047BE8"/>
    <w:rsid w:val="000504F7"/>
    <w:rsid w:val="0005101F"/>
    <w:rsid w:val="000512E1"/>
    <w:rsid w:val="00051609"/>
    <w:rsid w:val="00051635"/>
    <w:rsid w:val="000520BB"/>
    <w:rsid w:val="00052156"/>
    <w:rsid w:val="0005219A"/>
    <w:rsid w:val="0005258D"/>
    <w:rsid w:val="000528C0"/>
    <w:rsid w:val="00052953"/>
    <w:rsid w:val="00052BF5"/>
    <w:rsid w:val="00052DEC"/>
    <w:rsid w:val="00053BAF"/>
    <w:rsid w:val="0005410D"/>
    <w:rsid w:val="00054EC2"/>
    <w:rsid w:val="0005503A"/>
    <w:rsid w:val="00055D4A"/>
    <w:rsid w:val="0005654A"/>
    <w:rsid w:val="00057A6A"/>
    <w:rsid w:val="00057C3C"/>
    <w:rsid w:val="00057E3D"/>
    <w:rsid w:val="00057E56"/>
    <w:rsid w:val="00057EDB"/>
    <w:rsid w:val="0006058B"/>
    <w:rsid w:val="0006073C"/>
    <w:rsid w:val="00060DBD"/>
    <w:rsid w:val="0006166E"/>
    <w:rsid w:val="00061B78"/>
    <w:rsid w:val="0006259B"/>
    <w:rsid w:val="00062D62"/>
    <w:rsid w:val="000632E6"/>
    <w:rsid w:val="000635AB"/>
    <w:rsid w:val="000635DF"/>
    <w:rsid w:val="000638DB"/>
    <w:rsid w:val="000647C4"/>
    <w:rsid w:val="000648C7"/>
    <w:rsid w:val="00064CD1"/>
    <w:rsid w:val="000658FA"/>
    <w:rsid w:val="00065AD7"/>
    <w:rsid w:val="00065F7C"/>
    <w:rsid w:val="00066483"/>
    <w:rsid w:val="00066D58"/>
    <w:rsid w:val="00066D7D"/>
    <w:rsid w:val="00066E81"/>
    <w:rsid w:val="00067563"/>
    <w:rsid w:val="00067A24"/>
    <w:rsid w:val="00067BF0"/>
    <w:rsid w:val="00067EE6"/>
    <w:rsid w:val="0007032E"/>
    <w:rsid w:val="0007034A"/>
    <w:rsid w:val="000707E4"/>
    <w:rsid w:val="00070D37"/>
    <w:rsid w:val="00071B69"/>
    <w:rsid w:val="00071C1D"/>
    <w:rsid w:val="00071EA2"/>
    <w:rsid w:val="00071F4C"/>
    <w:rsid w:val="000723D1"/>
    <w:rsid w:val="00072429"/>
    <w:rsid w:val="000725D1"/>
    <w:rsid w:val="0007260F"/>
    <w:rsid w:val="00072CB0"/>
    <w:rsid w:val="00073AD7"/>
    <w:rsid w:val="0007485B"/>
    <w:rsid w:val="0007499A"/>
    <w:rsid w:val="00074CDD"/>
    <w:rsid w:val="000761C5"/>
    <w:rsid w:val="000766E7"/>
    <w:rsid w:val="00076A60"/>
    <w:rsid w:val="00076D0D"/>
    <w:rsid w:val="00076DD4"/>
    <w:rsid w:val="0007718B"/>
    <w:rsid w:val="000776AD"/>
    <w:rsid w:val="00077772"/>
    <w:rsid w:val="0007791B"/>
    <w:rsid w:val="000779BB"/>
    <w:rsid w:val="00077D03"/>
    <w:rsid w:val="00080B62"/>
    <w:rsid w:val="00080DD7"/>
    <w:rsid w:val="00081C28"/>
    <w:rsid w:val="00081FD8"/>
    <w:rsid w:val="0008253B"/>
    <w:rsid w:val="00082830"/>
    <w:rsid w:val="00082D0B"/>
    <w:rsid w:val="00083383"/>
    <w:rsid w:val="000837E0"/>
    <w:rsid w:val="00083CF3"/>
    <w:rsid w:val="00084007"/>
    <w:rsid w:val="00084465"/>
    <w:rsid w:val="00084532"/>
    <w:rsid w:val="0008486C"/>
    <w:rsid w:val="00084BE8"/>
    <w:rsid w:val="00084C9D"/>
    <w:rsid w:val="00085066"/>
    <w:rsid w:val="000857A6"/>
    <w:rsid w:val="000858C3"/>
    <w:rsid w:val="00085927"/>
    <w:rsid w:val="00085DDF"/>
    <w:rsid w:val="000860CF"/>
    <w:rsid w:val="000862C0"/>
    <w:rsid w:val="000863A3"/>
    <w:rsid w:val="0008665A"/>
    <w:rsid w:val="00086AC1"/>
    <w:rsid w:val="00087493"/>
    <w:rsid w:val="00087697"/>
    <w:rsid w:val="00090062"/>
    <w:rsid w:val="000904D7"/>
    <w:rsid w:val="00091555"/>
    <w:rsid w:val="0009181B"/>
    <w:rsid w:val="00091A19"/>
    <w:rsid w:val="000925B0"/>
    <w:rsid w:val="000927CB"/>
    <w:rsid w:val="00092A75"/>
    <w:rsid w:val="00092B93"/>
    <w:rsid w:val="000942A1"/>
    <w:rsid w:val="0009457B"/>
    <w:rsid w:val="000949C9"/>
    <w:rsid w:val="000949E1"/>
    <w:rsid w:val="00094AF1"/>
    <w:rsid w:val="00094EBC"/>
    <w:rsid w:val="000957F3"/>
    <w:rsid w:val="00096214"/>
    <w:rsid w:val="00096364"/>
    <w:rsid w:val="00096379"/>
    <w:rsid w:val="000965F7"/>
    <w:rsid w:val="000966D7"/>
    <w:rsid w:val="00096BD4"/>
    <w:rsid w:val="000973D8"/>
    <w:rsid w:val="0009749E"/>
    <w:rsid w:val="00097EAF"/>
    <w:rsid w:val="000A0393"/>
    <w:rsid w:val="000A03BD"/>
    <w:rsid w:val="000A0824"/>
    <w:rsid w:val="000A08C1"/>
    <w:rsid w:val="000A0A3F"/>
    <w:rsid w:val="000A0D37"/>
    <w:rsid w:val="000A0F80"/>
    <w:rsid w:val="000A132D"/>
    <w:rsid w:val="000A1330"/>
    <w:rsid w:val="000A1A70"/>
    <w:rsid w:val="000A1D76"/>
    <w:rsid w:val="000A23E0"/>
    <w:rsid w:val="000A2468"/>
    <w:rsid w:val="000A2F4B"/>
    <w:rsid w:val="000A32D9"/>
    <w:rsid w:val="000A3539"/>
    <w:rsid w:val="000A37EF"/>
    <w:rsid w:val="000A3926"/>
    <w:rsid w:val="000A3CA5"/>
    <w:rsid w:val="000A4017"/>
    <w:rsid w:val="000A40E0"/>
    <w:rsid w:val="000A411B"/>
    <w:rsid w:val="000A421C"/>
    <w:rsid w:val="000A425E"/>
    <w:rsid w:val="000A4334"/>
    <w:rsid w:val="000A4370"/>
    <w:rsid w:val="000A4BF7"/>
    <w:rsid w:val="000A56C6"/>
    <w:rsid w:val="000A572B"/>
    <w:rsid w:val="000A5755"/>
    <w:rsid w:val="000A5D6A"/>
    <w:rsid w:val="000A6122"/>
    <w:rsid w:val="000A61AB"/>
    <w:rsid w:val="000A637F"/>
    <w:rsid w:val="000A6E67"/>
    <w:rsid w:val="000A7702"/>
    <w:rsid w:val="000A7B38"/>
    <w:rsid w:val="000B0299"/>
    <w:rsid w:val="000B04D4"/>
    <w:rsid w:val="000B0586"/>
    <w:rsid w:val="000B0DA9"/>
    <w:rsid w:val="000B14EB"/>
    <w:rsid w:val="000B1525"/>
    <w:rsid w:val="000B1787"/>
    <w:rsid w:val="000B19F2"/>
    <w:rsid w:val="000B22BF"/>
    <w:rsid w:val="000B3010"/>
    <w:rsid w:val="000B3071"/>
    <w:rsid w:val="000B3291"/>
    <w:rsid w:val="000B3BA2"/>
    <w:rsid w:val="000B3C46"/>
    <w:rsid w:val="000B3DB8"/>
    <w:rsid w:val="000B3E8B"/>
    <w:rsid w:val="000B412C"/>
    <w:rsid w:val="000B44D4"/>
    <w:rsid w:val="000B45CB"/>
    <w:rsid w:val="000B4637"/>
    <w:rsid w:val="000B4D49"/>
    <w:rsid w:val="000B55A7"/>
    <w:rsid w:val="000B5C72"/>
    <w:rsid w:val="000B5E4F"/>
    <w:rsid w:val="000B6074"/>
    <w:rsid w:val="000B63CB"/>
    <w:rsid w:val="000B704B"/>
    <w:rsid w:val="000B7083"/>
    <w:rsid w:val="000B7305"/>
    <w:rsid w:val="000B77E8"/>
    <w:rsid w:val="000B786B"/>
    <w:rsid w:val="000B78BF"/>
    <w:rsid w:val="000C01C8"/>
    <w:rsid w:val="000C0347"/>
    <w:rsid w:val="000C0890"/>
    <w:rsid w:val="000C09F8"/>
    <w:rsid w:val="000C0E3A"/>
    <w:rsid w:val="000C11CB"/>
    <w:rsid w:val="000C1380"/>
    <w:rsid w:val="000C13D0"/>
    <w:rsid w:val="000C1B5A"/>
    <w:rsid w:val="000C1DD5"/>
    <w:rsid w:val="000C2049"/>
    <w:rsid w:val="000C2133"/>
    <w:rsid w:val="000C22DD"/>
    <w:rsid w:val="000C2CED"/>
    <w:rsid w:val="000C34EA"/>
    <w:rsid w:val="000C35E4"/>
    <w:rsid w:val="000C3801"/>
    <w:rsid w:val="000C3AB7"/>
    <w:rsid w:val="000C470C"/>
    <w:rsid w:val="000C47FC"/>
    <w:rsid w:val="000C5010"/>
    <w:rsid w:val="000C52DA"/>
    <w:rsid w:val="000C5C02"/>
    <w:rsid w:val="000C5FA4"/>
    <w:rsid w:val="000C5FF4"/>
    <w:rsid w:val="000C616E"/>
    <w:rsid w:val="000C7075"/>
    <w:rsid w:val="000D002C"/>
    <w:rsid w:val="000D03CB"/>
    <w:rsid w:val="000D04A1"/>
    <w:rsid w:val="000D0887"/>
    <w:rsid w:val="000D0929"/>
    <w:rsid w:val="000D1002"/>
    <w:rsid w:val="000D1051"/>
    <w:rsid w:val="000D1087"/>
    <w:rsid w:val="000D15D2"/>
    <w:rsid w:val="000D161B"/>
    <w:rsid w:val="000D1D6A"/>
    <w:rsid w:val="000D235B"/>
    <w:rsid w:val="000D2367"/>
    <w:rsid w:val="000D239F"/>
    <w:rsid w:val="000D25C7"/>
    <w:rsid w:val="000D2B19"/>
    <w:rsid w:val="000D2E7E"/>
    <w:rsid w:val="000D2FD0"/>
    <w:rsid w:val="000D339D"/>
    <w:rsid w:val="000D33CA"/>
    <w:rsid w:val="000D3433"/>
    <w:rsid w:val="000D4039"/>
    <w:rsid w:val="000D48A3"/>
    <w:rsid w:val="000D49C2"/>
    <w:rsid w:val="000D5610"/>
    <w:rsid w:val="000D5C6A"/>
    <w:rsid w:val="000D5E51"/>
    <w:rsid w:val="000D63A7"/>
    <w:rsid w:val="000D6520"/>
    <w:rsid w:val="000D672A"/>
    <w:rsid w:val="000D68F1"/>
    <w:rsid w:val="000D69EB"/>
    <w:rsid w:val="000D6C07"/>
    <w:rsid w:val="000D6F8D"/>
    <w:rsid w:val="000E0157"/>
    <w:rsid w:val="000E01FE"/>
    <w:rsid w:val="000E028C"/>
    <w:rsid w:val="000E0412"/>
    <w:rsid w:val="000E072B"/>
    <w:rsid w:val="000E09F8"/>
    <w:rsid w:val="000E111C"/>
    <w:rsid w:val="000E1825"/>
    <w:rsid w:val="000E183E"/>
    <w:rsid w:val="000E19D8"/>
    <w:rsid w:val="000E2B51"/>
    <w:rsid w:val="000E2E89"/>
    <w:rsid w:val="000E3503"/>
    <w:rsid w:val="000E389D"/>
    <w:rsid w:val="000E3AAF"/>
    <w:rsid w:val="000E42BB"/>
    <w:rsid w:val="000E43E9"/>
    <w:rsid w:val="000E4D0C"/>
    <w:rsid w:val="000E5045"/>
    <w:rsid w:val="000E52A4"/>
    <w:rsid w:val="000E56B8"/>
    <w:rsid w:val="000E5844"/>
    <w:rsid w:val="000E59B4"/>
    <w:rsid w:val="000E5E84"/>
    <w:rsid w:val="000E6282"/>
    <w:rsid w:val="000E62AB"/>
    <w:rsid w:val="000E6ADC"/>
    <w:rsid w:val="000E6CB8"/>
    <w:rsid w:val="000E76B9"/>
    <w:rsid w:val="000E770A"/>
    <w:rsid w:val="000E7812"/>
    <w:rsid w:val="000E7A76"/>
    <w:rsid w:val="000E7B4D"/>
    <w:rsid w:val="000E7BE4"/>
    <w:rsid w:val="000F041D"/>
    <w:rsid w:val="000F0978"/>
    <w:rsid w:val="000F0AD0"/>
    <w:rsid w:val="000F0F4E"/>
    <w:rsid w:val="000F175E"/>
    <w:rsid w:val="000F1B0E"/>
    <w:rsid w:val="000F1D18"/>
    <w:rsid w:val="000F22C2"/>
    <w:rsid w:val="000F3394"/>
    <w:rsid w:val="000F34AE"/>
    <w:rsid w:val="000F3A1E"/>
    <w:rsid w:val="000F47F3"/>
    <w:rsid w:val="000F496C"/>
    <w:rsid w:val="000F4A6D"/>
    <w:rsid w:val="000F4F25"/>
    <w:rsid w:val="000F51F3"/>
    <w:rsid w:val="000F5D9A"/>
    <w:rsid w:val="000F5FD2"/>
    <w:rsid w:val="000F60EC"/>
    <w:rsid w:val="000F6495"/>
    <w:rsid w:val="000F668A"/>
    <w:rsid w:val="000F6C65"/>
    <w:rsid w:val="000F6EF3"/>
    <w:rsid w:val="000F7C96"/>
    <w:rsid w:val="000F7E20"/>
    <w:rsid w:val="001000CF"/>
    <w:rsid w:val="0010061B"/>
    <w:rsid w:val="001008A6"/>
    <w:rsid w:val="00100F23"/>
    <w:rsid w:val="00100F7A"/>
    <w:rsid w:val="00100FA3"/>
    <w:rsid w:val="00101188"/>
    <w:rsid w:val="001013CE"/>
    <w:rsid w:val="001018B8"/>
    <w:rsid w:val="00101AC1"/>
    <w:rsid w:val="00102018"/>
    <w:rsid w:val="00102418"/>
    <w:rsid w:val="00102536"/>
    <w:rsid w:val="001030E6"/>
    <w:rsid w:val="00103C0B"/>
    <w:rsid w:val="00103C45"/>
    <w:rsid w:val="00103F69"/>
    <w:rsid w:val="0010418B"/>
    <w:rsid w:val="001042EB"/>
    <w:rsid w:val="00104CF1"/>
    <w:rsid w:val="00104D8D"/>
    <w:rsid w:val="00105450"/>
    <w:rsid w:val="00105721"/>
    <w:rsid w:val="00105CA7"/>
    <w:rsid w:val="00105CE0"/>
    <w:rsid w:val="001060C6"/>
    <w:rsid w:val="00106B23"/>
    <w:rsid w:val="00107520"/>
    <w:rsid w:val="001079C1"/>
    <w:rsid w:val="00107B94"/>
    <w:rsid w:val="001101DC"/>
    <w:rsid w:val="00111094"/>
    <w:rsid w:val="001110BA"/>
    <w:rsid w:val="00111295"/>
    <w:rsid w:val="0011131E"/>
    <w:rsid w:val="00111C21"/>
    <w:rsid w:val="00111E6F"/>
    <w:rsid w:val="00112030"/>
    <w:rsid w:val="001125EF"/>
    <w:rsid w:val="00112954"/>
    <w:rsid w:val="00112A7B"/>
    <w:rsid w:val="00112B69"/>
    <w:rsid w:val="001131A0"/>
    <w:rsid w:val="0011354E"/>
    <w:rsid w:val="001135FA"/>
    <w:rsid w:val="00113AE7"/>
    <w:rsid w:val="00113CB0"/>
    <w:rsid w:val="00113CE1"/>
    <w:rsid w:val="00113CF6"/>
    <w:rsid w:val="0011495A"/>
    <w:rsid w:val="00114ACE"/>
    <w:rsid w:val="00114B1B"/>
    <w:rsid w:val="0011502C"/>
    <w:rsid w:val="001151F0"/>
    <w:rsid w:val="0011535C"/>
    <w:rsid w:val="00116089"/>
    <w:rsid w:val="001165CD"/>
    <w:rsid w:val="00116C7B"/>
    <w:rsid w:val="00117085"/>
    <w:rsid w:val="0011758D"/>
    <w:rsid w:val="00117B3F"/>
    <w:rsid w:val="0012023E"/>
    <w:rsid w:val="0012055B"/>
    <w:rsid w:val="00120655"/>
    <w:rsid w:val="001206C7"/>
    <w:rsid w:val="001209AE"/>
    <w:rsid w:val="0012165F"/>
    <w:rsid w:val="00121696"/>
    <w:rsid w:val="00121EB0"/>
    <w:rsid w:val="0012256F"/>
    <w:rsid w:val="00122681"/>
    <w:rsid w:val="0012292D"/>
    <w:rsid w:val="00122CA3"/>
    <w:rsid w:val="00122F42"/>
    <w:rsid w:val="001231D0"/>
    <w:rsid w:val="001232F5"/>
    <w:rsid w:val="00123E41"/>
    <w:rsid w:val="00123F22"/>
    <w:rsid w:val="00123FD0"/>
    <w:rsid w:val="001244F7"/>
    <w:rsid w:val="00124EC2"/>
    <w:rsid w:val="001258CA"/>
    <w:rsid w:val="00125C58"/>
    <w:rsid w:val="00125DFD"/>
    <w:rsid w:val="00125F28"/>
    <w:rsid w:val="001262D2"/>
    <w:rsid w:val="0012634C"/>
    <w:rsid w:val="0012667E"/>
    <w:rsid w:val="00126941"/>
    <w:rsid w:val="00126AD7"/>
    <w:rsid w:val="00126CA6"/>
    <w:rsid w:val="00127192"/>
    <w:rsid w:val="00127400"/>
    <w:rsid w:val="0012791C"/>
    <w:rsid w:val="00127DF2"/>
    <w:rsid w:val="00130106"/>
    <w:rsid w:val="00130369"/>
    <w:rsid w:val="001304E4"/>
    <w:rsid w:val="00131516"/>
    <w:rsid w:val="0013175A"/>
    <w:rsid w:val="00131A36"/>
    <w:rsid w:val="001327DB"/>
    <w:rsid w:val="00132A38"/>
    <w:rsid w:val="00132B8B"/>
    <w:rsid w:val="00132DEE"/>
    <w:rsid w:val="00132EC2"/>
    <w:rsid w:val="00132F46"/>
    <w:rsid w:val="0013330D"/>
    <w:rsid w:val="0013358C"/>
    <w:rsid w:val="0013362D"/>
    <w:rsid w:val="00133679"/>
    <w:rsid w:val="00133ACC"/>
    <w:rsid w:val="00134149"/>
    <w:rsid w:val="00134333"/>
    <w:rsid w:val="001343D9"/>
    <w:rsid w:val="001347D2"/>
    <w:rsid w:val="00134945"/>
    <w:rsid w:val="001349BD"/>
    <w:rsid w:val="00134F39"/>
    <w:rsid w:val="00135101"/>
    <w:rsid w:val="00135371"/>
    <w:rsid w:val="0013572D"/>
    <w:rsid w:val="00135B48"/>
    <w:rsid w:val="0013612C"/>
    <w:rsid w:val="001365C3"/>
    <w:rsid w:val="00136742"/>
    <w:rsid w:val="00136C82"/>
    <w:rsid w:val="00136F5A"/>
    <w:rsid w:val="001376C1"/>
    <w:rsid w:val="00140035"/>
    <w:rsid w:val="0014040E"/>
    <w:rsid w:val="00140775"/>
    <w:rsid w:val="0014131C"/>
    <w:rsid w:val="00141776"/>
    <w:rsid w:val="0014393F"/>
    <w:rsid w:val="00143DEA"/>
    <w:rsid w:val="00143FFB"/>
    <w:rsid w:val="0014442A"/>
    <w:rsid w:val="001448A2"/>
    <w:rsid w:val="00144C02"/>
    <w:rsid w:val="0014507D"/>
    <w:rsid w:val="0014511E"/>
    <w:rsid w:val="001466E8"/>
    <w:rsid w:val="00146C00"/>
    <w:rsid w:val="00146CBC"/>
    <w:rsid w:val="00146D0B"/>
    <w:rsid w:val="00146F9E"/>
    <w:rsid w:val="001472C3"/>
    <w:rsid w:val="001474F7"/>
    <w:rsid w:val="00147B0A"/>
    <w:rsid w:val="00147C42"/>
    <w:rsid w:val="00147D08"/>
    <w:rsid w:val="001500CB"/>
    <w:rsid w:val="00150887"/>
    <w:rsid w:val="001509F3"/>
    <w:rsid w:val="00150AE6"/>
    <w:rsid w:val="0015134D"/>
    <w:rsid w:val="00151550"/>
    <w:rsid w:val="001520F4"/>
    <w:rsid w:val="00152837"/>
    <w:rsid w:val="00152E39"/>
    <w:rsid w:val="001536AF"/>
    <w:rsid w:val="00153926"/>
    <w:rsid w:val="0015423A"/>
    <w:rsid w:val="001544BD"/>
    <w:rsid w:val="00154899"/>
    <w:rsid w:val="0015499C"/>
    <w:rsid w:val="00154A4B"/>
    <w:rsid w:val="0015528B"/>
    <w:rsid w:val="001552CF"/>
    <w:rsid w:val="0015544C"/>
    <w:rsid w:val="00155467"/>
    <w:rsid w:val="00156852"/>
    <w:rsid w:val="00156FD0"/>
    <w:rsid w:val="00157093"/>
    <w:rsid w:val="0015709C"/>
    <w:rsid w:val="001577F8"/>
    <w:rsid w:val="00160272"/>
    <w:rsid w:val="001605F6"/>
    <w:rsid w:val="00160B61"/>
    <w:rsid w:val="0016139B"/>
    <w:rsid w:val="00161498"/>
    <w:rsid w:val="0016153C"/>
    <w:rsid w:val="00161CB3"/>
    <w:rsid w:val="00161E09"/>
    <w:rsid w:val="00161F03"/>
    <w:rsid w:val="00162287"/>
    <w:rsid w:val="00162321"/>
    <w:rsid w:val="00162B32"/>
    <w:rsid w:val="00162B8B"/>
    <w:rsid w:val="001630A4"/>
    <w:rsid w:val="0016436C"/>
    <w:rsid w:val="0016463B"/>
    <w:rsid w:val="00164757"/>
    <w:rsid w:val="001653AB"/>
    <w:rsid w:val="001658BC"/>
    <w:rsid w:val="00165A81"/>
    <w:rsid w:val="00165B4A"/>
    <w:rsid w:val="00165EE5"/>
    <w:rsid w:val="00166318"/>
    <w:rsid w:val="00166C5C"/>
    <w:rsid w:val="00167273"/>
    <w:rsid w:val="001675FA"/>
    <w:rsid w:val="0016766F"/>
    <w:rsid w:val="00167987"/>
    <w:rsid w:val="0017093F"/>
    <w:rsid w:val="00170BEA"/>
    <w:rsid w:val="00170E0E"/>
    <w:rsid w:val="001712B9"/>
    <w:rsid w:val="0017164D"/>
    <w:rsid w:val="00171853"/>
    <w:rsid w:val="00172A27"/>
    <w:rsid w:val="00172B43"/>
    <w:rsid w:val="00172E1E"/>
    <w:rsid w:val="001731C3"/>
    <w:rsid w:val="00173EFE"/>
    <w:rsid w:val="00173F70"/>
    <w:rsid w:val="00174285"/>
    <w:rsid w:val="001748DE"/>
    <w:rsid w:val="00174A42"/>
    <w:rsid w:val="00174B7A"/>
    <w:rsid w:val="00175596"/>
    <w:rsid w:val="001761B9"/>
    <w:rsid w:val="00176519"/>
    <w:rsid w:val="001765F9"/>
    <w:rsid w:val="0017664E"/>
    <w:rsid w:val="0017680E"/>
    <w:rsid w:val="00176896"/>
    <w:rsid w:val="00177248"/>
    <w:rsid w:val="001774BB"/>
    <w:rsid w:val="00177633"/>
    <w:rsid w:val="00177DDE"/>
    <w:rsid w:val="001805AA"/>
    <w:rsid w:val="0018092C"/>
    <w:rsid w:val="00180A88"/>
    <w:rsid w:val="001813ED"/>
    <w:rsid w:val="001820FF"/>
    <w:rsid w:val="00182334"/>
    <w:rsid w:val="001826BF"/>
    <w:rsid w:val="00183643"/>
    <w:rsid w:val="00183A33"/>
    <w:rsid w:val="00183DC6"/>
    <w:rsid w:val="0018408C"/>
    <w:rsid w:val="001846CE"/>
    <w:rsid w:val="00184742"/>
    <w:rsid w:val="00185412"/>
    <w:rsid w:val="00185790"/>
    <w:rsid w:val="00185BF8"/>
    <w:rsid w:val="0018698D"/>
    <w:rsid w:val="00187588"/>
    <w:rsid w:val="00187841"/>
    <w:rsid w:val="00187C57"/>
    <w:rsid w:val="001904BE"/>
    <w:rsid w:val="00190CC2"/>
    <w:rsid w:val="00190DB2"/>
    <w:rsid w:val="00192D67"/>
    <w:rsid w:val="00192E59"/>
    <w:rsid w:val="001931DA"/>
    <w:rsid w:val="00193276"/>
    <w:rsid w:val="001932F1"/>
    <w:rsid w:val="00193305"/>
    <w:rsid w:val="001933D0"/>
    <w:rsid w:val="00193474"/>
    <w:rsid w:val="0019377A"/>
    <w:rsid w:val="00193912"/>
    <w:rsid w:val="00193AFA"/>
    <w:rsid w:val="00194141"/>
    <w:rsid w:val="001942F2"/>
    <w:rsid w:val="0019431F"/>
    <w:rsid w:val="00194554"/>
    <w:rsid w:val="0019473A"/>
    <w:rsid w:val="00194DA1"/>
    <w:rsid w:val="00194DAE"/>
    <w:rsid w:val="00194DEF"/>
    <w:rsid w:val="00195090"/>
    <w:rsid w:val="00195B96"/>
    <w:rsid w:val="00195D30"/>
    <w:rsid w:val="0019610A"/>
    <w:rsid w:val="00196581"/>
    <w:rsid w:val="001968A5"/>
    <w:rsid w:val="001968FD"/>
    <w:rsid w:val="00196E48"/>
    <w:rsid w:val="0019723F"/>
    <w:rsid w:val="00197253"/>
    <w:rsid w:val="00197614"/>
    <w:rsid w:val="001976F3"/>
    <w:rsid w:val="00197997"/>
    <w:rsid w:val="00197BD3"/>
    <w:rsid w:val="00197C11"/>
    <w:rsid w:val="00197D06"/>
    <w:rsid w:val="001A03DC"/>
    <w:rsid w:val="001A053B"/>
    <w:rsid w:val="001A0B3F"/>
    <w:rsid w:val="001A0CFE"/>
    <w:rsid w:val="001A0D58"/>
    <w:rsid w:val="001A0F0D"/>
    <w:rsid w:val="001A12AA"/>
    <w:rsid w:val="001A13F2"/>
    <w:rsid w:val="001A1666"/>
    <w:rsid w:val="001A1727"/>
    <w:rsid w:val="001A1BA3"/>
    <w:rsid w:val="001A1D57"/>
    <w:rsid w:val="001A1E63"/>
    <w:rsid w:val="001A1FE4"/>
    <w:rsid w:val="001A2A7F"/>
    <w:rsid w:val="001A2F94"/>
    <w:rsid w:val="001A300A"/>
    <w:rsid w:val="001A325A"/>
    <w:rsid w:val="001A329E"/>
    <w:rsid w:val="001A3AA7"/>
    <w:rsid w:val="001A3CB0"/>
    <w:rsid w:val="001A430A"/>
    <w:rsid w:val="001A4FD8"/>
    <w:rsid w:val="001A5712"/>
    <w:rsid w:val="001A59CF"/>
    <w:rsid w:val="001A5D67"/>
    <w:rsid w:val="001A5DAA"/>
    <w:rsid w:val="001A5E04"/>
    <w:rsid w:val="001A6440"/>
    <w:rsid w:val="001A6CB2"/>
    <w:rsid w:val="001A7010"/>
    <w:rsid w:val="001A7371"/>
    <w:rsid w:val="001A74F0"/>
    <w:rsid w:val="001A769B"/>
    <w:rsid w:val="001A7E5D"/>
    <w:rsid w:val="001B0C34"/>
    <w:rsid w:val="001B0C41"/>
    <w:rsid w:val="001B1D26"/>
    <w:rsid w:val="001B1D36"/>
    <w:rsid w:val="001B1F50"/>
    <w:rsid w:val="001B1FE3"/>
    <w:rsid w:val="001B255F"/>
    <w:rsid w:val="001B2764"/>
    <w:rsid w:val="001B2FA1"/>
    <w:rsid w:val="001B3177"/>
    <w:rsid w:val="001B3356"/>
    <w:rsid w:val="001B33DF"/>
    <w:rsid w:val="001B36CD"/>
    <w:rsid w:val="001B48AF"/>
    <w:rsid w:val="001B61E4"/>
    <w:rsid w:val="001B6E80"/>
    <w:rsid w:val="001B7409"/>
    <w:rsid w:val="001B7E49"/>
    <w:rsid w:val="001B7F71"/>
    <w:rsid w:val="001B7F7E"/>
    <w:rsid w:val="001C0504"/>
    <w:rsid w:val="001C0541"/>
    <w:rsid w:val="001C08DF"/>
    <w:rsid w:val="001C1478"/>
    <w:rsid w:val="001C21B2"/>
    <w:rsid w:val="001C2473"/>
    <w:rsid w:val="001C2561"/>
    <w:rsid w:val="001C27C1"/>
    <w:rsid w:val="001C2A59"/>
    <w:rsid w:val="001C2EC5"/>
    <w:rsid w:val="001C3234"/>
    <w:rsid w:val="001C3D91"/>
    <w:rsid w:val="001C3E7B"/>
    <w:rsid w:val="001C3F5B"/>
    <w:rsid w:val="001C40D1"/>
    <w:rsid w:val="001C42A5"/>
    <w:rsid w:val="001C45EF"/>
    <w:rsid w:val="001C5A97"/>
    <w:rsid w:val="001C5E17"/>
    <w:rsid w:val="001C5F97"/>
    <w:rsid w:val="001C6B87"/>
    <w:rsid w:val="001C7BF9"/>
    <w:rsid w:val="001C7D77"/>
    <w:rsid w:val="001D03D1"/>
    <w:rsid w:val="001D049A"/>
    <w:rsid w:val="001D0648"/>
    <w:rsid w:val="001D0A4E"/>
    <w:rsid w:val="001D0A96"/>
    <w:rsid w:val="001D0D5B"/>
    <w:rsid w:val="001D19D7"/>
    <w:rsid w:val="001D1C6B"/>
    <w:rsid w:val="001D2264"/>
    <w:rsid w:val="001D2423"/>
    <w:rsid w:val="001D28B2"/>
    <w:rsid w:val="001D2B44"/>
    <w:rsid w:val="001D33C7"/>
    <w:rsid w:val="001D36F4"/>
    <w:rsid w:val="001D380E"/>
    <w:rsid w:val="001D39D3"/>
    <w:rsid w:val="001D3A8C"/>
    <w:rsid w:val="001D3FB7"/>
    <w:rsid w:val="001D47E4"/>
    <w:rsid w:val="001D4CCA"/>
    <w:rsid w:val="001D514C"/>
    <w:rsid w:val="001D737A"/>
    <w:rsid w:val="001D76A9"/>
    <w:rsid w:val="001D781A"/>
    <w:rsid w:val="001D7EEF"/>
    <w:rsid w:val="001D7F4E"/>
    <w:rsid w:val="001E00C5"/>
    <w:rsid w:val="001E0284"/>
    <w:rsid w:val="001E034F"/>
    <w:rsid w:val="001E0628"/>
    <w:rsid w:val="001E0D02"/>
    <w:rsid w:val="001E1083"/>
    <w:rsid w:val="001E11C8"/>
    <w:rsid w:val="001E1203"/>
    <w:rsid w:val="001E1620"/>
    <w:rsid w:val="001E1730"/>
    <w:rsid w:val="001E1809"/>
    <w:rsid w:val="001E185F"/>
    <w:rsid w:val="001E1A66"/>
    <w:rsid w:val="001E1ADB"/>
    <w:rsid w:val="001E1F48"/>
    <w:rsid w:val="001E1F67"/>
    <w:rsid w:val="001E2282"/>
    <w:rsid w:val="001E2914"/>
    <w:rsid w:val="001E2ED7"/>
    <w:rsid w:val="001E3E57"/>
    <w:rsid w:val="001E44EA"/>
    <w:rsid w:val="001E465B"/>
    <w:rsid w:val="001E4C32"/>
    <w:rsid w:val="001E53C1"/>
    <w:rsid w:val="001E587C"/>
    <w:rsid w:val="001E5E48"/>
    <w:rsid w:val="001E63B5"/>
    <w:rsid w:val="001E676A"/>
    <w:rsid w:val="001E70CE"/>
    <w:rsid w:val="001E78B2"/>
    <w:rsid w:val="001F02F5"/>
    <w:rsid w:val="001F07CA"/>
    <w:rsid w:val="001F12CA"/>
    <w:rsid w:val="001F13AB"/>
    <w:rsid w:val="001F1B1B"/>
    <w:rsid w:val="001F204F"/>
    <w:rsid w:val="001F2BCF"/>
    <w:rsid w:val="001F2E76"/>
    <w:rsid w:val="001F395F"/>
    <w:rsid w:val="001F400D"/>
    <w:rsid w:val="001F44F7"/>
    <w:rsid w:val="001F5792"/>
    <w:rsid w:val="001F5A66"/>
    <w:rsid w:val="001F6001"/>
    <w:rsid w:val="001F616D"/>
    <w:rsid w:val="001F62D1"/>
    <w:rsid w:val="001F679D"/>
    <w:rsid w:val="001F6D2B"/>
    <w:rsid w:val="001F7A34"/>
    <w:rsid w:val="001F7A9A"/>
    <w:rsid w:val="00200182"/>
    <w:rsid w:val="0020027C"/>
    <w:rsid w:val="00200475"/>
    <w:rsid w:val="002005D7"/>
    <w:rsid w:val="00200928"/>
    <w:rsid w:val="00200B27"/>
    <w:rsid w:val="00201191"/>
    <w:rsid w:val="00201279"/>
    <w:rsid w:val="00201651"/>
    <w:rsid w:val="00202142"/>
    <w:rsid w:val="002027C4"/>
    <w:rsid w:val="00202B84"/>
    <w:rsid w:val="002030B7"/>
    <w:rsid w:val="00203A65"/>
    <w:rsid w:val="00203C57"/>
    <w:rsid w:val="00203CA7"/>
    <w:rsid w:val="00203E5A"/>
    <w:rsid w:val="00204576"/>
    <w:rsid w:val="00204697"/>
    <w:rsid w:val="00204954"/>
    <w:rsid w:val="00204D92"/>
    <w:rsid w:val="0020557E"/>
    <w:rsid w:val="00205723"/>
    <w:rsid w:val="00205B4B"/>
    <w:rsid w:val="00205C63"/>
    <w:rsid w:val="00206E49"/>
    <w:rsid w:val="002072F0"/>
    <w:rsid w:val="00207357"/>
    <w:rsid w:val="00207459"/>
    <w:rsid w:val="002078B9"/>
    <w:rsid w:val="00207FB8"/>
    <w:rsid w:val="0021089D"/>
    <w:rsid w:val="00210D02"/>
    <w:rsid w:val="002112C6"/>
    <w:rsid w:val="00211673"/>
    <w:rsid w:val="00212595"/>
    <w:rsid w:val="0021273A"/>
    <w:rsid w:val="00212B8F"/>
    <w:rsid w:val="00212EDA"/>
    <w:rsid w:val="00213F87"/>
    <w:rsid w:val="00214102"/>
    <w:rsid w:val="002146A8"/>
    <w:rsid w:val="00215018"/>
    <w:rsid w:val="002156C2"/>
    <w:rsid w:val="00215FF0"/>
    <w:rsid w:val="0021620D"/>
    <w:rsid w:val="00216C4C"/>
    <w:rsid w:val="00216C7E"/>
    <w:rsid w:val="00216F8F"/>
    <w:rsid w:val="00217278"/>
    <w:rsid w:val="00217398"/>
    <w:rsid w:val="00217606"/>
    <w:rsid w:val="002177E7"/>
    <w:rsid w:val="00217987"/>
    <w:rsid w:val="002207F9"/>
    <w:rsid w:val="0022095C"/>
    <w:rsid w:val="0022213A"/>
    <w:rsid w:val="0022227E"/>
    <w:rsid w:val="0022283A"/>
    <w:rsid w:val="002231A7"/>
    <w:rsid w:val="002232FF"/>
    <w:rsid w:val="00223301"/>
    <w:rsid w:val="0022363B"/>
    <w:rsid w:val="00223C27"/>
    <w:rsid w:val="00223E3E"/>
    <w:rsid w:val="0022493E"/>
    <w:rsid w:val="00224963"/>
    <w:rsid w:val="00224DBB"/>
    <w:rsid w:val="00225101"/>
    <w:rsid w:val="0022539C"/>
    <w:rsid w:val="00225A1D"/>
    <w:rsid w:val="00225CD1"/>
    <w:rsid w:val="00226152"/>
    <w:rsid w:val="002262CE"/>
    <w:rsid w:val="0022676A"/>
    <w:rsid w:val="0022680C"/>
    <w:rsid w:val="00226FED"/>
    <w:rsid w:val="00227153"/>
    <w:rsid w:val="002277C0"/>
    <w:rsid w:val="00227972"/>
    <w:rsid w:val="00227A50"/>
    <w:rsid w:val="00227E91"/>
    <w:rsid w:val="00227EF4"/>
    <w:rsid w:val="00227F9D"/>
    <w:rsid w:val="00230008"/>
    <w:rsid w:val="00230238"/>
    <w:rsid w:val="002304D2"/>
    <w:rsid w:val="0023061D"/>
    <w:rsid w:val="002312E9"/>
    <w:rsid w:val="002313EC"/>
    <w:rsid w:val="0023195B"/>
    <w:rsid w:val="00231C3B"/>
    <w:rsid w:val="00231D0C"/>
    <w:rsid w:val="00231DDD"/>
    <w:rsid w:val="00231E97"/>
    <w:rsid w:val="002328B9"/>
    <w:rsid w:val="00232D17"/>
    <w:rsid w:val="0023305F"/>
    <w:rsid w:val="0023432F"/>
    <w:rsid w:val="00234A53"/>
    <w:rsid w:val="002355D0"/>
    <w:rsid w:val="00235815"/>
    <w:rsid w:val="00235B68"/>
    <w:rsid w:val="00235D75"/>
    <w:rsid w:val="00236161"/>
    <w:rsid w:val="00240EA8"/>
    <w:rsid w:val="00241471"/>
    <w:rsid w:val="00241AEF"/>
    <w:rsid w:val="00241BE6"/>
    <w:rsid w:val="00241C74"/>
    <w:rsid w:val="0024227F"/>
    <w:rsid w:val="002423A5"/>
    <w:rsid w:val="002424A6"/>
    <w:rsid w:val="002426A8"/>
    <w:rsid w:val="00242DC4"/>
    <w:rsid w:val="00242F0F"/>
    <w:rsid w:val="002439B0"/>
    <w:rsid w:val="00243AC6"/>
    <w:rsid w:val="002440BC"/>
    <w:rsid w:val="002443AB"/>
    <w:rsid w:val="00244427"/>
    <w:rsid w:val="002446D9"/>
    <w:rsid w:val="00244835"/>
    <w:rsid w:val="00244D0D"/>
    <w:rsid w:val="002453EB"/>
    <w:rsid w:val="00245492"/>
    <w:rsid w:val="002454F1"/>
    <w:rsid w:val="00245EBD"/>
    <w:rsid w:val="00246B5C"/>
    <w:rsid w:val="002471C2"/>
    <w:rsid w:val="002475A9"/>
    <w:rsid w:val="002477AC"/>
    <w:rsid w:val="00247A06"/>
    <w:rsid w:val="0025037E"/>
    <w:rsid w:val="002503B3"/>
    <w:rsid w:val="0025045F"/>
    <w:rsid w:val="0025063A"/>
    <w:rsid w:val="00250D3E"/>
    <w:rsid w:val="00250E76"/>
    <w:rsid w:val="002514BA"/>
    <w:rsid w:val="00251973"/>
    <w:rsid w:val="00251B80"/>
    <w:rsid w:val="0025260E"/>
    <w:rsid w:val="00253066"/>
    <w:rsid w:val="00253A42"/>
    <w:rsid w:val="002563E2"/>
    <w:rsid w:val="002568B6"/>
    <w:rsid w:val="0025739E"/>
    <w:rsid w:val="00257D7D"/>
    <w:rsid w:val="00260E60"/>
    <w:rsid w:val="0026131C"/>
    <w:rsid w:val="002613A4"/>
    <w:rsid w:val="0026178E"/>
    <w:rsid w:val="00261C03"/>
    <w:rsid w:val="00261C09"/>
    <w:rsid w:val="00262055"/>
    <w:rsid w:val="00262490"/>
    <w:rsid w:val="002628B2"/>
    <w:rsid w:val="00262945"/>
    <w:rsid w:val="00263281"/>
    <w:rsid w:val="00263300"/>
    <w:rsid w:val="0026527A"/>
    <w:rsid w:val="00265348"/>
    <w:rsid w:val="002653AE"/>
    <w:rsid w:val="00265626"/>
    <w:rsid w:val="00266110"/>
    <w:rsid w:val="002665EF"/>
    <w:rsid w:val="00267B8F"/>
    <w:rsid w:val="00267D9A"/>
    <w:rsid w:val="00270D1A"/>
    <w:rsid w:val="00270FFD"/>
    <w:rsid w:val="00271259"/>
    <w:rsid w:val="00271377"/>
    <w:rsid w:val="002714CB"/>
    <w:rsid w:val="002716B8"/>
    <w:rsid w:val="00271BE5"/>
    <w:rsid w:val="00271E06"/>
    <w:rsid w:val="0027371A"/>
    <w:rsid w:val="00273D81"/>
    <w:rsid w:val="00274047"/>
    <w:rsid w:val="002743F1"/>
    <w:rsid w:val="00274445"/>
    <w:rsid w:val="00274D68"/>
    <w:rsid w:val="00274F70"/>
    <w:rsid w:val="00275182"/>
    <w:rsid w:val="00275197"/>
    <w:rsid w:val="0027520C"/>
    <w:rsid w:val="0027521D"/>
    <w:rsid w:val="00275262"/>
    <w:rsid w:val="002752B0"/>
    <w:rsid w:val="00275E03"/>
    <w:rsid w:val="00276245"/>
    <w:rsid w:val="002768FC"/>
    <w:rsid w:val="00277FCA"/>
    <w:rsid w:val="002803BE"/>
    <w:rsid w:val="00280583"/>
    <w:rsid w:val="00280C94"/>
    <w:rsid w:val="00280D89"/>
    <w:rsid w:val="00281114"/>
    <w:rsid w:val="00281238"/>
    <w:rsid w:val="002812E8"/>
    <w:rsid w:val="00281678"/>
    <w:rsid w:val="002827F7"/>
    <w:rsid w:val="00282D10"/>
    <w:rsid w:val="00282D3F"/>
    <w:rsid w:val="00282E0D"/>
    <w:rsid w:val="002833D3"/>
    <w:rsid w:val="002835AE"/>
    <w:rsid w:val="00283606"/>
    <w:rsid w:val="00283C6D"/>
    <w:rsid w:val="00283D91"/>
    <w:rsid w:val="00283EEA"/>
    <w:rsid w:val="00283FAE"/>
    <w:rsid w:val="00284716"/>
    <w:rsid w:val="00284D9A"/>
    <w:rsid w:val="0028508F"/>
    <w:rsid w:val="0028509B"/>
    <w:rsid w:val="00285601"/>
    <w:rsid w:val="00285A5A"/>
    <w:rsid w:val="00285CD0"/>
    <w:rsid w:val="002860FA"/>
    <w:rsid w:val="002863D7"/>
    <w:rsid w:val="00286725"/>
    <w:rsid w:val="0028686A"/>
    <w:rsid w:val="00286FFD"/>
    <w:rsid w:val="00287150"/>
    <w:rsid w:val="0028744B"/>
    <w:rsid w:val="0028764C"/>
    <w:rsid w:val="00287857"/>
    <w:rsid w:val="00287F23"/>
    <w:rsid w:val="00287F4F"/>
    <w:rsid w:val="0029044E"/>
    <w:rsid w:val="002905B7"/>
    <w:rsid w:val="00290EDA"/>
    <w:rsid w:val="002912F0"/>
    <w:rsid w:val="00291349"/>
    <w:rsid w:val="00291D89"/>
    <w:rsid w:val="002922E4"/>
    <w:rsid w:val="00292FAB"/>
    <w:rsid w:val="0029314C"/>
    <w:rsid w:val="00293B62"/>
    <w:rsid w:val="00293E9A"/>
    <w:rsid w:val="0029435C"/>
    <w:rsid w:val="0029443F"/>
    <w:rsid w:val="0029472D"/>
    <w:rsid w:val="00294B71"/>
    <w:rsid w:val="002957C2"/>
    <w:rsid w:val="002959A7"/>
    <w:rsid w:val="00295A9B"/>
    <w:rsid w:val="00296474"/>
    <w:rsid w:val="00297501"/>
    <w:rsid w:val="002A00FC"/>
    <w:rsid w:val="002A034B"/>
    <w:rsid w:val="002A0601"/>
    <w:rsid w:val="002A0761"/>
    <w:rsid w:val="002A0B3C"/>
    <w:rsid w:val="002A140D"/>
    <w:rsid w:val="002A1D2D"/>
    <w:rsid w:val="002A1DE5"/>
    <w:rsid w:val="002A23F0"/>
    <w:rsid w:val="002A2641"/>
    <w:rsid w:val="002A29A3"/>
    <w:rsid w:val="002A2A8E"/>
    <w:rsid w:val="002A2AE1"/>
    <w:rsid w:val="002A2CF6"/>
    <w:rsid w:val="002A370A"/>
    <w:rsid w:val="002A451A"/>
    <w:rsid w:val="002A47A6"/>
    <w:rsid w:val="002A495E"/>
    <w:rsid w:val="002A4A77"/>
    <w:rsid w:val="002A5ED0"/>
    <w:rsid w:val="002A65BE"/>
    <w:rsid w:val="002A66D7"/>
    <w:rsid w:val="002A6775"/>
    <w:rsid w:val="002A6DCA"/>
    <w:rsid w:val="002A74CA"/>
    <w:rsid w:val="002A79F9"/>
    <w:rsid w:val="002A7A3A"/>
    <w:rsid w:val="002B00A6"/>
    <w:rsid w:val="002B103F"/>
    <w:rsid w:val="002B14A6"/>
    <w:rsid w:val="002B2217"/>
    <w:rsid w:val="002B2938"/>
    <w:rsid w:val="002B29F5"/>
    <w:rsid w:val="002B2C9E"/>
    <w:rsid w:val="002B2F8B"/>
    <w:rsid w:val="002B2F97"/>
    <w:rsid w:val="002B30BB"/>
    <w:rsid w:val="002B3C77"/>
    <w:rsid w:val="002B4752"/>
    <w:rsid w:val="002B4F1F"/>
    <w:rsid w:val="002B5246"/>
    <w:rsid w:val="002B5467"/>
    <w:rsid w:val="002B5A2F"/>
    <w:rsid w:val="002B5AFD"/>
    <w:rsid w:val="002B5CDF"/>
    <w:rsid w:val="002B5FAC"/>
    <w:rsid w:val="002B667D"/>
    <w:rsid w:val="002B66A8"/>
    <w:rsid w:val="002B66C5"/>
    <w:rsid w:val="002B6F8F"/>
    <w:rsid w:val="002B710F"/>
    <w:rsid w:val="002B71DD"/>
    <w:rsid w:val="002B750D"/>
    <w:rsid w:val="002B7D40"/>
    <w:rsid w:val="002C0204"/>
    <w:rsid w:val="002C027D"/>
    <w:rsid w:val="002C0AA3"/>
    <w:rsid w:val="002C0BF2"/>
    <w:rsid w:val="002C0CEA"/>
    <w:rsid w:val="002C12D4"/>
    <w:rsid w:val="002C12EA"/>
    <w:rsid w:val="002C1717"/>
    <w:rsid w:val="002C184A"/>
    <w:rsid w:val="002C1F5D"/>
    <w:rsid w:val="002C22FD"/>
    <w:rsid w:val="002C260A"/>
    <w:rsid w:val="002C2617"/>
    <w:rsid w:val="002C2808"/>
    <w:rsid w:val="002C2A12"/>
    <w:rsid w:val="002C2A2A"/>
    <w:rsid w:val="002C2EB4"/>
    <w:rsid w:val="002C335D"/>
    <w:rsid w:val="002C34F5"/>
    <w:rsid w:val="002C3E5C"/>
    <w:rsid w:val="002C4044"/>
    <w:rsid w:val="002C404E"/>
    <w:rsid w:val="002C4164"/>
    <w:rsid w:val="002C421C"/>
    <w:rsid w:val="002C4719"/>
    <w:rsid w:val="002C4C85"/>
    <w:rsid w:val="002C4CE6"/>
    <w:rsid w:val="002C4ED1"/>
    <w:rsid w:val="002C5307"/>
    <w:rsid w:val="002C5727"/>
    <w:rsid w:val="002C609F"/>
    <w:rsid w:val="002C6BFF"/>
    <w:rsid w:val="002C7296"/>
    <w:rsid w:val="002C7385"/>
    <w:rsid w:val="002C795A"/>
    <w:rsid w:val="002C7C6F"/>
    <w:rsid w:val="002C7E73"/>
    <w:rsid w:val="002D0392"/>
    <w:rsid w:val="002D05AB"/>
    <w:rsid w:val="002D0694"/>
    <w:rsid w:val="002D069E"/>
    <w:rsid w:val="002D09E4"/>
    <w:rsid w:val="002D0A0B"/>
    <w:rsid w:val="002D0F53"/>
    <w:rsid w:val="002D1565"/>
    <w:rsid w:val="002D157B"/>
    <w:rsid w:val="002D25C6"/>
    <w:rsid w:val="002D294F"/>
    <w:rsid w:val="002D2952"/>
    <w:rsid w:val="002D2EE9"/>
    <w:rsid w:val="002D3998"/>
    <w:rsid w:val="002D3CBF"/>
    <w:rsid w:val="002D3CE7"/>
    <w:rsid w:val="002D3EAF"/>
    <w:rsid w:val="002D41D8"/>
    <w:rsid w:val="002D46EE"/>
    <w:rsid w:val="002D4F0F"/>
    <w:rsid w:val="002D4F24"/>
    <w:rsid w:val="002D5309"/>
    <w:rsid w:val="002D53F3"/>
    <w:rsid w:val="002D55F1"/>
    <w:rsid w:val="002D5984"/>
    <w:rsid w:val="002D63ED"/>
    <w:rsid w:val="002D66DA"/>
    <w:rsid w:val="002D6863"/>
    <w:rsid w:val="002D7104"/>
    <w:rsid w:val="002D71AA"/>
    <w:rsid w:val="002D7546"/>
    <w:rsid w:val="002D7ADD"/>
    <w:rsid w:val="002D7B4B"/>
    <w:rsid w:val="002E01CF"/>
    <w:rsid w:val="002E046D"/>
    <w:rsid w:val="002E049E"/>
    <w:rsid w:val="002E07D5"/>
    <w:rsid w:val="002E0AAF"/>
    <w:rsid w:val="002E0F44"/>
    <w:rsid w:val="002E10FE"/>
    <w:rsid w:val="002E1324"/>
    <w:rsid w:val="002E289C"/>
    <w:rsid w:val="002E2CCC"/>
    <w:rsid w:val="002E32FE"/>
    <w:rsid w:val="002E35E2"/>
    <w:rsid w:val="002E3CE5"/>
    <w:rsid w:val="002E40C3"/>
    <w:rsid w:val="002E515E"/>
    <w:rsid w:val="002E5429"/>
    <w:rsid w:val="002E5A0B"/>
    <w:rsid w:val="002E5B89"/>
    <w:rsid w:val="002E5E61"/>
    <w:rsid w:val="002E6772"/>
    <w:rsid w:val="002E6C72"/>
    <w:rsid w:val="002E6CA6"/>
    <w:rsid w:val="002E7BAC"/>
    <w:rsid w:val="002E7EAB"/>
    <w:rsid w:val="002F01C1"/>
    <w:rsid w:val="002F06B9"/>
    <w:rsid w:val="002F0898"/>
    <w:rsid w:val="002F0C7B"/>
    <w:rsid w:val="002F0F4D"/>
    <w:rsid w:val="002F189A"/>
    <w:rsid w:val="002F1F69"/>
    <w:rsid w:val="002F2208"/>
    <w:rsid w:val="002F2459"/>
    <w:rsid w:val="002F28BC"/>
    <w:rsid w:val="002F2B68"/>
    <w:rsid w:val="002F2BB3"/>
    <w:rsid w:val="002F31D7"/>
    <w:rsid w:val="002F3258"/>
    <w:rsid w:val="002F330B"/>
    <w:rsid w:val="002F354E"/>
    <w:rsid w:val="002F383F"/>
    <w:rsid w:val="002F38AB"/>
    <w:rsid w:val="002F432F"/>
    <w:rsid w:val="002F4476"/>
    <w:rsid w:val="002F453C"/>
    <w:rsid w:val="002F4AD0"/>
    <w:rsid w:val="002F4B3F"/>
    <w:rsid w:val="002F4D2F"/>
    <w:rsid w:val="002F4F9F"/>
    <w:rsid w:val="002F513D"/>
    <w:rsid w:val="002F5208"/>
    <w:rsid w:val="002F530D"/>
    <w:rsid w:val="002F5B95"/>
    <w:rsid w:val="002F5D6C"/>
    <w:rsid w:val="002F60FC"/>
    <w:rsid w:val="002F626A"/>
    <w:rsid w:val="002F63B3"/>
    <w:rsid w:val="002F72A6"/>
    <w:rsid w:val="002F75AC"/>
    <w:rsid w:val="002F7810"/>
    <w:rsid w:val="002F7A02"/>
    <w:rsid w:val="003000A2"/>
    <w:rsid w:val="003003F8"/>
    <w:rsid w:val="0030073F"/>
    <w:rsid w:val="00300749"/>
    <w:rsid w:val="003010AD"/>
    <w:rsid w:val="00301265"/>
    <w:rsid w:val="003012A9"/>
    <w:rsid w:val="00301493"/>
    <w:rsid w:val="00301A3A"/>
    <w:rsid w:val="00301F14"/>
    <w:rsid w:val="00301F33"/>
    <w:rsid w:val="0030203B"/>
    <w:rsid w:val="003024BF"/>
    <w:rsid w:val="003025EB"/>
    <w:rsid w:val="0030273A"/>
    <w:rsid w:val="0030282A"/>
    <w:rsid w:val="00302B62"/>
    <w:rsid w:val="00302D3F"/>
    <w:rsid w:val="0030475F"/>
    <w:rsid w:val="00304DFF"/>
    <w:rsid w:val="003058FF"/>
    <w:rsid w:val="00306082"/>
    <w:rsid w:val="00306566"/>
    <w:rsid w:val="00306714"/>
    <w:rsid w:val="0030671D"/>
    <w:rsid w:val="003068C8"/>
    <w:rsid w:val="00306BF0"/>
    <w:rsid w:val="00307328"/>
    <w:rsid w:val="0030761E"/>
    <w:rsid w:val="003078A4"/>
    <w:rsid w:val="00307997"/>
    <w:rsid w:val="00310078"/>
    <w:rsid w:val="00310218"/>
    <w:rsid w:val="0031247B"/>
    <w:rsid w:val="0031328D"/>
    <w:rsid w:val="003133CE"/>
    <w:rsid w:val="003139A3"/>
    <w:rsid w:val="00313C40"/>
    <w:rsid w:val="003147C6"/>
    <w:rsid w:val="003149C9"/>
    <w:rsid w:val="00314A51"/>
    <w:rsid w:val="00314CD8"/>
    <w:rsid w:val="00314DEC"/>
    <w:rsid w:val="003154E2"/>
    <w:rsid w:val="003157F5"/>
    <w:rsid w:val="0031581B"/>
    <w:rsid w:val="0031581E"/>
    <w:rsid w:val="00316009"/>
    <w:rsid w:val="00316733"/>
    <w:rsid w:val="00316918"/>
    <w:rsid w:val="0031736C"/>
    <w:rsid w:val="00317AD5"/>
    <w:rsid w:val="0032057E"/>
    <w:rsid w:val="00320842"/>
    <w:rsid w:val="00320ADA"/>
    <w:rsid w:val="00320F77"/>
    <w:rsid w:val="00321BC9"/>
    <w:rsid w:val="00322231"/>
    <w:rsid w:val="0032292D"/>
    <w:rsid w:val="0032295F"/>
    <w:rsid w:val="00322A64"/>
    <w:rsid w:val="003232C6"/>
    <w:rsid w:val="003232FD"/>
    <w:rsid w:val="00323445"/>
    <w:rsid w:val="003235BC"/>
    <w:rsid w:val="003237F8"/>
    <w:rsid w:val="00323B81"/>
    <w:rsid w:val="00323FC0"/>
    <w:rsid w:val="003244A5"/>
    <w:rsid w:val="0032467D"/>
    <w:rsid w:val="00325458"/>
    <w:rsid w:val="00325682"/>
    <w:rsid w:val="003262CB"/>
    <w:rsid w:val="00326642"/>
    <w:rsid w:val="003266F0"/>
    <w:rsid w:val="00326DF2"/>
    <w:rsid w:val="00327532"/>
    <w:rsid w:val="003278DB"/>
    <w:rsid w:val="00327AE3"/>
    <w:rsid w:val="003308A0"/>
    <w:rsid w:val="00331699"/>
    <w:rsid w:val="003317ED"/>
    <w:rsid w:val="003319C8"/>
    <w:rsid w:val="00331ABC"/>
    <w:rsid w:val="00331D84"/>
    <w:rsid w:val="003320A5"/>
    <w:rsid w:val="003323E3"/>
    <w:rsid w:val="003336CB"/>
    <w:rsid w:val="003338A0"/>
    <w:rsid w:val="00334438"/>
    <w:rsid w:val="003348D9"/>
    <w:rsid w:val="00334B6F"/>
    <w:rsid w:val="003353D6"/>
    <w:rsid w:val="00335422"/>
    <w:rsid w:val="00335722"/>
    <w:rsid w:val="00336396"/>
    <w:rsid w:val="00336532"/>
    <w:rsid w:val="00337162"/>
    <w:rsid w:val="00337200"/>
    <w:rsid w:val="00337A1F"/>
    <w:rsid w:val="003400CB"/>
    <w:rsid w:val="003405C6"/>
    <w:rsid w:val="003410A1"/>
    <w:rsid w:val="00341A9B"/>
    <w:rsid w:val="00341F9F"/>
    <w:rsid w:val="003422BC"/>
    <w:rsid w:val="00342758"/>
    <w:rsid w:val="003429F9"/>
    <w:rsid w:val="0034391F"/>
    <w:rsid w:val="00343974"/>
    <w:rsid w:val="00344704"/>
    <w:rsid w:val="00344945"/>
    <w:rsid w:val="00344E8C"/>
    <w:rsid w:val="003452BF"/>
    <w:rsid w:val="00345878"/>
    <w:rsid w:val="00345CEE"/>
    <w:rsid w:val="00345D18"/>
    <w:rsid w:val="00345D84"/>
    <w:rsid w:val="00345ED1"/>
    <w:rsid w:val="003461A7"/>
    <w:rsid w:val="003461F9"/>
    <w:rsid w:val="00346477"/>
    <w:rsid w:val="0034649E"/>
    <w:rsid w:val="0034659D"/>
    <w:rsid w:val="003465AB"/>
    <w:rsid w:val="0034670E"/>
    <w:rsid w:val="003467DB"/>
    <w:rsid w:val="0034681C"/>
    <w:rsid w:val="0034695F"/>
    <w:rsid w:val="00346ABE"/>
    <w:rsid w:val="00346AD8"/>
    <w:rsid w:val="00347260"/>
    <w:rsid w:val="003474FF"/>
    <w:rsid w:val="0034791F"/>
    <w:rsid w:val="00347CAB"/>
    <w:rsid w:val="00347F43"/>
    <w:rsid w:val="0035024E"/>
    <w:rsid w:val="00350310"/>
    <w:rsid w:val="00351327"/>
    <w:rsid w:val="003515D8"/>
    <w:rsid w:val="003517D0"/>
    <w:rsid w:val="00351953"/>
    <w:rsid w:val="00351C01"/>
    <w:rsid w:val="00351F56"/>
    <w:rsid w:val="0035280D"/>
    <w:rsid w:val="00352C36"/>
    <w:rsid w:val="00353928"/>
    <w:rsid w:val="00353C9E"/>
    <w:rsid w:val="00353D73"/>
    <w:rsid w:val="0035455D"/>
    <w:rsid w:val="00354AAB"/>
    <w:rsid w:val="00354D70"/>
    <w:rsid w:val="00354EF2"/>
    <w:rsid w:val="00355969"/>
    <w:rsid w:val="00355D0C"/>
    <w:rsid w:val="00355D1A"/>
    <w:rsid w:val="003563DD"/>
    <w:rsid w:val="003568D2"/>
    <w:rsid w:val="00356962"/>
    <w:rsid w:val="00356B9B"/>
    <w:rsid w:val="00356CA8"/>
    <w:rsid w:val="00356D11"/>
    <w:rsid w:val="0035736C"/>
    <w:rsid w:val="0035744E"/>
    <w:rsid w:val="00357C41"/>
    <w:rsid w:val="00357DBD"/>
    <w:rsid w:val="0036031B"/>
    <w:rsid w:val="00360575"/>
    <w:rsid w:val="0036239F"/>
    <w:rsid w:val="00362F6B"/>
    <w:rsid w:val="003630E8"/>
    <w:rsid w:val="003633EB"/>
    <w:rsid w:val="0036340F"/>
    <w:rsid w:val="00363456"/>
    <w:rsid w:val="0036483E"/>
    <w:rsid w:val="0036493D"/>
    <w:rsid w:val="00364A82"/>
    <w:rsid w:val="00364F0A"/>
    <w:rsid w:val="0036544C"/>
    <w:rsid w:val="003654EE"/>
    <w:rsid w:val="00365607"/>
    <w:rsid w:val="00366146"/>
    <w:rsid w:val="003666A0"/>
    <w:rsid w:val="003668CB"/>
    <w:rsid w:val="00367D0A"/>
    <w:rsid w:val="0037025E"/>
    <w:rsid w:val="00370C86"/>
    <w:rsid w:val="00371722"/>
    <w:rsid w:val="00371BC9"/>
    <w:rsid w:val="00371DAF"/>
    <w:rsid w:val="003723F1"/>
    <w:rsid w:val="003727D4"/>
    <w:rsid w:val="00372DCA"/>
    <w:rsid w:val="00373123"/>
    <w:rsid w:val="00373898"/>
    <w:rsid w:val="003739A3"/>
    <w:rsid w:val="00373A0C"/>
    <w:rsid w:val="00373A60"/>
    <w:rsid w:val="00373E6B"/>
    <w:rsid w:val="0037423B"/>
    <w:rsid w:val="00374274"/>
    <w:rsid w:val="003748E2"/>
    <w:rsid w:val="003748FE"/>
    <w:rsid w:val="00375C91"/>
    <w:rsid w:val="00375EE4"/>
    <w:rsid w:val="00375F7C"/>
    <w:rsid w:val="003767AD"/>
    <w:rsid w:val="00376D15"/>
    <w:rsid w:val="003770A0"/>
    <w:rsid w:val="00380603"/>
    <w:rsid w:val="0038090D"/>
    <w:rsid w:val="003810E9"/>
    <w:rsid w:val="00381257"/>
    <w:rsid w:val="003817FF"/>
    <w:rsid w:val="00381B4F"/>
    <w:rsid w:val="00381EA0"/>
    <w:rsid w:val="0038202C"/>
    <w:rsid w:val="00382715"/>
    <w:rsid w:val="00382A06"/>
    <w:rsid w:val="00382A5A"/>
    <w:rsid w:val="00382E96"/>
    <w:rsid w:val="00382EA1"/>
    <w:rsid w:val="0038309D"/>
    <w:rsid w:val="003835D6"/>
    <w:rsid w:val="0038364C"/>
    <w:rsid w:val="003836ED"/>
    <w:rsid w:val="0038445F"/>
    <w:rsid w:val="0038447A"/>
    <w:rsid w:val="003848DC"/>
    <w:rsid w:val="00384922"/>
    <w:rsid w:val="00384C36"/>
    <w:rsid w:val="00384D8A"/>
    <w:rsid w:val="00384E29"/>
    <w:rsid w:val="00385161"/>
    <w:rsid w:val="00385199"/>
    <w:rsid w:val="003851CB"/>
    <w:rsid w:val="00385AF7"/>
    <w:rsid w:val="00385F06"/>
    <w:rsid w:val="00386112"/>
    <w:rsid w:val="00386404"/>
    <w:rsid w:val="0038641A"/>
    <w:rsid w:val="00386EAE"/>
    <w:rsid w:val="00387449"/>
    <w:rsid w:val="00387593"/>
    <w:rsid w:val="00387634"/>
    <w:rsid w:val="003878E1"/>
    <w:rsid w:val="00390152"/>
    <w:rsid w:val="003911EF"/>
    <w:rsid w:val="0039133C"/>
    <w:rsid w:val="00391B0A"/>
    <w:rsid w:val="00391BD5"/>
    <w:rsid w:val="00391E2A"/>
    <w:rsid w:val="003926BD"/>
    <w:rsid w:val="00392BEF"/>
    <w:rsid w:val="00392C6D"/>
    <w:rsid w:val="003936F7"/>
    <w:rsid w:val="00393824"/>
    <w:rsid w:val="003940C4"/>
    <w:rsid w:val="00394109"/>
    <w:rsid w:val="0039446C"/>
    <w:rsid w:val="00394778"/>
    <w:rsid w:val="00394A1C"/>
    <w:rsid w:val="00394A9B"/>
    <w:rsid w:val="00394BB2"/>
    <w:rsid w:val="00394E99"/>
    <w:rsid w:val="0039568E"/>
    <w:rsid w:val="003961E9"/>
    <w:rsid w:val="003964E4"/>
    <w:rsid w:val="0039662C"/>
    <w:rsid w:val="00396B05"/>
    <w:rsid w:val="00396B5D"/>
    <w:rsid w:val="0039715F"/>
    <w:rsid w:val="0039724D"/>
    <w:rsid w:val="00397AC1"/>
    <w:rsid w:val="00397B53"/>
    <w:rsid w:val="00397F8A"/>
    <w:rsid w:val="003A000C"/>
    <w:rsid w:val="003A066B"/>
    <w:rsid w:val="003A0951"/>
    <w:rsid w:val="003A0CF5"/>
    <w:rsid w:val="003A100D"/>
    <w:rsid w:val="003A1BDF"/>
    <w:rsid w:val="003A24E4"/>
    <w:rsid w:val="003A2A7B"/>
    <w:rsid w:val="003A2BFA"/>
    <w:rsid w:val="003A2D5E"/>
    <w:rsid w:val="003A2E1F"/>
    <w:rsid w:val="003A35D9"/>
    <w:rsid w:val="003A39DC"/>
    <w:rsid w:val="003A3A56"/>
    <w:rsid w:val="003A4D42"/>
    <w:rsid w:val="003A4EF8"/>
    <w:rsid w:val="003A5581"/>
    <w:rsid w:val="003A5585"/>
    <w:rsid w:val="003A55D0"/>
    <w:rsid w:val="003A5E91"/>
    <w:rsid w:val="003A63E0"/>
    <w:rsid w:val="003A696F"/>
    <w:rsid w:val="003A6FDF"/>
    <w:rsid w:val="003A70E3"/>
    <w:rsid w:val="003A7C55"/>
    <w:rsid w:val="003A7FE1"/>
    <w:rsid w:val="003B0560"/>
    <w:rsid w:val="003B0D1D"/>
    <w:rsid w:val="003B0D6A"/>
    <w:rsid w:val="003B0DD3"/>
    <w:rsid w:val="003B0FC2"/>
    <w:rsid w:val="003B10DE"/>
    <w:rsid w:val="003B138B"/>
    <w:rsid w:val="003B178A"/>
    <w:rsid w:val="003B1D6F"/>
    <w:rsid w:val="003B2A19"/>
    <w:rsid w:val="003B2DD2"/>
    <w:rsid w:val="003B3119"/>
    <w:rsid w:val="003B31F0"/>
    <w:rsid w:val="003B370E"/>
    <w:rsid w:val="003B3901"/>
    <w:rsid w:val="003B3D67"/>
    <w:rsid w:val="003B40D8"/>
    <w:rsid w:val="003B4DF9"/>
    <w:rsid w:val="003B4FC6"/>
    <w:rsid w:val="003B5005"/>
    <w:rsid w:val="003B50E2"/>
    <w:rsid w:val="003B5576"/>
    <w:rsid w:val="003B5654"/>
    <w:rsid w:val="003B57A0"/>
    <w:rsid w:val="003B5A6A"/>
    <w:rsid w:val="003B66FC"/>
    <w:rsid w:val="003B68EE"/>
    <w:rsid w:val="003B6EA0"/>
    <w:rsid w:val="003B745D"/>
    <w:rsid w:val="003C0266"/>
    <w:rsid w:val="003C05A3"/>
    <w:rsid w:val="003C05F2"/>
    <w:rsid w:val="003C076A"/>
    <w:rsid w:val="003C0A5E"/>
    <w:rsid w:val="003C0B00"/>
    <w:rsid w:val="003C0B5E"/>
    <w:rsid w:val="003C0B7F"/>
    <w:rsid w:val="003C0D3B"/>
    <w:rsid w:val="003C10AF"/>
    <w:rsid w:val="003C14C5"/>
    <w:rsid w:val="003C1774"/>
    <w:rsid w:val="003C179A"/>
    <w:rsid w:val="003C1A9E"/>
    <w:rsid w:val="003C1FE9"/>
    <w:rsid w:val="003C3594"/>
    <w:rsid w:val="003C35F6"/>
    <w:rsid w:val="003C3734"/>
    <w:rsid w:val="003C3761"/>
    <w:rsid w:val="003C4A4F"/>
    <w:rsid w:val="003C4BA2"/>
    <w:rsid w:val="003C4F4A"/>
    <w:rsid w:val="003C61EB"/>
    <w:rsid w:val="003C623F"/>
    <w:rsid w:val="003C62DC"/>
    <w:rsid w:val="003C6DAB"/>
    <w:rsid w:val="003C74BB"/>
    <w:rsid w:val="003C7818"/>
    <w:rsid w:val="003C785C"/>
    <w:rsid w:val="003D01CF"/>
    <w:rsid w:val="003D03B6"/>
    <w:rsid w:val="003D0BEA"/>
    <w:rsid w:val="003D16A1"/>
    <w:rsid w:val="003D17B8"/>
    <w:rsid w:val="003D1DD0"/>
    <w:rsid w:val="003D1DE3"/>
    <w:rsid w:val="003D245D"/>
    <w:rsid w:val="003D3194"/>
    <w:rsid w:val="003D34BD"/>
    <w:rsid w:val="003D39A5"/>
    <w:rsid w:val="003D3B62"/>
    <w:rsid w:val="003D41E3"/>
    <w:rsid w:val="003D4403"/>
    <w:rsid w:val="003D49FA"/>
    <w:rsid w:val="003D4AEF"/>
    <w:rsid w:val="003D5074"/>
    <w:rsid w:val="003D5688"/>
    <w:rsid w:val="003D57D0"/>
    <w:rsid w:val="003D58F9"/>
    <w:rsid w:val="003D5A71"/>
    <w:rsid w:val="003D5CD3"/>
    <w:rsid w:val="003D676D"/>
    <w:rsid w:val="003D7C78"/>
    <w:rsid w:val="003E04A6"/>
    <w:rsid w:val="003E0AD7"/>
    <w:rsid w:val="003E0AF9"/>
    <w:rsid w:val="003E1676"/>
    <w:rsid w:val="003E17EB"/>
    <w:rsid w:val="003E18B7"/>
    <w:rsid w:val="003E1B58"/>
    <w:rsid w:val="003E22A0"/>
    <w:rsid w:val="003E2412"/>
    <w:rsid w:val="003E247D"/>
    <w:rsid w:val="003E3982"/>
    <w:rsid w:val="003E5156"/>
    <w:rsid w:val="003E54F4"/>
    <w:rsid w:val="003E5601"/>
    <w:rsid w:val="003E5C0A"/>
    <w:rsid w:val="003E620E"/>
    <w:rsid w:val="003E6D20"/>
    <w:rsid w:val="003E784B"/>
    <w:rsid w:val="003E7E69"/>
    <w:rsid w:val="003E7FBA"/>
    <w:rsid w:val="003F024B"/>
    <w:rsid w:val="003F0529"/>
    <w:rsid w:val="003F06C9"/>
    <w:rsid w:val="003F0A69"/>
    <w:rsid w:val="003F0EE6"/>
    <w:rsid w:val="003F104C"/>
    <w:rsid w:val="003F1848"/>
    <w:rsid w:val="003F304B"/>
    <w:rsid w:val="003F4F02"/>
    <w:rsid w:val="003F4F22"/>
    <w:rsid w:val="003F5508"/>
    <w:rsid w:val="003F5AE0"/>
    <w:rsid w:val="003F61EB"/>
    <w:rsid w:val="003F6438"/>
    <w:rsid w:val="003F6F2E"/>
    <w:rsid w:val="003F77CF"/>
    <w:rsid w:val="004003A4"/>
    <w:rsid w:val="00400D4C"/>
    <w:rsid w:val="004010D0"/>
    <w:rsid w:val="00401547"/>
    <w:rsid w:val="00401AB5"/>
    <w:rsid w:val="00401ABB"/>
    <w:rsid w:val="00401D94"/>
    <w:rsid w:val="00402980"/>
    <w:rsid w:val="004030ED"/>
    <w:rsid w:val="0040340B"/>
    <w:rsid w:val="00403722"/>
    <w:rsid w:val="0040391C"/>
    <w:rsid w:val="00403C0B"/>
    <w:rsid w:val="00403C97"/>
    <w:rsid w:val="00403E6E"/>
    <w:rsid w:val="00404082"/>
    <w:rsid w:val="0040414A"/>
    <w:rsid w:val="00404551"/>
    <w:rsid w:val="004046B3"/>
    <w:rsid w:val="00404B76"/>
    <w:rsid w:val="00405826"/>
    <w:rsid w:val="004058D1"/>
    <w:rsid w:val="00405B30"/>
    <w:rsid w:val="00405F30"/>
    <w:rsid w:val="00406375"/>
    <w:rsid w:val="004063DC"/>
    <w:rsid w:val="00406A1F"/>
    <w:rsid w:val="00406B93"/>
    <w:rsid w:val="00407070"/>
    <w:rsid w:val="00407696"/>
    <w:rsid w:val="004079F8"/>
    <w:rsid w:val="00407C97"/>
    <w:rsid w:val="00407CF5"/>
    <w:rsid w:val="004103CB"/>
    <w:rsid w:val="0041046E"/>
    <w:rsid w:val="00410506"/>
    <w:rsid w:val="00410BF7"/>
    <w:rsid w:val="00410FBE"/>
    <w:rsid w:val="00411462"/>
    <w:rsid w:val="00411E0B"/>
    <w:rsid w:val="00412E5E"/>
    <w:rsid w:val="00412E61"/>
    <w:rsid w:val="004131E7"/>
    <w:rsid w:val="00413866"/>
    <w:rsid w:val="00413B7E"/>
    <w:rsid w:val="0041477D"/>
    <w:rsid w:val="0041532A"/>
    <w:rsid w:val="004156D5"/>
    <w:rsid w:val="00415B1C"/>
    <w:rsid w:val="00415FB3"/>
    <w:rsid w:val="00416429"/>
    <w:rsid w:val="0041682A"/>
    <w:rsid w:val="00417249"/>
    <w:rsid w:val="00417DEC"/>
    <w:rsid w:val="00417FA2"/>
    <w:rsid w:val="00420338"/>
    <w:rsid w:val="0042045E"/>
    <w:rsid w:val="00420D84"/>
    <w:rsid w:val="0042103C"/>
    <w:rsid w:val="004211C3"/>
    <w:rsid w:val="004211CC"/>
    <w:rsid w:val="004212DF"/>
    <w:rsid w:val="00421619"/>
    <w:rsid w:val="00421965"/>
    <w:rsid w:val="00421F86"/>
    <w:rsid w:val="0042210F"/>
    <w:rsid w:val="00422312"/>
    <w:rsid w:val="00422558"/>
    <w:rsid w:val="00422BD6"/>
    <w:rsid w:val="00422C1E"/>
    <w:rsid w:val="004236E1"/>
    <w:rsid w:val="00423A77"/>
    <w:rsid w:val="00423BB4"/>
    <w:rsid w:val="00424167"/>
    <w:rsid w:val="00424181"/>
    <w:rsid w:val="00424384"/>
    <w:rsid w:val="00424DBB"/>
    <w:rsid w:val="004253FF"/>
    <w:rsid w:val="0042557C"/>
    <w:rsid w:val="00425733"/>
    <w:rsid w:val="00425C48"/>
    <w:rsid w:val="00425EB0"/>
    <w:rsid w:val="004264D3"/>
    <w:rsid w:val="004264EE"/>
    <w:rsid w:val="0042673A"/>
    <w:rsid w:val="00427020"/>
    <w:rsid w:val="00427303"/>
    <w:rsid w:val="0042731B"/>
    <w:rsid w:val="00427E10"/>
    <w:rsid w:val="00427F9C"/>
    <w:rsid w:val="00430085"/>
    <w:rsid w:val="004300D3"/>
    <w:rsid w:val="004307B4"/>
    <w:rsid w:val="00430816"/>
    <w:rsid w:val="00430A7B"/>
    <w:rsid w:val="00431963"/>
    <w:rsid w:val="004326C4"/>
    <w:rsid w:val="00432A3D"/>
    <w:rsid w:val="00432ACA"/>
    <w:rsid w:val="00432D4C"/>
    <w:rsid w:val="00432DD6"/>
    <w:rsid w:val="00432E75"/>
    <w:rsid w:val="0043341D"/>
    <w:rsid w:val="00433552"/>
    <w:rsid w:val="0043375E"/>
    <w:rsid w:val="00433954"/>
    <w:rsid w:val="00433B23"/>
    <w:rsid w:val="00434A2F"/>
    <w:rsid w:val="0043563E"/>
    <w:rsid w:val="0043572C"/>
    <w:rsid w:val="00435B2F"/>
    <w:rsid w:val="00435B47"/>
    <w:rsid w:val="00435E64"/>
    <w:rsid w:val="00435F31"/>
    <w:rsid w:val="00436215"/>
    <w:rsid w:val="004362D6"/>
    <w:rsid w:val="00436582"/>
    <w:rsid w:val="004367BD"/>
    <w:rsid w:val="004367D7"/>
    <w:rsid w:val="00436DF8"/>
    <w:rsid w:val="00436EBA"/>
    <w:rsid w:val="00437674"/>
    <w:rsid w:val="00437A8C"/>
    <w:rsid w:val="00437E12"/>
    <w:rsid w:val="00437FFB"/>
    <w:rsid w:val="00440157"/>
    <w:rsid w:val="00440951"/>
    <w:rsid w:val="00440CB9"/>
    <w:rsid w:val="0044171E"/>
    <w:rsid w:val="00441837"/>
    <w:rsid w:val="00441AA9"/>
    <w:rsid w:val="00441C7E"/>
    <w:rsid w:val="00442BD1"/>
    <w:rsid w:val="00442CEB"/>
    <w:rsid w:val="00443480"/>
    <w:rsid w:val="004438A5"/>
    <w:rsid w:val="00444407"/>
    <w:rsid w:val="004449FF"/>
    <w:rsid w:val="00444A6B"/>
    <w:rsid w:val="00444B06"/>
    <w:rsid w:val="00444E0D"/>
    <w:rsid w:val="00444FDC"/>
    <w:rsid w:val="00444FE8"/>
    <w:rsid w:val="00445AAB"/>
    <w:rsid w:val="00447445"/>
    <w:rsid w:val="004475FF"/>
    <w:rsid w:val="00447BFC"/>
    <w:rsid w:val="00450A62"/>
    <w:rsid w:val="00450BDC"/>
    <w:rsid w:val="004510A5"/>
    <w:rsid w:val="004510C7"/>
    <w:rsid w:val="00451711"/>
    <w:rsid w:val="00451765"/>
    <w:rsid w:val="004517CB"/>
    <w:rsid w:val="00451CFA"/>
    <w:rsid w:val="004521C7"/>
    <w:rsid w:val="00452529"/>
    <w:rsid w:val="0045255E"/>
    <w:rsid w:val="0045320A"/>
    <w:rsid w:val="00453419"/>
    <w:rsid w:val="00453474"/>
    <w:rsid w:val="004539F5"/>
    <w:rsid w:val="00453D0D"/>
    <w:rsid w:val="00454B8B"/>
    <w:rsid w:val="00455178"/>
    <w:rsid w:val="004551C6"/>
    <w:rsid w:val="00455845"/>
    <w:rsid w:val="004558BB"/>
    <w:rsid w:val="00455C17"/>
    <w:rsid w:val="004562DB"/>
    <w:rsid w:val="004562EA"/>
    <w:rsid w:val="004564D9"/>
    <w:rsid w:val="0045665F"/>
    <w:rsid w:val="0045668A"/>
    <w:rsid w:val="0045756E"/>
    <w:rsid w:val="004579A5"/>
    <w:rsid w:val="00457E9F"/>
    <w:rsid w:val="0046099D"/>
    <w:rsid w:val="00460D32"/>
    <w:rsid w:val="004614E2"/>
    <w:rsid w:val="0046174B"/>
    <w:rsid w:val="00461779"/>
    <w:rsid w:val="004619D3"/>
    <w:rsid w:val="00461BBC"/>
    <w:rsid w:val="00461DE5"/>
    <w:rsid w:val="00461E4A"/>
    <w:rsid w:val="004622FE"/>
    <w:rsid w:val="0046230A"/>
    <w:rsid w:val="0046264B"/>
    <w:rsid w:val="00462C9B"/>
    <w:rsid w:val="00462DA8"/>
    <w:rsid w:val="00462E2F"/>
    <w:rsid w:val="004639D7"/>
    <w:rsid w:val="00463C31"/>
    <w:rsid w:val="00464739"/>
    <w:rsid w:val="00464E77"/>
    <w:rsid w:val="00465189"/>
    <w:rsid w:val="00465426"/>
    <w:rsid w:val="004654CD"/>
    <w:rsid w:val="004654DC"/>
    <w:rsid w:val="00465C09"/>
    <w:rsid w:val="00465D3A"/>
    <w:rsid w:val="0046737D"/>
    <w:rsid w:val="004674C6"/>
    <w:rsid w:val="0046781A"/>
    <w:rsid w:val="00467B89"/>
    <w:rsid w:val="00467D0D"/>
    <w:rsid w:val="004701AD"/>
    <w:rsid w:val="00470650"/>
    <w:rsid w:val="0047066B"/>
    <w:rsid w:val="00470CED"/>
    <w:rsid w:val="00470D2B"/>
    <w:rsid w:val="00470F1C"/>
    <w:rsid w:val="004710EA"/>
    <w:rsid w:val="00471352"/>
    <w:rsid w:val="004714C5"/>
    <w:rsid w:val="00471F39"/>
    <w:rsid w:val="00471F40"/>
    <w:rsid w:val="00471FFE"/>
    <w:rsid w:val="004731CC"/>
    <w:rsid w:val="004737CC"/>
    <w:rsid w:val="00473985"/>
    <w:rsid w:val="00473D67"/>
    <w:rsid w:val="004740C4"/>
    <w:rsid w:val="004741EC"/>
    <w:rsid w:val="004748CB"/>
    <w:rsid w:val="00474ECE"/>
    <w:rsid w:val="00475ED7"/>
    <w:rsid w:val="004761CB"/>
    <w:rsid w:val="00476AD6"/>
    <w:rsid w:val="00477084"/>
    <w:rsid w:val="0047754C"/>
    <w:rsid w:val="00477D66"/>
    <w:rsid w:val="00477DFD"/>
    <w:rsid w:val="00480DF4"/>
    <w:rsid w:val="004817CA"/>
    <w:rsid w:val="004819EE"/>
    <w:rsid w:val="00481D6C"/>
    <w:rsid w:val="00481FC4"/>
    <w:rsid w:val="004827D3"/>
    <w:rsid w:val="0048347C"/>
    <w:rsid w:val="00483627"/>
    <w:rsid w:val="00483B73"/>
    <w:rsid w:val="0048449F"/>
    <w:rsid w:val="00484627"/>
    <w:rsid w:val="00484989"/>
    <w:rsid w:val="004856D9"/>
    <w:rsid w:val="004857F1"/>
    <w:rsid w:val="00485B69"/>
    <w:rsid w:val="00485D23"/>
    <w:rsid w:val="00486305"/>
    <w:rsid w:val="004868FD"/>
    <w:rsid w:val="00486C0C"/>
    <w:rsid w:val="0048723F"/>
    <w:rsid w:val="00487515"/>
    <w:rsid w:val="00487796"/>
    <w:rsid w:val="004902AB"/>
    <w:rsid w:val="0049038B"/>
    <w:rsid w:val="0049083C"/>
    <w:rsid w:val="00490929"/>
    <w:rsid w:val="004911C2"/>
    <w:rsid w:val="004913ED"/>
    <w:rsid w:val="00491952"/>
    <w:rsid w:val="00491BB7"/>
    <w:rsid w:val="0049231A"/>
    <w:rsid w:val="0049236C"/>
    <w:rsid w:val="0049262E"/>
    <w:rsid w:val="004929A1"/>
    <w:rsid w:val="00492B4A"/>
    <w:rsid w:val="00492F89"/>
    <w:rsid w:val="00493BF1"/>
    <w:rsid w:val="004946EA"/>
    <w:rsid w:val="00494803"/>
    <w:rsid w:val="00494D87"/>
    <w:rsid w:val="0049507D"/>
    <w:rsid w:val="00495C60"/>
    <w:rsid w:val="00495DF3"/>
    <w:rsid w:val="00495E0C"/>
    <w:rsid w:val="0049633F"/>
    <w:rsid w:val="00496B5B"/>
    <w:rsid w:val="00496FA4"/>
    <w:rsid w:val="00497237"/>
    <w:rsid w:val="00497248"/>
    <w:rsid w:val="00497DB8"/>
    <w:rsid w:val="004A0350"/>
    <w:rsid w:val="004A0433"/>
    <w:rsid w:val="004A0720"/>
    <w:rsid w:val="004A085C"/>
    <w:rsid w:val="004A0C7F"/>
    <w:rsid w:val="004A0F96"/>
    <w:rsid w:val="004A112A"/>
    <w:rsid w:val="004A12FB"/>
    <w:rsid w:val="004A1612"/>
    <w:rsid w:val="004A17C0"/>
    <w:rsid w:val="004A1860"/>
    <w:rsid w:val="004A1A99"/>
    <w:rsid w:val="004A27FF"/>
    <w:rsid w:val="004A2880"/>
    <w:rsid w:val="004A29A2"/>
    <w:rsid w:val="004A342C"/>
    <w:rsid w:val="004A4630"/>
    <w:rsid w:val="004A4DE5"/>
    <w:rsid w:val="004A4F6C"/>
    <w:rsid w:val="004A5953"/>
    <w:rsid w:val="004A6273"/>
    <w:rsid w:val="004A6567"/>
    <w:rsid w:val="004A67CD"/>
    <w:rsid w:val="004A6844"/>
    <w:rsid w:val="004A6878"/>
    <w:rsid w:val="004A6CE0"/>
    <w:rsid w:val="004A7517"/>
    <w:rsid w:val="004A7AAF"/>
    <w:rsid w:val="004A7AEF"/>
    <w:rsid w:val="004A7BC4"/>
    <w:rsid w:val="004B07EB"/>
    <w:rsid w:val="004B124A"/>
    <w:rsid w:val="004B1D83"/>
    <w:rsid w:val="004B20F6"/>
    <w:rsid w:val="004B21CB"/>
    <w:rsid w:val="004B2665"/>
    <w:rsid w:val="004B28C7"/>
    <w:rsid w:val="004B2A19"/>
    <w:rsid w:val="004B341D"/>
    <w:rsid w:val="004B3D9E"/>
    <w:rsid w:val="004B462C"/>
    <w:rsid w:val="004B4656"/>
    <w:rsid w:val="004B5647"/>
    <w:rsid w:val="004B5AB8"/>
    <w:rsid w:val="004B5BEA"/>
    <w:rsid w:val="004B5D75"/>
    <w:rsid w:val="004B6072"/>
    <w:rsid w:val="004B639E"/>
    <w:rsid w:val="004B69D5"/>
    <w:rsid w:val="004B70EA"/>
    <w:rsid w:val="004B7ABF"/>
    <w:rsid w:val="004B7ADC"/>
    <w:rsid w:val="004B7F60"/>
    <w:rsid w:val="004C01F8"/>
    <w:rsid w:val="004C0522"/>
    <w:rsid w:val="004C0769"/>
    <w:rsid w:val="004C0CFA"/>
    <w:rsid w:val="004C1153"/>
    <w:rsid w:val="004C12E1"/>
    <w:rsid w:val="004C13A3"/>
    <w:rsid w:val="004C1ABA"/>
    <w:rsid w:val="004C1DB0"/>
    <w:rsid w:val="004C26C9"/>
    <w:rsid w:val="004C29D4"/>
    <w:rsid w:val="004C3517"/>
    <w:rsid w:val="004C359A"/>
    <w:rsid w:val="004C365E"/>
    <w:rsid w:val="004C3D2A"/>
    <w:rsid w:val="004C47F1"/>
    <w:rsid w:val="004C4907"/>
    <w:rsid w:val="004C4CDE"/>
    <w:rsid w:val="004C4D75"/>
    <w:rsid w:val="004C63F3"/>
    <w:rsid w:val="004C6D67"/>
    <w:rsid w:val="004C6EC3"/>
    <w:rsid w:val="004C6F09"/>
    <w:rsid w:val="004C7492"/>
    <w:rsid w:val="004C79AF"/>
    <w:rsid w:val="004C7D8F"/>
    <w:rsid w:val="004D000F"/>
    <w:rsid w:val="004D01AF"/>
    <w:rsid w:val="004D0F14"/>
    <w:rsid w:val="004D106B"/>
    <w:rsid w:val="004D10F9"/>
    <w:rsid w:val="004D15CF"/>
    <w:rsid w:val="004D1802"/>
    <w:rsid w:val="004D1E01"/>
    <w:rsid w:val="004D1F37"/>
    <w:rsid w:val="004D3C6F"/>
    <w:rsid w:val="004D3E09"/>
    <w:rsid w:val="004D407A"/>
    <w:rsid w:val="004D4F8C"/>
    <w:rsid w:val="004D5B35"/>
    <w:rsid w:val="004D5CE9"/>
    <w:rsid w:val="004D629E"/>
    <w:rsid w:val="004D67E3"/>
    <w:rsid w:val="004D68B3"/>
    <w:rsid w:val="004D6B1E"/>
    <w:rsid w:val="004D6B9F"/>
    <w:rsid w:val="004D7446"/>
    <w:rsid w:val="004D7D21"/>
    <w:rsid w:val="004D7DBA"/>
    <w:rsid w:val="004E0462"/>
    <w:rsid w:val="004E0501"/>
    <w:rsid w:val="004E0757"/>
    <w:rsid w:val="004E080F"/>
    <w:rsid w:val="004E082A"/>
    <w:rsid w:val="004E094C"/>
    <w:rsid w:val="004E0BDD"/>
    <w:rsid w:val="004E0CD8"/>
    <w:rsid w:val="004E0CE2"/>
    <w:rsid w:val="004E1960"/>
    <w:rsid w:val="004E3434"/>
    <w:rsid w:val="004E3BF6"/>
    <w:rsid w:val="004E3D41"/>
    <w:rsid w:val="004E454C"/>
    <w:rsid w:val="004E4792"/>
    <w:rsid w:val="004E4AB4"/>
    <w:rsid w:val="004E4CA7"/>
    <w:rsid w:val="004E560A"/>
    <w:rsid w:val="004E678D"/>
    <w:rsid w:val="004E6C33"/>
    <w:rsid w:val="004E7A87"/>
    <w:rsid w:val="004F07FD"/>
    <w:rsid w:val="004F0EA1"/>
    <w:rsid w:val="004F1169"/>
    <w:rsid w:val="004F1CD3"/>
    <w:rsid w:val="004F1D64"/>
    <w:rsid w:val="004F28B8"/>
    <w:rsid w:val="004F3272"/>
    <w:rsid w:val="004F3773"/>
    <w:rsid w:val="004F38F2"/>
    <w:rsid w:val="004F3B1E"/>
    <w:rsid w:val="004F3C7D"/>
    <w:rsid w:val="004F402F"/>
    <w:rsid w:val="004F42CF"/>
    <w:rsid w:val="004F463E"/>
    <w:rsid w:val="004F4893"/>
    <w:rsid w:val="004F4989"/>
    <w:rsid w:val="004F4D2B"/>
    <w:rsid w:val="004F634B"/>
    <w:rsid w:val="004F652D"/>
    <w:rsid w:val="004F69A3"/>
    <w:rsid w:val="004F6B4B"/>
    <w:rsid w:val="004F6F54"/>
    <w:rsid w:val="004F7150"/>
    <w:rsid w:val="004F71E4"/>
    <w:rsid w:val="004F72F9"/>
    <w:rsid w:val="004F7313"/>
    <w:rsid w:val="00500447"/>
    <w:rsid w:val="00500D34"/>
    <w:rsid w:val="005013CF"/>
    <w:rsid w:val="005013FE"/>
    <w:rsid w:val="0050154F"/>
    <w:rsid w:val="00502101"/>
    <w:rsid w:val="005028D0"/>
    <w:rsid w:val="00502953"/>
    <w:rsid w:val="005029D7"/>
    <w:rsid w:val="00502D6C"/>
    <w:rsid w:val="00503685"/>
    <w:rsid w:val="00503DA3"/>
    <w:rsid w:val="00503FB1"/>
    <w:rsid w:val="005041BE"/>
    <w:rsid w:val="00504D92"/>
    <w:rsid w:val="005055AA"/>
    <w:rsid w:val="00505E99"/>
    <w:rsid w:val="005062A9"/>
    <w:rsid w:val="005065A3"/>
    <w:rsid w:val="00506D44"/>
    <w:rsid w:val="00506F49"/>
    <w:rsid w:val="0050737E"/>
    <w:rsid w:val="00507423"/>
    <w:rsid w:val="00507888"/>
    <w:rsid w:val="0051004F"/>
    <w:rsid w:val="005100F8"/>
    <w:rsid w:val="00510283"/>
    <w:rsid w:val="005108CB"/>
    <w:rsid w:val="00510C9D"/>
    <w:rsid w:val="005110AD"/>
    <w:rsid w:val="0051120C"/>
    <w:rsid w:val="0051131A"/>
    <w:rsid w:val="0051167E"/>
    <w:rsid w:val="00511B83"/>
    <w:rsid w:val="00511F0E"/>
    <w:rsid w:val="00512370"/>
    <w:rsid w:val="00512630"/>
    <w:rsid w:val="005139BF"/>
    <w:rsid w:val="00513CD3"/>
    <w:rsid w:val="00513E0D"/>
    <w:rsid w:val="00514758"/>
    <w:rsid w:val="005150C7"/>
    <w:rsid w:val="0051512C"/>
    <w:rsid w:val="00515330"/>
    <w:rsid w:val="0051562C"/>
    <w:rsid w:val="0051572D"/>
    <w:rsid w:val="00515BDD"/>
    <w:rsid w:val="00516409"/>
    <w:rsid w:val="00516ACC"/>
    <w:rsid w:val="00516B9A"/>
    <w:rsid w:val="00516BFC"/>
    <w:rsid w:val="00516F4F"/>
    <w:rsid w:val="005171B4"/>
    <w:rsid w:val="00517330"/>
    <w:rsid w:val="005174F4"/>
    <w:rsid w:val="005175DA"/>
    <w:rsid w:val="00517D7D"/>
    <w:rsid w:val="005201A5"/>
    <w:rsid w:val="005202EC"/>
    <w:rsid w:val="00520DAA"/>
    <w:rsid w:val="00520F93"/>
    <w:rsid w:val="00521077"/>
    <w:rsid w:val="00521950"/>
    <w:rsid w:val="00521AE8"/>
    <w:rsid w:val="00521B8D"/>
    <w:rsid w:val="00521E45"/>
    <w:rsid w:val="005223BD"/>
    <w:rsid w:val="0052244E"/>
    <w:rsid w:val="005225FF"/>
    <w:rsid w:val="00522806"/>
    <w:rsid w:val="00522BAA"/>
    <w:rsid w:val="00522CC4"/>
    <w:rsid w:val="00523143"/>
    <w:rsid w:val="00523FCF"/>
    <w:rsid w:val="00523FE7"/>
    <w:rsid w:val="00524ED1"/>
    <w:rsid w:val="005254D2"/>
    <w:rsid w:val="00525A51"/>
    <w:rsid w:val="0052654C"/>
    <w:rsid w:val="00526A10"/>
    <w:rsid w:val="00526E03"/>
    <w:rsid w:val="00526FDD"/>
    <w:rsid w:val="00527746"/>
    <w:rsid w:val="00527DA3"/>
    <w:rsid w:val="0053014A"/>
    <w:rsid w:val="00530850"/>
    <w:rsid w:val="00530BAE"/>
    <w:rsid w:val="00530E14"/>
    <w:rsid w:val="00530ED7"/>
    <w:rsid w:val="00531AA5"/>
    <w:rsid w:val="00531FA7"/>
    <w:rsid w:val="005329AB"/>
    <w:rsid w:val="005329C5"/>
    <w:rsid w:val="00532B09"/>
    <w:rsid w:val="00532DEB"/>
    <w:rsid w:val="005330B6"/>
    <w:rsid w:val="00533113"/>
    <w:rsid w:val="00533CC5"/>
    <w:rsid w:val="00533DE5"/>
    <w:rsid w:val="00533F76"/>
    <w:rsid w:val="00534008"/>
    <w:rsid w:val="0053433B"/>
    <w:rsid w:val="00534718"/>
    <w:rsid w:val="0053484A"/>
    <w:rsid w:val="00534F3B"/>
    <w:rsid w:val="00535639"/>
    <w:rsid w:val="00535F9B"/>
    <w:rsid w:val="0053601F"/>
    <w:rsid w:val="0053637C"/>
    <w:rsid w:val="00536AE5"/>
    <w:rsid w:val="00536BEB"/>
    <w:rsid w:val="00536D2A"/>
    <w:rsid w:val="00540581"/>
    <w:rsid w:val="00540757"/>
    <w:rsid w:val="00540984"/>
    <w:rsid w:val="00541075"/>
    <w:rsid w:val="005418F7"/>
    <w:rsid w:val="005419DA"/>
    <w:rsid w:val="00541A4F"/>
    <w:rsid w:val="00541BD2"/>
    <w:rsid w:val="00541DBE"/>
    <w:rsid w:val="00541E36"/>
    <w:rsid w:val="00541F8A"/>
    <w:rsid w:val="0054203C"/>
    <w:rsid w:val="00542052"/>
    <w:rsid w:val="005420B3"/>
    <w:rsid w:val="00542C42"/>
    <w:rsid w:val="00542DEF"/>
    <w:rsid w:val="00542E32"/>
    <w:rsid w:val="005430D4"/>
    <w:rsid w:val="005430D5"/>
    <w:rsid w:val="005432D4"/>
    <w:rsid w:val="00543327"/>
    <w:rsid w:val="005436CB"/>
    <w:rsid w:val="00543955"/>
    <w:rsid w:val="00543BFD"/>
    <w:rsid w:val="00544BDC"/>
    <w:rsid w:val="00544DF5"/>
    <w:rsid w:val="00544FEB"/>
    <w:rsid w:val="00545920"/>
    <w:rsid w:val="00545F0E"/>
    <w:rsid w:val="00546874"/>
    <w:rsid w:val="00546AE4"/>
    <w:rsid w:val="00547209"/>
    <w:rsid w:val="0054785F"/>
    <w:rsid w:val="00547A39"/>
    <w:rsid w:val="00550375"/>
    <w:rsid w:val="00550837"/>
    <w:rsid w:val="00550B71"/>
    <w:rsid w:val="00551C82"/>
    <w:rsid w:val="00551DA4"/>
    <w:rsid w:val="005526D8"/>
    <w:rsid w:val="00552C17"/>
    <w:rsid w:val="00552DF2"/>
    <w:rsid w:val="00552F21"/>
    <w:rsid w:val="0055419A"/>
    <w:rsid w:val="005541E3"/>
    <w:rsid w:val="005548E4"/>
    <w:rsid w:val="005550EA"/>
    <w:rsid w:val="0055549A"/>
    <w:rsid w:val="0055579D"/>
    <w:rsid w:val="00555A46"/>
    <w:rsid w:val="00555AA6"/>
    <w:rsid w:val="00555BE3"/>
    <w:rsid w:val="00555E70"/>
    <w:rsid w:val="00556046"/>
    <w:rsid w:val="005561F1"/>
    <w:rsid w:val="005562AA"/>
    <w:rsid w:val="00556480"/>
    <w:rsid w:val="005567BB"/>
    <w:rsid w:val="00556B1F"/>
    <w:rsid w:val="00556C00"/>
    <w:rsid w:val="00556FF7"/>
    <w:rsid w:val="00557497"/>
    <w:rsid w:val="0055749A"/>
    <w:rsid w:val="005577CF"/>
    <w:rsid w:val="005579DB"/>
    <w:rsid w:val="00557A96"/>
    <w:rsid w:val="00557E41"/>
    <w:rsid w:val="0056007A"/>
    <w:rsid w:val="005600F4"/>
    <w:rsid w:val="00560394"/>
    <w:rsid w:val="00560C49"/>
    <w:rsid w:val="00560F66"/>
    <w:rsid w:val="00560F96"/>
    <w:rsid w:val="00561812"/>
    <w:rsid w:val="005618AC"/>
    <w:rsid w:val="00561BA4"/>
    <w:rsid w:val="00561D8A"/>
    <w:rsid w:val="00561FF2"/>
    <w:rsid w:val="0056239B"/>
    <w:rsid w:val="005624FA"/>
    <w:rsid w:val="005626A1"/>
    <w:rsid w:val="00562BA0"/>
    <w:rsid w:val="00563013"/>
    <w:rsid w:val="005631FC"/>
    <w:rsid w:val="00563515"/>
    <w:rsid w:val="00564ED3"/>
    <w:rsid w:val="00564FF8"/>
    <w:rsid w:val="00565038"/>
    <w:rsid w:val="005658C9"/>
    <w:rsid w:val="00565C8E"/>
    <w:rsid w:val="005663D3"/>
    <w:rsid w:val="0056679A"/>
    <w:rsid w:val="00566816"/>
    <w:rsid w:val="00566FAC"/>
    <w:rsid w:val="00567029"/>
    <w:rsid w:val="00567844"/>
    <w:rsid w:val="00567A33"/>
    <w:rsid w:val="00567A92"/>
    <w:rsid w:val="00570012"/>
    <w:rsid w:val="00570380"/>
    <w:rsid w:val="00570703"/>
    <w:rsid w:val="0057070B"/>
    <w:rsid w:val="0057085E"/>
    <w:rsid w:val="00570C56"/>
    <w:rsid w:val="00570DE2"/>
    <w:rsid w:val="00570DEC"/>
    <w:rsid w:val="00570F44"/>
    <w:rsid w:val="0057127D"/>
    <w:rsid w:val="0057145F"/>
    <w:rsid w:val="005719B1"/>
    <w:rsid w:val="00571F7F"/>
    <w:rsid w:val="005725BF"/>
    <w:rsid w:val="00572700"/>
    <w:rsid w:val="00572973"/>
    <w:rsid w:val="00572B4E"/>
    <w:rsid w:val="005731E1"/>
    <w:rsid w:val="0057336E"/>
    <w:rsid w:val="00573592"/>
    <w:rsid w:val="00573A76"/>
    <w:rsid w:val="00573C35"/>
    <w:rsid w:val="00574ACD"/>
    <w:rsid w:val="00575532"/>
    <w:rsid w:val="00575E25"/>
    <w:rsid w:val="00575FFA"/>
    <w:rsid w:val="005763F7"/>
    <w:rsid w:val="00576554"/>
    <w:rsid w:val="00576FD2"/>
    <w:rsid w:val="00577800"/>
    <w:rsid w:val="00577A89"/>
    <w:rsid w:val="00577B6D"/>
    <w:rsid w:val="00577BE7"/>
    <w:rsid w:val="00577D58"/>
    <w:rsid w:val="00577DC2"/>
    <w:rsid w:val="00580AEC"/>
    <w:rsid w:val="00580B97"/>
    <w:rsid w:val="00580C3F"/>
    <w:rsid w:val="00581355"/>
    <w:rsid w:val="00581A18"/>
    <w:rsid w:val="00581AC8"/>
    <w:rsid w:val="00581D2D"/>
    <w:rsid w:val="005821F1"/>
    <w:rsid w:val="00582395"/>
    <w:rsid w:val="00582901"/>
    <w:rsid w:val="0058376D"/>
    <w:rsid w:val="00583930"/>
    <w:rsid w:val="005844E4"/>
    <w:rsid w:val="005846E5"/>
    <w:rsid w:val="0058538C"/>
    <w:rsid w:val="005859BF"/>
    <w:rsid w:val="00585A2D"/>
    <w:rsid w:val="00585D50"/>
    <w:rsid w:val="00585EC0"/>
    <w:rsid w:val="0058653B"/>
    <w:rsid w:val="005867EE"/>
    <w:rsid w:val="00586A7D"/>
    <w:rsid w:val="00586EDD"/>
    <w:rsid w:val="00586EE1"/>
    <w:rsid w:val="00587906"/>
    <w:rsid w:val="00587EBE"/>
    <w:rsid w:val="00591D36"/>
    <w:rsid w:val="005922FF"/>
    <w:rsid w:val="00592377"/>
    <w:rsid w:val="00592CF0"/>
    <w:rsid w:val="00592D5D"/>
    <w:rsid w:val="00593139"/>
    <w:rsid w:val="0059324D"/>
    <w:rsid w:val="00593470"/>
    <w:rsid w:val="005937D0"/>
    <w:rsid w:val="0059432B"/>
    <w:rsid w:val="00594392"/>
    <w:rsid w:val="0059451F"/>
    <w:rsid w:val="00594642"/>
    <w:rsid w:val="00595C4C"/>
    <w:rsid w:val="00595ED7"/>
    <w:rsid w:val="00595ED8"/>
    <w:rsid w:val="00597009"/>
    <w:rsid w:val="0059763F"/>
    <w:rsid w:val="005A0508"/>
    <w:rsid w:val="005A09CD"/>
    <w:rsid w:val="005A0B62"/>
    <w:rsid w:val="005A18A3"/>
    <w:rsid w:val="005A1AED"/>
    <w:rsid w:val="005A1AF9"/>
    <w:rsid w:val="005A1AFF"/>
    <w:rsid w:val="005A1B5E"/>
    <w:rsid w:val="005A2191"/>
    <w:rsid w:val="005A264F"/>
    <w:rsid w:val="005A26A8"/>
    <w:rsid w:val="005A2BAC"/>
    <w:rsid w:val="005A3696"/>
    <w:rsid w:val="005A4417"/>
    <w:rsid w:val="005A4B75"/>
    <w:rsid w:val="005A4D94"/>
    <w:rsid w:val="005A56DE"/>
    <w:rsid w:val="005A693A"/>
    <w:rsid w:val="005A6C41"/>
    <w:rsid w:val="005A6D0B"/>
    <w:rsid w:val="005A721A"/>
    <w:rsid w:val="005A7645"/>
    <w:rsid w:val="005B0168"/>
    <w:rsid w:val="005B0295"/>
    <w:rsid w:val="005B0952"/>
    <w:rsid w:val="005B0C03"/>
    <w:rsid w:val="005B0EA5"/>
    <w:rsid w:val="005B1AA0"/>
    <w:rsid w:val="005B204E"/>
    <w:rsid w:val="005B2C58"/>
    <w:rsid w:val="005B2DFD"/>
    <w:rsid w:val="005B2F4B"/>
    <w:rsid w:val="005B31EC"/>
    <w:rsid w:val="005B3634"/>
    <w:rsid w:val="005B3918"/>
    <w:rsid w:val="005B3A8A"/>
    <w:rsid w:val="005B3DD8"/>
    <w:rsid w:val="005B4A6A"/>
    <w:rsid w:val="005B5A4A"/>
    <w:rsid w:val="005B5BFC"/>
    <w:rsid w:val="005B5CBC"/>
    <w:rsid w:val="005B5F11"/>
    <w:rsid w:val="005B6222"/>
    <w:rsid w:val="005B6521"/>
    <w:rsid w:val="005B6A22"/>
    <w:rsid w:val="005B6A6F"/>
    <w:rsid w:val="005B732B"/>
    <w:rsid w:val="005B7AEC"/>
    <w:rsid w:val="005B7BB4"/>
    <w:rsid w:val="005B7F4D"/>
    <w:rsid w:val="005C05DA"/>
    <w:rsid w:val="005C0788"/>
    <w:rsid w:val="005C088D"/>
    <w:rsid w:val="005C0A1E"/>
    <w:rsid w:val="005C0BF9"/>
    <w:rsid w:val="005C0E4F"/>
    <w:rsid w:val="005C10C0"/>
    <w:rsid w:val="005C17BD"/>
    <w:rsid w:val="005C1B9E"/>
    <w:rsid w:val="005C2802"/>
    <w:rsid w:val="005C2D4E"/>
    <w:rsid w:val="005C351D"/>
    <w:rsid w:val="005C43A9"/>
    <w:rsid w:val="005C4C04"/>
    <w:rsid w:val="005C4E48"/>
    <w:rsid w:val="005C5378"/>
    <w:rsid w:val="005C55C1"/>
    <w:rsid w:val="005C5654"/>
    <w:rsid w:val="005C58BD"/>
    <w:rsid w:val="005C5BB9"/>
    <w:rsid w:val="005C6082"/>
    <w:rsid w:val="005C6ABB"/>
    <w:rsid w:val="005C72EA"/>
    <w:rsid w:val="005D00C8"/>
    <w:rsid w:val="005D012E"/>
    <w:rsid w:val="005D065F"/>
    <w:rsid w:val="005D06E1"/>
    <w:rsid w:val="005D0717"/>
    <w:rsid w:val="005D07C5"/>
    <w:rsid w:val="005D08EE"/>
    <w:rsid w:val="005D0B86"/>
    <w:rsid w:val="005D0BE1"/>
    <w:rsid w:val="005D1399"/>
    <w:rsid w:val="005D15BB"/>
    <w:rsid w:val="005D16BB"/>
    <w:rsid w:val="005D1A07"/>
    <w:rsid w:val="005D2115"/>
    <w:rsid w:val="005D232C"/>
    <w:rsid w:val="005D2D2C"/>
    <w:rsid w:val="005D2D73"/>
    <w:rsid w:val="005D3457"/>
    <w:rsid w:val="005D3520"/>
    <w:rsid w:val="005D36C1"/>
    <w:rsid w:val="005D4819"/>
    <w:rsid w:val="005D5072"/>
    <w:rsid w:val="005D541D"/>
    <w:rsid w:val="005D5BA9"/>
    <w:rsid w:val="005D5CB7"/>
    <w:rsid w:val="005D6901"/>
    <w:rsid w:val="005D6DB4"/>
    <w:rsid w:val="005D71A5"/>
    <w:rsid w:val="005D73DD"/>
    <w:rsid w:val="005D7597"/>
    <w:rsid w:val="005D7685"/>
    <w:rsid w:val="005D773C"/>
    <w:rsid w:val="005E01DE"/>
    <w:rsid w:val="005E0E9F"/>
    <w:rsid w:val="005E10AE"/>
    <w:rsid w:val="005E1292"/>
    <w:rsid w:val="005E1533"/>
    <w:rsid w:val="005E2261"/>
    <w:rsid w:val="005E2A31"/>
    <w:rsid w:val="005E2FF3"/>
    <w:rsid w:val="005E3506"/>
    <w:rsid w:val="005E39FF"/>
    <w:rsid w:val="005E3A9E"/>
    <w:rsid w:val="005E3BC0"/>
    <w:rsid w:val="005E3BE1"/>
    <w:rsid w:val="005E3C20"/>
    <w:rsid w:val="005E4135"/>
    <w:rsid w:val="005E4560"/>
    <w:rsid w:val="005E47D9"/>
    <w:rsid w:val="005E4B1C"/>
    <w:rsid w:val="005E4BC3"/>
    <w:rsid w:val="005E5026"/>
    <w:rsid w:val="005E5161"/>
    <w:rsid w:val="005E5417"/>
    <w:rsid w:val="005E605D"/>
    <w:rsid w:val="005E617A"/>
    <w:rsid w:val="005E6677"/>
    <w:rsid w:val="005E6773"/>
    <w:rsid w:val="005E6FA4"/>
    <w:rsid w:val="005E77F1"/>
    <w:rsid w:val="005E7E03"/>
    <w:rsid w:val="005E7E97"/>
    <w:rsid w:val="005F008D"/>
    <w:rsid w:val="005F0F42"/>
    <w:rsid w:val="005F1006"/>
    <w:rsid w:val="005F12F8"/>
    <w:rsid w:val="005F1A35"/>
    <w:rsid w:val="005F1B78"/>
    <w:rsid w:val="005F1F57"/>
    <w:rsid w:val="005F211C"/>
    <w:rsid w:val="005F26DF"/>
    <w:rsid w:val="005F28A8"/>
    <w:rsid w:val="005F34BE"/>
    <w:rsid w:val="005F36BC"/>
    <w:rsid w:val="005F37AE"/>
    <w:rsid w:val="005F3FF3"/>
    <w:rsid w:val="005F4010"/>
    <w:rsid w:val="005F41D0"/>
    <w:rsid w:val="005F4926"/>
    <w:rsid w:val="005F49EE"/>
    <w:rsid w:val="005F4D00"/>
    <w:rsid w:val="005F4F87"/>
    <w:rsid w:val="005F5140"/>
    <w:rsid w:val="005F521F"/>
    <w:rsid w:val="005F525A"/>
    <w:rsid w:val="005F5797"/>
    <w:rsid w:val="005F5D55"/>
    <w:rsid w:val="005F5DBC"/>
    <w:rsid w:val="005F5F1C"/>
    <w:rsid w:val="005F6BE8"/>
    <w:rsid w:val="005F6C83"/>
    <w:rsid w:val="005F7D44"/>
    <w:rsid w:val="00600BC2"/>
    <w:rsid w:val="00600ECE"/>
    <w:rsid w:val="00601502"/>
    <w:rsid w:val="00601746"/>
    <w:rsid w:val="00601CC2"/>
    <w:rsid w:val="006024EC"/>
    <w:rsid w:val="006027AB"/>
    <w:rsid w:val="0060281C"/>
    <w:rsid w:val="0060316C"/>
    <w:rsid w:val="0060316F"/>
    <w:rsid w:val="00603CF2"/>
    <w:rsid w:val="00603F3F"/>
    <w:rsid w:val="006048E2"/>
    <w:rsid w:val="00604AF8"/>
    <w:rsid w:val="00604B31"/>
    <w:rsid w:val="00604DC0"/>
    <w:rsid w:val="00605258"/>
    <w:rsid w:val="00605324"/>
    <w:rsid w:val="006053BD"/>
    <w:rsid w:val="00605511"/>
    <w:rsid w:val="0060561F"/>
    <w:rsid w:val="00605FDD"/>
    <w:rsid w:val="00606145"/>
    <w:rsid w:val="00606444"/>
    <w:rsid w:val="006069B1"/>
    <w:rsid w:val="00606A8A"/>
    <w:rsid w:val="00606C25"/>
    <w:rsid w:val="00606EF5"/>
    <w:rsid w:val="0060740C"/>
    <w:rsid w:val="006075BA"/>
    <w:rsid w:val="00607603"/>
    <w:rsid w:val="00607B91"/>
    <w:rsid w:val="00607F3F"/>
    <w:rsid w:val="006101FF"/>
    <w:rsid w:val="0061051C"/>
    <w:rsid w:val="00610528"/>
    <w:rsid w:val="00610FE8"/>
    <w:rsid w:val="006110C7"/>
    <w:rsid w:val="00612863"/>
    <w:rsid w:val="006131E8"/>
    <w:rsid w:val="00613606"/>
    <w:rsid w:val="00613AA9"/>
    <w:rsid w:val="00613BA6"/>
    <w:rsid w:val="006140A1"/>
    <w:rsid w:val="006141C0"/>
    <w:rsid w:val="00614A3F"/>
    <w:rsid w:val="00614AA5"/>
    <w:rsid w:val="00614AAF"/>
    <w:rsid w:val="0061510A"/>
    <w:rsid w:val="006155B0"/>
    <w:rsid w:val="00615753"/>
    <w:rsid w:val="0061576D"/>
    <w:rsid w:val="00615E7F"/>
    <w:rsid w:val="006165A7"/>
    <w:rsid w:val="00616997"/>
    <w:rsid w:val="00616C53"/>
    <w:rsid w:val="00616D23"/>
    <w:rsid w:val="00617108"/>
    <w:rsid w:val="00617325"/>
    <w:rsid w:val="0061773F"/>
    <w:rsid w:val="0062040F"/>
    <w:rsid w:val="00620784"/>
    <w:rsid w:val="006208B3"/>
    <w:rsid w:val="00620D6A"/>
    <w:rsid w:val="00621E07"/>
    <w:rsid w:val="006220AF"/>
    <w:rsid w:val="00622200"/>
    <w:rsid w:val="00622223"/>
    <w:rsid w:val="006224EE"/>
    <w:rsid w:val="00622971"/>
    <w:rsid w:val="0062302C"/>
    <w:rsid w:val="00623272"/>
    <w:rsid w:val="00623329"/>
    <w:rsid w:val="006235FA"/>
    <w:rsid w:val="0062382E"/>
    <w:rsid w:val="006238EE"/>
    <w:rsid w:val="006241F2"/>
    <w:rsid w:val="00624C56"/>
    <w:rsid w:val="006250E2"/>
    <w:rsid w:val="0062517E"/>
    <w:rsid w:val="006259DE"/>
    <w:rsid w:val="006259E9"/>
    <w:rsid w:val="00626A41"/>
    <w:rsid w:val="00626DF3"/>
    <w:rsid w:val="00626F71"/>
    <w:rsid w:val="00626FAC"/>
    <w:rsid w:val="006270C3"/>
    <w:rsid w:val="00627382"/>
    <w:rsid w:val="00630B4E"/>
    <w:rsid w:val="00630DD5"/>
    <w:rsid w:val="0063124E"/>
    <w:rsid w:val="00631304"/>
    <w:rsid w:val="00631363"/>
    <w:rsid w:val="00631B09"/>
    <w:rsid w:val="00631C28"/>
    <w:rsid w:val="00631E47"/>
    <w:rsid w:val="00632A4D"/>
    <w:rsid w:val="00632E12"/>
    <w:rsid w:val="0063300D"/>
    <w:rsid w:val="006330D6"/>
    <w:rsid w:val="00633439"/>
    <w:rsid w:val="00633672"/>
    <w:rsid w:val="0063368E"/>
    <w:rsid w:val="0063399D"/>
    <w:rsid w:val="00633E6E"/>
    <w:rsid w:val="0063401D"/>
    <w:rsid w:val="006341E8"/>
    <w:rsid w:val="006346CA"/>
    <w:rsid w:val="006349D9"/>
    <w:rsid w:val="00634E42"/>
    <w:rsid w:val="006356C7"/>
    <w:rsid w:val="00635B31"/>
    <w:rsid w:val="00635B82"/>
    <w:rsid w:val="00635BBE"/>
    <w:rsid w:val="006363D1"/>
    <w:rsid w:val="006366C2"/>
    <w:rsid w:val="006368B2"/>
    <w:rsid w:val="00636C85"/>
    <w:rsid w:val="00637A82"/>
    <w:rsid w:val="00637B71"/>
    <w:rsid w:val="006400C9"/>
    <w:rsid w:val="006401F4"/>
    <w:rsid w:val="00640B76"/>
    <w:rsid w:val="00641194"/>
    <w:rsid w:val="00641B2F"/>
    <w:rsid w:val="00641D8B"/>
    <w:rsid w:val="00641ED5"/>
    <w:rsid w:val="00642538"/>
    <w:rsid w:val="0064268C"/>
    <w:rsid w:val="00642F6A"/>
    <w:rsid w:val="006432F3"/>
    <w:rsid w:val="006438FB"/>
    <w:rsid w:val="00643C36"/>
    <w:rsid w:val="006446FE"/>
    <w:rsid w:val="0064488B"/>
    <w:rsid w:val="00645106"/>
    <w:rsid w:val="006454D6"/>
    <w:rsid w:val="00645A22"/>
    <w:rsid w:val="00646522"/>
    <w:rsid w:val="006469E1"/>
    <w:rsid w:val="00646F3B"/>
    <w:rsid w:val="0064765B"/>
    <w:rsid w:val="00647A04"/>
    <w:rsid w:val="00650399"/>
    <w:rsid w:val="006506DE"/>
    <w:rsid w:val="006507E0"/>
    <w:rsid w:val="00650984"/>
    <w:rsid w:val="00651266"/>
    <w:rsid w:val="0065135D"/>
    <w:rsid w:val="006514FA"/>
    <w:rsid w:val="00651DDA"/>
    <w:rsid w:val="00651E24"/>
    <w:rsid w:val="006520B4"/>
    <w:rsid w:val="006527B1"/>
    <w:rsid w:val="00652BDF"/>
    <w:rsid w:val="00652E0D"/>
    <w:rsid w:val="00653673"/>
    <w:rsid w:val="006537B0"/>
    <w:rsid w:val="00653A29"/>
    <w:rsid w:val="00653BDC"/>
    <w:rsid w:val="00653BDD"/>
    <w:rsid w:val="00654AE4"/>
    <w:rsid w:val="00654D32"/>
    <w:rsid w:val="00655272"/>
    <w:rsid w:val="006555BB"/>
    <w:rsid w:val="00655BB0"/>
    <w:rsid w:val="00655CC0"/>
    <w:rsid w:val="0065697F"/>
    <w:rsid w:val="0065726B"/>
    <w:rsid w:val="00660068"/>
    <w:rsid w:val="0066009E"/>
    <w:rsid w:val="0066072D"/>
    <w:rsid w:val="00660783"/>
    <w:rsid w:val="00660A38"/>
    <w:rsid w:val="006611AE"/>
    <w:rsid w:val="00661201"/>
    <w:rsid w:val="00663037"/>
    <w:rsid w:val="00663A56"/>
    <w:rsid w:val="00664466"/>
    <w:rsid w:val="006646ED"/>
    <w:rsid w:val="006647FF"/>
    <w:rsid w:val="00664A75"/>
    <w:rsid w:val="00664D6B"/>
    <w:rsid w:val="00665894"/>
    <w:rsid w:val="006658AE"/>
    <w:rsid w:val="006658FF"/>
    <w:rsid w:val="00665A6F"/>
    <w:rsid w:val="00665DD6"/>
    <w:rsid w:val="006661CF"/>
    <w:rsid w:val="0066654F"/>
    <w:rsid w:val="0066656A"/>
    <w:rsid w:val="00666C1B"/>
    <w:rsid w:val="00667243"/>
    <w:rsid w:val="0066763A"/>
    <w:rsid w:val="00667952"/>
    <w:rsid w:val="00667B47"/>
    <w:rsid w:val="00670751"/>
    <w:rsid w:val="0067085D"/>
    <w:rsid w:val="006712B8"/>
    <w:rsid w:val="00671571"/>
    <w:rsid w:val="0067180A"/>
    <w:rsid w:val="00672708"/>
    <w:rsid w:val="00672D5D"/>
    <w:rsid w:val="006730F7"/>
    <w:rsid w:val="0067463B"/>
    <w:rsid w:val="00674DFF"/>
    <w:rsid w:val="006752FE"/>
    <w:rsid w:val="006759F9"/>
    <w:rsid w:val="00675D6A"/>
    <w:rsid w:val="00675EAE"/>
    <w:rsid w:val="00675FF6"/>
    <w:rsid w:val="00677231"/>
    <w:rsid w:val="0067731C"/>
    <w:rsid w:val="0067740E"/>
    <w:rsid w:val="0067767F"/>
    <w:rsid w:val="00677735"/>
    <w:rsid w:val="00680561"/>
    <w:rsid w:val="00680856"/>
    <w:rsid w:val="00680F1D"/>
    <w:rsid w:val="0068177B"/>
    <w:rsid w:val="00681D40"/>
    <w:rsid w:val="00682DB5"/>
    <w:rsid w:val="006831CC"/>
    <w:rsid w:val="006832C5"/>
    <w:rsid w:val="006839C7"/>
    <w:rsid w:val="00683A1F"/>
    <w:rsid w:val="00683ABB"/>
    <w:rsid w:val="00683D15"/>
    <w:rsid w:val="00683DE5"/>
    <w:rsid w:val="00684037"/>
    <w:rsid w:val="00684551"/>
    <w:rsid w:val="00684B56"/>
    <w:rsid w:val="00684B58"/>
    <w:rsid w:val="00684B7B"/>
    <w:rsid w:val="00684F4B"/>
    <w:rsid w:val="006850FD"/>
    <w:rsid w:val="00685359"/>
    <w:rsid w:val="006855E7"/>
    <w:rsid w:val="006857D1"/>
    <w:rsid w:val="0068586D"/>
    <w:rsid w:val="00685FBF"/>
    <w:rsid w:val="006862AB"/>
    <w:rsid w:val="006876D2"/>
    <w:rsid w:val="00687814"/>
    <w:rsid w:val="006878E8"/>
    <w:rsid w:val="00687AA9"/>
    <w:rsid w:val="006903F4"/>
    <w:rsid w:val="00690716"/>
    <w:rsid w:val="00690AA1"/>
    <w:rsid w:val="00690B9B"/>
    <w:rsid w:val="00690DFC"/>
    <w:rsid w:val="00690F43"/>
    <w:rsid w:val="006918E2"/>
    <w:rsid w:val="00691A88"/>
    <w:rsid w:val="0069255D"/>
    <w:rsid w:val="006928CB"/>
    <w:rsid w:val="006928DD"/>
    <w:rsid w:val="00692BCE"/>
    <w:rsid w:val="00692C66"/>
    <w:rsid w:val="00693153"/>
    <w:rsid w:val="0069317A"/>
    <w:rsid w:val="00694750"/>
    <w:rsid w:val="006948EF"/>
    <w:rsid w:val="00694BE8"/>
    <w:rsid w:val="0069500E"/>
    <w:rsid w:val="006955A0"/>
    <w:rsid w:val="00695657"/>
    <w:rsid w:val="00695AD0"/>
    <w:rsid w:val="00695CFF"/>
    <w:rsid w:val="00695D64"/>
    <w:rsid w:val="00696AA7"/>
    <w:rsid w:val="00696B7D"/>
    <w:rsid w:val="006971FB"/>
    <w:rsid w:val="006972FB"/>
    <w:rsid w:val="006974BE"/>
    <w:rsid w:val="006977AA"/>
    <w:rsid w:val="006978DD"/>
    <w:rsid w:val="00697BD1"/>
    <w:rsid w:val="006A004C"/>
    <w:rsid w:val="006A0AB2"/>
    <w:rsid w:val="006A0E42"/>
    <w:rsid w:val="006A11B8"/>
    <w:rsid w:val="006A14FC"/>
    <w:rsid w:val="006A1610"/>
    <w:rsid w:val="006A174D"/>
    <w:rsid w:val="006A1970"/>
    <w:rsid w:val="006A1A01"/>
    <w:rsid w:val="006A1AAA"/>
    <w:rsid w:val="006A1BCB"/>
    <w:rsid w:val="006A2125"/>
    <w:rsid w:val="006A21C0"/>
    <w:rsid w:val="006A2BD2"/>
    <w:rsid w:val="006A2EB6"/>
    <w:rsid w:val="006A34F5"/>
    <w:rsid w:val="006A37FC"/>
    <w:rsid w:val="006A389C"/>
    <w:rsid w:val="006A3B8D"/>
    <w:rsid w:val="006A44A1"/>
    <w:rsid w:val="006A45A2"/>
    <w:rsid w:val="006A4655"/>
    <w:rsid w:val="006A4A06"/>
    <w:rsid w:val="006A4DE2"/>
    <w:rsid w:val="006A4EC6"/>
    <w:rsid w:val="006A4FFB"/>
    <w:rsid w:val="006A5503"/>
    <w:rsid w:val="006A5E74"/>
    <w:rsid w:val="006A655D"/>
    <w:rsid w:val="006A65B8"/>
    <w:rsid w:val="006A69BD"/>
    <w:rsid w:val="006A6A32"/>
    <w:rsid w:val="006A6D3C"/>
    <w:rsid w:val="006A6F6C"/>
    <w:rsid w:val="006A6F6F"/>
    <w:rsid w:val="006B00D3"/>
    <w:rsid w:val="006B044B"/>
    <w:rsid w:val="006B0581"/>
    <w:rsid w:val="006B0997"/>
    <w:rsid w:val="006B09FC"/>
    <w:rsid w:val="006B0A45"/>
    <w:rsid w:val="006B0B07"/>
    <w:rsid w:val="006B0B08"/>
    <w:rsid w:val="006B0DE6"/>
    <w:rsid w:val="006B0E38"/>
    <w:rsid w:val="006B1238"/>
    <w:rsid w:val="006B1243"/>
    <w:rsid w:val="006B14B4"/>
    <w:rsid w:val="006B171E"/>
    <w:rsid w:val="006B1B10"/>
    <w:rsid w:val="006B1E08"/>
    <w:rsid w:val="006B1E5A"/>
    <w:rsid w:val="006B221F"/>
    <w:rsid w:val="006B2C05"/>
    <w:rsid w:val="006B2CC7"/>
    <w:rsid w:val="006B3680"/>
    <w:rsid w:val="006B3BB9"/>
    <w:rsid w:val="006B4088"/>
    <w:rsid w:val="006B4D54"/>
    <w:rsid w:val="006B51D9"/>
    <w:rsid w:val="006B52DA"/>
    <w:rsid w:val="006B52E7"/>
    <w:rsid w:val="006B5B73"/>
    <w:rsid w:val="006B606E"/>
    <w:rsid w:val="006B6342"/>
    <w:rsid w:val="006B63FC"/>
    <w:rsid w:val="006B683E"/>
    <w:rsid w:val="006B6A71"/>
    <w:rsid w:val="006B6C54"/>
    <w:rsid w:val="006B6EA3"/>
    <w:rsid w:val="006B6EED"/>
    <w:rsid w:val="006B6FF9"/>
    <w:rsid w:val="006B7104"/>
    <w:rsid w:val="006B7105"/>
    <w:rsid w:val="006B72A1"/>
    <w:rsid w:val="006B77E8"/>
    <w:rsid w:val="006B7C08"/>
    <w:rsid w:val="006C02BF"/>
    <w:rsid w:val="006C09FC"/>
    <w:rsid w:val="006C0F00"/>
    <w:rsid w:val="006C1251"/>
    <w:rsid w:val="006C1994"/>
    <w:rsid w:val="006C2A00"/>
    <w:rsid w:val="006C2C76"/>
    <w:rsid w:val="006C33A5"/>
    <w:rsid w:val="006C36E3"/>
    <w:rsid w:val="006C3D1B"/>
    <w:rsid w:val="006C423F"/>
    <w:rsid w:val="006C48B8"/>
    <w:rsid w:val="006C4AEA"/>
    <w:rsid w:val="006C4F04"/>
    <w:rsid w:val="006C5935"/>
    <w:rsid w:val="006C69D2"/>
    <w:rsid w:val="006C6A2C"/>
    <w:rsid w:val="006C6A53"/>
    <w:rsid w:val="006C6D53"/>
    <w:rsid w:val="006C798B"/>
    <w:rsid w:val="006C7CE0"/>
    <w:rsid w:val="006D0BA2"/>
    <w:rsid w:val="006D1A68"/>
    <w:rsid w:val="006D1AB2"/>
    <w:rsid w:val="006D1EAE"/>
    <w:rsid w:val="006D1F2E"/>
    <w:rsid w:val="006D2429"/>
    <w:rsid w:val="006D2D4D"/>
    <w:rsid w:val="006D321B"/>
    <w:rsid w:val="006D3289"/>
    <w:rsid w:val="006D331D"/>
    <w:rsid w:val="006D36A1"/>
    <w:rsid w:val="006D3938"/>
    <w:rsid w:val="006D39E0"/>
    <w:rsid w:val="006D3D71"/>
    <w:rsid w:val="006D423E"/>
    <w:rsid w:val="006D439E"/>
    <w:rsid w:val="006D4E71"/>
    <w:rsid w:val="006D54DC"/>
    <w:rsid w:val="006D5EB6"/>
    <w:rsid w:val="006D644F"/>
    <w:rsid w:val="006D6683"/>
    <w:rsid w:val="006D680F"/>
    <w:rsid w:val="006D69D5"/>
    <w:rsid w:val="006D69F1"/>
    <w:rsid w:val="006D6EC2"/>
    <w:rsid w:val="006E00C3"/>
    <w:rsid w:val="006E01E6"/>
    <w:rsid w:val="006E040F"/>
    <w:rsid w:val="006E0A02"/>
    <w:rsid w:val="006E0D66"/>
    <w:rsid w:val="006E0ED0"/>
    <w:rsid w:val="006E1103"/>
    <w:rsid w:val="006E14BB"/>
    <w:rsid w:val="006E14E8"/>
    <w:rsid w:val="006E1B33"/>
    <w:rsid w:val="006E1F89"/>
    <w:rsid w:val="006E43C0"/>
    <w:rsid w:val="006E4CC1"/>
    <w:rsid w:val="006E5111"/>
    <w:rsid w:val="006E5D29"/>
    <w:rsid w:val="006E5E8D"/>
    <w:rsid w:val="006E654E"/>
    <w:rsid w:val="006E6576"/>
    <w:rsid w:val="006E6712"/>
    <w:rsid w:val="006E682E"/>
    <w:rsid w:val="006E68B6"/>
    <w:rsid w:val="006E6B4A"/>
    <w:rsid w:val="006E6DFE"/>
    <w:rsid w:val="006E72E4"/>
    <w:rsid w:val="006E7416"/>
    <w:rsid w:val="006E75DC"/>
    <w:rsid w:val="006E7A1D"/>
    <w:rsid w:val="006F0871"/>
    <w:rsid w:val="006F1279"/>
    <w:rsid w:val="006F12AA"/>
    <w:rsid w:val="006F1B54"/>
    <w:rsid w:val="006F1BAA"/>
    <w:rsid w:val="006F20B5"/>
    <w:rsid w:val="006F21A0"/>
    <w:rsid w:val="006F296E"/>
    <w:rsid w:val="006F2D51"/>
    <w:rsid w:val="006F2F55"/>
    <w:rsid w:val="006F35D5"/>
    <w:rsid w:val="006F381A"/>
    <w:rsid w:val="006F3986"/>
    <w:rsid w:val="006F3F64"/>
    <w:rsid w:val="006F4329"/>
    <w:rsid w:val="006F4B63"/>
    <w:rsid w:val="006F4C4F"/>
    <w:rsid w:val="006F59AA"/>
    <w:rsid w:val="006F59C4"/>
    <w:rsid w:val="006F5BB1"/>
    <w:rsid w:val="006F60E1"/>
    <w:rsid w:val="006F6785"/>
    <w:rsid w:val="006F6ABD"/>
    <w:rsid w:val="006F6ED7"/>
    <w:rsid w:val="00700098"/>
    <w:rsid w:val="007001EF"/>
    <w:rsid w:val="0070049E"/>
    <w:rsid w:val="00700A6E"/>
    <w:rsid w:val="00700B1C"/>
    <w:rsid w:val="00700BF4"/>
    <w:rsid w:val="00700DAB"/>
    <w:rsid w:val="00700E95"/>
    <w:rsid w:val="00701832"/>
    <w:rsid w:val="00701C75"/>
    <w:rsid w:val="00701D04"/>
    <w:rsid w:val="00701D0E"/>
    <w:rsid w:val="00701DA3"/>
    <w:rsid w:val="007020DC"/>
    <w:rsid w:val="00702331"/>
    <w:rsid w:val="00702437"/>
    <w:rsid w:val="00702D01"/>
    <w:rsid w:val="00702D41"/>
    <w:rsid w:val="007032FC"/>
    <w:rsid w:val="0070365F"/>
    <w:rsid w:val="00703820"/>
    <w:rsid w:val="00703965"/>
    <w:rsid w:val="0070431E"/>
    <w:rsid w:val="00704AB9"/>
    <w:rsid w:val="00704CC6"/>
    <w:rsid w:val="00705722"/>
    <w:rsid w:val="007058F0"/>
    <w:rsid w:val="00706318"/>
    <w:rsid w:val="00706552"/>
    <w:rsid w:val="007066FB"/>
    <w:rsid w:val="00706C12"/>
    <w:rsid w:val="007071F1"/>
    <w:rsid w:val="00707FC9"/>
    <w:rsid w:val="007100DB"/>
    <w:rsid w:val="0071075C"/>
    <w:rsid w:val="00710B03"/>
    <w:rsid w:val="007113EE"/>
    <w:rsid w:val="0071151B"/>
    <w:rsid w:val="00711549"/>
    <w:rsid w:val="00711966"/>
    <w:rsid w:val="00711AEC"/>
    <w:rsid w:val="00711DDA"/>
    <w:rsid w:val="00712174"/>
    <w:rsid w:val="007125B8"/>
    <w:rsid w:val="00712B1F"/>
    <w:rsid w:val="00712BE7"/>
    <w:rsid w:val="007130D2"/>
    <w:rsid w:val="007131D9"/>
    <w:rsid w:val="00713648"/>
    <w:rsid w:val="00713F8A"/>
    <w:rsid w:val="00714A86"/>
    <w:rsid w:val="00714CDA"/>
    <w:rsid w:val="00714EEE"/>
    <w:rsid w:val="00714F11"/>
    <w:rsid w:val="00714FE1"/>
    <w:rsid w:val="00715982"/>
    <w:rsid w:val="00715D5F"/>
    <w:rsid w:val="00715D8A"/>
    <w:rsid w:val="00716B20"/>
    <w:rsid w:val="00716CDF"/>
    <w:rsid w:val="00717525"/>
    <w:rsid w:val="007176B1"/>
    <w:rsid w:val="007176EE"/>
    <w:rsid w:val="00717D25"/>
    <w:rsid w:val="00717E74"/>
    <w:rsid w:val="00717EA4"/>
    <w:rsid w:val="0072022D"/>
    <w:rsid w:val="00720733"/>
    <w:rsid w:val="00720A62"/>
    <w:rsid w:val="00720B1D"/>
    <w:rsid w:val="00720BC8"/>
    <w:rsid w:val="00720E22"/>
    <w:rsid w:val="00721047"/>
    <w:rsid w:val="0072140C"/>
    <w:rsid w:val="00721571"/>
    <w:rsid w:val="00721AEA"/>
    <w:rsid w:val="00721D76"/>
    <w:rsid w:val="00722081"/>
    <w:rsid w:val="0072209C"/>
    <w:rsid w:val="00722476"/>
    <w:rsid w:val="0072262E"/>
    <w:rsid w:val="007234FB"/>
    <w:rsid w:val="00723919"/>
    <w:rsid w:val="00723CBF"/>
    <w:rsid w:val="00724071"/>
    <w:rsid w:val="007240A4"/>
    <w:rsid w:val="007244B9"/>
    <w:rsid w:val="00724665"/>
    <w:rsid w:val="00724DE1"/>
    <w:rsid w:val="0072531A"/>
    <w:rsid w:val="007257ED"/>
    <w:rsid w:val="00726049"/>
    <w:rsid w:val="007262FE"/>
    <w:rsid w:val="007269AB"/>
    <w:rsid w:val="00727227"/>
    <w:rsid w:val="007307DF"/>
    <w:rsid w:val="00730EEA"/>
    <w:rsid w:val="00730F2E"/>
    <w:rsid w:val="00731402"/>
    <w:rsid w:val="00731601"/>
    <w:rsid w:val="007316AC"/>
    <w:rsid w:val="007316E5"/>
    <w:rsid w:val="007318BB"/>
    <w:rsid w:val="00732FEA"/>
    <w:rsid w:val="0073324F"/>
    <w:rsid w:val="00733588"/>
    <w:rsid w:val="00733C18"/>
    <w:rsid w:val="00733FD4"/>
    <w:rsid w:val="0073426C"/>
    <w:rsid w:val="0073456F"/>
    <w:rsid w:val="00734C13"/>
    <w:rsid w:val="00734F4D"/>
    <w:rsid w:val="0073544D"/>
    <w:rsid w:val="00735C63"/>
    <w:rsid w:val="00736077"/>
    <w:rsid w:val="00736498"/>
    <w:rsid w:val="00736509"/>
    <w:rsid w:val="00736DA7"/>
    <w:rsid w:val="0073719D"/>
    <w:rsid w:val="007373F0"/>
    <w:rsid w:val="007377F0"/>
    <w:rsid w:val="00737AB2"/>
    <w:rsid w:val="00737AD4"/>
    <w:rsid w:val="0074005B"/>
    <w:rsid w:val="00740428"/>
    <w:rsid w:val="00740C96"/>
    <w:rsid w:val="00740CB1"/>
    <w:rsid w:val="007415AD"/>
    <w:rsid w:val="0074161B"/>
    <w:rsid w:val="00741C8D"/>
    <w:rsid w:val="007420B6"/>
    <w:rsid w:val="007423D1"/>
    <w:rsid w:val="007427D1"/>
    <w:rsid w:val="0074295A"/>
    <w:rsid w:val="00742DDB"/>
    <w:rsid w:val="00742F01"/>
    <w:rsid w:val="007431C0"/>
    <w:rsid w:val="00743CDE"/>
    <w:rsid w:val="00743D7A"/>
    <w:rsid w:val="0074420D"/>
    <w:rsid w:val="00744321"/>
    <w:rsid w:val="00744B47"/>
    <w:rsid w:val="00745488"/>
    <w:rsid w:val="00745CFC"/>
    <w:rsid w:val="0074664E"/>
    <w:rsid w:val="00746EF0"/>
    <w:rsid w:val="00746F8D"/>
    <w:rsid w:val="0074713A"/>
    <w:rsid w:val="0074742E"/>
    <w:rsid w:val="00747AA0"/>
    <w:rsid w:val="00747B76"/>
    <w:rsid w:val="00747C13"/>
    <w:rsid w:val="00747DAB"/>
    <w:rsid w:val="00750AA0"/>
    <w:rsid w:val="00751065"/>
    <w:rsid w:val="00752291"/>
    <w:rsid w:val="007523B2"/>
    <w:rsid w:val="007525B2"/>
    <w:rsid w:val="00752C81"/>
    <w:rsid w:val="00752D97"/>
    <w:rsid w:val="007536AA"/>
    <w:rsid w:val="00753BBE"/>
    <w:rsid w:val="00753C3E"/>
    <w:rsid w:val="00754B4D"/>
    <w:rsid w:val="00754DA2"/>
    <w:rsid w:val="00754DBD"/>
    <w:rsid w:val="00755289"/>
    <w:rsid w:val="0075529A"/>
    <w:rsid w:val="0075545E"/>
    <w:rsid w:val="0075557B"/>
    <w:rsid w:val="007555C1"/>
    <w:rsid w:val="00755CBC"/>
    <w:rsid w:val="00756385"/>
    <w:rsid w:val="007564E2"/>
    <w:rsid w:val="00756551"/>
    <w:rsid w:val="00756933"/>
    <w:rsid w:val="007570F3"/>
    <w:rsid w:val="007578B1"/>
    <w:rsid w:val="00757F20"/>
    <w:rsid w:val="00757FB5"/>
    <w:rsid w:val="007609F2"/>
    <w:rsid w:val="007613B6"/>
    <w:rsid w:val="00761A2E"/>
    <w:rsid w:val="00761ABB"/>
    <w:rsid w:val="00761B53"/>
    <w:rsid w:val="00761C16"/>
    <w:rsid w:val="00761D08"/>
    <w:rsid w:val="00762213"/>
    <w:rsid w:val="00762B26"/>
    <w:rsid w:val="00762BC4"/>
    <w:rsid w:val="00762DB2"/>
    <w:rsid w:val="00763773"/>
    <w:rsid w:val="007638E0"/>
    <w:rsid w:val="00763C82"/>
    <w:rsid w:val="0076405E"/>
    <w:rsid w:val="007640FD"/>
    <w:rsid w:val="00764242"/>
    <w:rsid w:val="007642C9"/>
    <w:rsid w:val="007652EC"/>
    <w:rsid w:val="0076550D"/>
    <w:rsid w:val="0076555B"/>
    <w:rsid w:val="00765641"/>
    <w:rsid w:val="007656E2"/>
    <w:rsid w:val="00765AD8"/>
    <w:rsid w:val="00766568"/>
    <w:rsid w:val="00766906"/>
    <w:rsid w:val="00766B8A"/>
    <w:rsid w:val="00766D8D"/>
    <w:rsid w:val="00766E81"/>
    <w:rsid w:val="00767495"/>
    <w:rsid w:val="00767551"/>
    <w:rsid w:val="00767C4D"/>
    <w:rsid w:val="00770009"/>
    <w:rsid w:val="00770238"/>
    <w:rsid w:val="007707B7"/>
    <w:rsid w:val="00770C16"/>
    <w:rsid w:val="0077126D"/>
    <w:rsid w:val="00771394"/>
    <w:rsid w:val="00771940"/>
    <w:rsid w:val="00771E3D"/>
    <w:rsid w:val="00771EEE"/>
    <w:rsid w:val="00772516"/>
    <w:rsid w:val="00773235"/>
    <w:rsid w:val="0077351A"/>
    <w:rsid w:val="0077390B"/>
    <w:rsid w:val="00773B0E"/>
    <w:rsid w:val="0077413B"/>
    <w:rsid w:val="00774627"/>
    <w:rsid w:val="00774A8C"/>
    <w:rsid w:val="00775130"/>
    <w:rsid w:val="007757E0"/>
    <w:rsid w:val="00775C61"/>
    <w:rsid w:val="00775CFC"/>
    <w:rsid w:val="0077641C"/>
    <w:rsid w:val="0077675F"/>
    <w:rsid w:val="00776824"/>
    <w:rsid w:val="00777CAD"/>
    <w:rsid w:val="00777FEF"/>
    <w:rsid w:val="00780638"/>
    <w:rsid w:val="007807A8"/>
    <w:rsid w:val="00780A73"/>
    <w:rsid w:val="007812BE"/>
    <w:rsid w:val="007815A4"/>
    <w:rsid w:val="00781622"/>
    <w:rsid w:val="0078164F"/>
    <w:rsid w:val="0078172E"/>
    <w:rsid w:val="00783597"/>
    <w:rsid w:val="00783D42"/>
    <w:rsid w:val="0078430A"/>
    <w:rsid w:val="00784688"/>
    <w:rsid w:val="00784A4D"/>
    <w:rsid w:val="00784E84"/>
    <w:rsid w:val="00784FA4"/>
    <w:rsid w:val="00784FF3"/>
    <w:rsid w:val="007850DD"/>
    <w:rsid w:val="00785244"/>
    <w:rsid w:val="00785713"/>
    <w:rsid w:val="00785AA8"/>
    <w:rsid w:val="00785C83"/>
    <w:rsid w:val="00785CD2"/>
    <w:rsid w:val="00785EFF"/>
    <w:rsid w:val="00786047"/>
    <w:rsid w:val="00786326"/>
    <w:rsid w:val="007868FD"/>
    <w:rsid w:val="00786E58"/>
    <w:rsid w:val="00786EAA"/>
    <w:rsid w:val="00787688"/>
    <w:rsid w:val="007905CD"/>
    <w:rsid w:val="007919A8"/>
    <w:rsid w:val="00792998"/>
    <w:rsid w:val="007931B6"/>
    <w:rsid w:val="007931CC"/>
    <w:rsid w:val="007933E6"/>
    <w:rsid w:val="0079341A"/>
    <w:rsid w:val="00793482"/>
    <w:rsid w:val="00793835"/>
    <w:rsid w:val="00793EDA"/>
    <w:rsid w:val="00793F2A"/>
    <w:rsid w:val="00793F66"/>
    <w:rsid w:val="0079409F"/>
    <w:rsid w:val="007941B4"/>
    <w:rsid w:val="00794CD6"/>
    <w:rsid w:val="00795811"/>
    <w:rsid w:val="00795D9D"/>
    <w:rsid w:val="0079637B"/>
    <w:rsid w:val="0079638C"/>
    <w:rsid w:val="00796E1F"/>
    <w:rsid w:val="00796FD9"/>
    <w:rsid w:val="00797BA9"/>
    <w:rsid w:val="00797BE5"/>
    <w:rsid w:val="00797CE1"/>
    <w:rsid w:val="00797EEF"/>
    <w:rsid w:val="007A0486"/>
    <w:rsid w:val="007A0793"/>
    <w:rsid w:val="007A08A8"/>
    <w:rsid w:val="007A0A5F"/>
    <w:rsid w:val="007A0B88"/>
    <w:rsid w:val="007A0C40"/>
    <w:rsid w:val="007A0D8F"/>
    <w:rsid w:val="007A10C5"/>
    <w:rsid w:val="007A1549"/>
    <w:rsid w:val="007A189E"/>
    <w:rsid w:val="007A189F"/>
    <w:rsid w:val="007A1C47"/>
    <w:rsid w:val="007A1E41"/>
    <w:rsid w:val="007A268C"/>
    <w:rsid w:val="007A2DC5"/>
    <w:rsid w:val="007A32BF"/>
    <w:rsid w:val="007A3330"/>
    <w:rsid w:val="007A333A"/>
    <w:rsid w:val="007A3CC7"/>
    <w:rsid w:val="007A3FAE"/>
    <w:rsid w:val="007A4222"/>
    <w:rsid w:val="007A4C40"/>
    <w:rsid w:val="007A5B8F"/>
    <w:rsid w:val="007A5C15"/>
    <w:rsid w:val="007A6690"/>
    <w:rsid w:val="007A7CFB"/>
    <w:rsid w:val="007B0437"/>
    <w:rsid w:val="007B07DC"/>
    <w:rsid w:val="007B10E3"/>
    <w:rsid w:val="007B13A9"/>
    <w:rsid w:val="007B1667"/>
    <w:rsid w:val="007B1C2F"/>
    <w:rsid w:val="007B2044"/>
    <w:rsid w:val="007B21A1"/>
    <w:rsid w:val="007B2623"/>
    <w:rsid w:val="007B27DE"/>
    <w:rsid w:val="007B2E2A"/>
    <w:rsid w:val="007B3133"/>
    <w:rsid w:val="007B35B7"/>
    <w:rsid w:val="007B3625"/>
    <w:rsid w:val="007B36B9"/>
    <w:rsid w:val="007B3714"/>
    <w:rsid w:val="007B3C8A"/>
    <w:rsid w:val="007B3E7B"/>
    <w:rsid w:val="007B3F34"/>
    <w:rsid w:val="007B4122"/>
    <w:rsid w:val="007B4338"/>
    <w:rsid w:val="007B4A33"/>
    <w:rsid w:val="007B4EFA"/>
    <w:rsid w:val="007B4FE4"/>
    <w:rsid w:val="007B526B"/>
    <w:rsid w:val="007B5955"/>
    <w:rsid w:val="007B5D59"/>
    <w:rsid w:val="007B5D5A"/>
    <w:rsid w:val="007B6677"/>
    <w:rsid w:val="007B6C01"/>
    <w:rsid w:val="007B743C"/>
    <w:rsid w:val="007B76E7"/>
    <w:rsid w:val="007B7BCB"/>
    <w:rsid w:val="007B7D8E"/>
    <w:rsid w:val="007B7FF2"/>
    <w:rsid w:val="007C0745"/>
    <w:rsid w:val="007C101B"/>
    <w:rsid w:val="007C1388"/>
    <w:rsid w:val="007C157B"/>
    <w:rsid w:val="007C17B6"/>
    <w:rsid w:val="007C1937"/>
    <w:rsid w:val="007C1952"/>
    <w:rsid w:val="007C1D77"/>
    <w:rsid w:val="007C222D"/>
    <w:rsid w:val="007C225D"/>
    <w:rsid w:val="007C23A7"/>
    <w:rsid w:val="007C28C6"/>
    <w:rsid w:val="007C2942"/>
    <w:rsid w:val="007C2BAE"/>
    <w:rsid w:val="007C2BB1"/>
    <w:rsid w:val="007C2E7B"/>
    <w:rsid w:val="007C3361"/>
    <w:rsid w:val="007C3522"/>
    <w:rsid w:val="007C393D"/>
    <w:rsid w:val="007C3CF5"/>
    <w:rsid w:val="007C3E4D"/>
    <w:rsid w:val="007C4500"/>
    <w:rsid w:val="007C5033"/>
    <w:rsid w:val="007C5DAE"/>
    <w:rsid w:val="007C6041"/>
    <w:rsid w:val="007C6445"/>
    <w:rsid w:val="007C65DF"/>
    <w:rsid w:val="007C6F58"/>
    <w:rsid w:val="007C70DE"/>
    <w:rsid w:val="007C7537"/>
    <w:rsid w:val="007C7A18"/>
    <w:rsid w:val="007C7BF3"/>
    <w:rsid w:val="007C7D1E"/>
    <w:rsid w:val="007D02EF"/>
    <w:rsid w:val="007D06FF"/>
    <w:rsid w:val="007D0F06"/>
    <w:rsid w:val="007D14D4"/>
    <w:rsid w:val="007D1B92"/>
    <w:rsid w:val="007D1C24"/>
    <w:rsid w:val="007D1C28"/>
    <w:rsid w:val="007D245A"/>
    <w:rsid w:val="007D2654"/>
    <w:rsid w:val="007D2926"/>
    <w:rsid w:val="007D2D58"/>
    <w:rsid w:val="007D2F78"/>
    <w:rsid w:val="007D330B"/>
    <w:rsid w:val="007D34BD"/>
    <w:rsid w:val="007D353C"/>
    <w:rsid w:val="007D3677"/>
    <w:rsid w:val="007D39D7"/>
    <w:rsid w:val="007D3CA5"/>
    <w:rsid w:val="007D4123"/>
    <w:rsid w:val="007D438A"/>
    <w:rsid w:val="007D46EF"/>
    <w:rsid w:val="007D48DF"/>
    <w:rsid w:val="007D4FE0"/>
    <w:rsid w:val="007D577A"/>
    <w:rsid w:val="007D5A2D"/>
    <w:rsid w:val="007D5D7C"/>
    <w:rsid w:val="007D5F92"/>
    <w:rsid w:val="007D5FE7"/>
    <w:rsid w:val="007D6F8C"/>
    <w:rsid w:val="007D70F7"/>
    <w:rsid w:val="007D750F"/>
    <w:rsid w:val="007D75A8"/>
    <w:rsid w:val="007D798C"/>
    <w:rsid w:val="007D7CF0"/>
    <w:rsid w:val="007D7D26"/>
    <w:rsid w:val="007E0CFA"/>
    <w:rsid w:val="007E0ED5"/>
    <w:rsid w:val="007E0FEF"/>
    <w:rsid w:val="007E1076"/>
    <w:rsid w:val="007E1503"/>
    <w:rsid w:val="007E1ED5"/>
    <w:rsid w:val="007E1F88"/>
    <w:rsid w:val="007E2112"/>
    <w:rsid w:val="007E2255"/>
    <w:rsid w:val="007E27C0"/>
    <w:rsid w:val="007E27CF"/>
    <w:rsid w:val="007E2B04"/>
    <w:rsid w:val="007E2BCC"/>
    <w:rsid w:val="007E2E2E"/>
    <w:rsid w:val="007E30DD"/>
    <w:rsid w:val="007E332F"/>
    <w:rsid w:val="007E3D42"/>
    <w:rsid w:val="007E3ECE"/>
    <w:rsid w:val="007E4982"/>
    <w:rsid w:val="007E5124"/>
    <w:rsid w:val="007E5433"/>
    <w:rsid w:val="007E5879"/>
    <w:rsid w:val="007E60EA"/>
    <w:rsid w:val="007E613D"/>
    <w:rsid w:val="007E61B3"/>
    <w:rsid w:val="007E6388"/>
    <w:rsid w:val="007E686B"/>
    <w:rsid w:val="007E75A0"/>
    <w:rsid w:val="007E7B9E"/>
    <w:rsid w:val="007F0018"/>
    <w:rsid w:val="007F0502"/>
    <w:rsid w:val="007F0BB4"/>
    <w:rsid w:val="007F104F"/>
    <w:rsid w:val="007F16EA"/>
    <w:rsid w:val="007F178E"/>
    <w:rsid w:val="007F1863"/>
    <w:rsid w:val="007F19EA"/>
    <w:rsid w:val="007F201C"/>
    <w:rsid w:val="007F2021"/>
    <w:rsid w:val="007F2521"/>
    <w:rsid w:val="007F30F1"/>
    <w:rsid w:val="007F31E2"/>
    <w:rsid w:val="007F36B5"/>
    <w:rsid w:val="007F3993"/>
    <w:rsid w:val="007F3B61"/>
    <w:rsid w:val="007F3FB1"/>
    <w:rsid w:val="007F460D"/>
    <w:rsid w:val="007F4D40"/>
    <w:rsid w:val="007F4DAE"/>
    <w:rsid w:val="007F50CB"/>
    <w:rsid w:val="007F53FD"/>
    <w:rsid w:val="007F57E7"/>
    <w:rsid w:val="007F5BAE"/>
    <w:rsid w:val="007F6E0F"/>
    <w:rsid w:val="007F74DA"/>
    <w:rsid w:val="007F7DB6"/>
    <w:rsid w:val="008001F5"/>
    <w:rsid w:val="00800516"/>
    <w:rsid w:val="00801291"/>
    <w:rsid w:val="008012DD"/>
    <w:rsid w:val="00801A39"/>
    <w:rsid w:val="00801A96"/>
    <w:rsid w:val="00801CBD"/>
    <w:rsid w:val="0080222D"/>
    <w:rsid w:val="0080283B"/>
    <w:rsid w:val="00802D36"/>
    <w:rsid w:val="00802DAE"/>
    <w:rsid w:val="0080314F"/>
    <w:rsid w:val="00803382"/>
    <w:rsid w:val="00803A39"/>
    <w:rsid w:val="00804506"/>
    <w:rsid w:val="008055FB"/>
    <w:rsid w:val="0080718B"/>
    <w:rsid w:val="00807B2D"/>
    <w:rsid w:val="00810243"/>
    <w:rsid w:val="008107AA"/>
    <w:rsid w:val="00810B32"/>
    <w:rsid w:val="00810FBC"/>
    <w:rsid w:val="008112EB"/>
    <w:rsid w:val="0081179A"/>
    <w:rsid w:val="008119E9"/>
    <w:rsid w:val="00811B14"/>
    <w:rsid w:val="00811C66"/>
    <w:rsid w:val="00811C6A"/>
    <w:rsid w:val="00812266"/>
    <w:rsid w:val="00812911"/>
    <w:rsid w:val="00812ACD"/>
    <w:rsid w:val="008136B9"/>
    <w:rsid w:val="0081449A"/>
    <w:rsid w:val="008145D7"/>
    <w:rsid w:val="00814684"/>
    <w:rsid w:val="00815184"/>
    <w:rsid w:val="0081604F"/>
    <w:rsid w:val="008166BE"/>
    <w:rsid w:val="00816801"/>
    <w:rsid w:val="0081690A"/>
    <w:rsid w:val="00816F09"/>
    <w:rsid w:val="008172C2"/>
    <w:rsid w:val="008178B3"/>
    <w:rsid w:val="00817E3B"/>
    <w:rsid w:val="00820D24"/>
    <w:rsid w:val="00821585"/>
    <w:rsid w:val="008215FA"/>
    <w:rsid w:val="008219F1"/>
    <w:rsid w:val="00821DEE"/>
    <w:rsid w:val="00821FFB"/>
    <w:rsid w:val="00822753"/>
    <w:rsid w:val="00822A36"/>
    <w:rsid w:val="00822A9C"/>
    <w:rsid w:val="00822BD6"/>
    <w:rsid w:val="00822C6D"/>
    <w:rsid w:val="00822FD3"/>
    <w:rsid w:val="0082340D"/>
    <w:rsid w:val="00823517"/>
    <w:rsid w:val="008236FA"/>
    <w:rsid w:val="00823D90"/>
    <w:rsid w:val="00824BFB"/>
    <w:rsid w:val="00825387"/>
    <w:rsid w:val="008253E3"/>
    <w:rsid w:val="00825496"/>
    <w:rsid w:val="00825907"/>
    <w:rsid w:val="00825AF8"/>
    <w:rsid w:val="00825F96"/>
    <w:rsid w:val="008261F0"/>
    <w:rsid w:val="00826645"/>
    <w:rsid w:val="008268BF"/>
    <w:rsid w:val="00827554"/>
    <w:rsid w:val="00827715"/>
    <w:rsid w:val="00827D4B"/>
    <w:rsid w:val="00830119"/>
    <w:rsid w:val="00830D0E"/>
    <w:rsid w:val="008312BF"/>
    <w:rsid w:val="00831424"/>
    <w:rsid w:val="00831759"/>
    <w:rsid w:val="00831D8E"/>
    <w:rsid w:val="00832148"/>
    <w:rsid w:val="0083289F"/>
    <w:rsid w:val="008329BA"/>
    <w:rsid w:val="00833556"/>
    <w:rsid w:val="008339B0"/>
    <w:rsid w:val="00833A83"/>
    <w:rsid w:val="008343D6"/>
    <w:rsid w:val="008343E4"/>
    <w:rsid w:val="008344ED"/>
    <w:rsid w:val="008349AA"/>
    <w:rsid w:val="00834C3E"/>
    <w:rsid w:val="00834CDD"/>
    <w:rsid w:val="00834D0C"/>
    <w:rsid w:val="00834F50"/>
    <w:rsid w:val="0083503F"/>
    <w:rsid w:val="0083515E"/>
    <w:rsid w:val="008352EB"/>
    <w:rsid w:val="00835870"/>
    <w:rsid w:val="00835AD5"/>
    <w:rsid w:val="0083667E"/>
    <w:rsid w:val="00836836"/>
    <w:rsid w:val="00836AC6"/>
    <w:rsid w:val="0083709A"/>
    <w:rsid w:val="008375A6"/>
    <w:rsid w:val="008377C8"/>
    <w:rsid w:val="00837914"/>
    <w:rsid w:val="00837981"/>
    <w:rsid w:val="00837B9C"/>
    <w:rsid w:val="008402B0"/>
    <w:rsid w:val="008404F4"/>
    <w:rsid w:val="00840BB8"/>
    <w:rsid w:val="0084131C"/>
    <w:rsid w:val="00841A5A"/>
    <w:rsid w:val="00842365"/>
    <w:rsid w:val="008424BD"/>
    <w:rsid w:val="00842D3B"/>
    <w:rsid w:val="00842ECB"/>
    <w:rsid w:val="00843F25"/>
    <w:rsid w:val="00844188"/>
    <w:rsid w:val="00844B1B"/>
    <w:rsid w:val="00844B8C"/>
    <w:rsid w:val="00844BFB"/>
    <w:rsid w:val="00844D55"/>
    <w:rsid w:val="00845ED7"/>
    <w:rsid w:val="008462A7"/>
    <w:rsid w:val="00846455"/>
    <w:rsid w:val="0084679C"/>
    <w:rsid w:val="00846C8E"/>
    <w:rsid w:val="00846E2E"/>
    <w:rsid w:val="00847328"/>
    <w:rsid w:val="00847367"/>
    <w:rsid w:val="00847D0C"/>
    <w:rsid w:val="00847DBC"/>
    <w:rsid w:val="00847FCE"/>
    <w:rsid w:val="00850444"/>
    <w:rsid w:val="0085085F"/>
    <w:rsid w:val="00850D12"/>
    <w:rsid w:val="00850EB3"/>
    <w:rsid w:val="008515F3"/>
    <w:rsid w:val="00851D54"/>
    <w:rsid w:val="00851EB0"/>
    <w:rsid w:val="008523CA"/>
    <w:rsid w:val="00852D59"/>
    <w:rsid w:val="00852F50"/>
    <w:rsid w:val="008533FF"/>
    <w:rsid w:val="00853605"/>
    <w:rsid w:val="00853956"/>
    <w:rsid w:val="00853A62"/>
    <w:rsid w:val="00853BDB"/>
    <w:rsid w:val="00854890"/>
    <w:rsid w:val="008555B2"/>
    <w:rsid w:val="008556C8"/>
    <w:rsid w:val="008556D4"/>
    <w:rsid w:val="00855915"/>
    <w:rsid w:val="00856007"/>
    <w:rsid w:val="00856578"/>
    <w:rsid w:val="00856623"/>
    <w:rsid w:val="00856A60"/>
    <w:rsid w:val="00856FAF"/>
    <w:rsid w:val="00857990"/>
    <w:rsid w:val="00857D26"/>
    <w:rsid w:val="00857FD9"/>
    <w:rsid w:val="00857FDA"/>
    <w:rsid w:val="0086012E"/>
    <w:rsid w:val="00860883"/>
    <w:rsid w:val="00860AF4"/>
    <w:rsid w:val="00860E88"/>
    <w:rsid w:val="00860EE9"/>
    <w:rsid w:val="008618A5"/>
    <w:rsid w:val="00861F2F"/>
    <w:rsid w:val="008627EC"/>
    <w:rsid w:val="00862893"/>
    <w:rsid w:val="008632B4"/>
    <w:rsid w:val="008639E8"/>
    <w:rsid w:val="00863A61"/>
    <w:rsid w:val="00863B31"/>
    <w:rsid w:val="00864312"/>
    <w:rsid w:val="00864770"/>
    <w:rsid w:val="0086502F"/>
    <w:rsid w:val="00865D40"/>
    <w:rsid w:val="0086657B"/>
    <w:rsid w:val="00867A00"/>
    <w:rsid w:val="00867D0A"/>
    <w:rsid w:val="008701AB"/>
    <w:rsid w:val="00870DB9"/>
    <w:rsid w:val="00870E2D"/>
    <w:rsid w:val="00871B9F"/>
    <w:rsid w:val="00871C3D"/>
    <w:rsid w:val="00871EF0"/>
    <w:rsid w:val="00872036"/>
    <w:rsid w:val="00872520"/>
    <w:rsid w:val="0087261C"/>
    <w:rsid w:val="008727FA"/>
    <w:rsid w:val="0087282B"/>
    <w:rsid w:val="00872BCB"/>
    <w:rsid w:val="00873956"/>
    <w:rsid w:val="00873960"/>
    <w:rsid w:val="008739A6"/>
    <w:rsid w:val="00873E29"/>
    <w:rsid w:val="008741C8"/>
    <w:rsid w:val="008742CC"/>
    <w:rsid w:val="0087487B"/>
    <w:rsid w:val="00874998"/>
    <w:rsid w:val="008749A8"/>
    <w:rsid w:val="00874A3C"/>
    <w:rsid w:val="00874B75"/>
    <w:rsid w:val="00874FF2"/>
    <w:rsid w:val="00875173"/>
    <w:rsid w:val="00875549"/>
    <w:rsid w:val="008757DE"/>
    <w:rsid w:val="008760AB"/>
    <w:rsid w:val="0087632D"/>
    <w:rsid w:val="008763B4"/>
    <w:rsid w:val="00881E6F"/>
    <w:rsid w:val="00881EC0"/>
    <w:rsid w:val="00881FD4"/>
    <w:rsid w:val="00883173"/>
    <w:rsid w:val="008836FB"/>
    <w:rsid w:val="008839A2"/>
    <w:rsid w:val="00883B5D"/>
    <w:rsid w:val="00883BCE"/>
    <w:rsid w:val="00883D35"/>
    <w:rsid w:val="00884052"/>
    <w:rsid w:val="0088426A"/>
    <w:rsid w:val="0088447E"/>
    <w:rsid w:val="00884777"/>
    <w:rsid w:val="00884FD7"/>
    <w:rsid w:val="00884FDA"/>
    <w:rsid w:val="0088523F"/>
    <w:rsid w:val="00885285"/>
    <w:rsid w:val="00885497"/>
    <w:rsid w:val="00885676"/>
    <w:rsid w:val="00885CA7"/>
    <w:rsid w:val="00885DB8"/>
    <w:rsid w:val="00886162"/>
    <w:rsid w:val="00886492"/>
    <w:rsid w:val="00886E5B"/>
    <w:rsid w:val="00887300"/>
    <w:rsid w:val="00887CA3"/>
    <w:rsid w:val="0089078F"/>
    <w:rsid w:val="008907CD"/>
    <w:rsid w:val="0089080C"/>
    <w:rsid w:val="0089092C"/>
    <w:rsid w:val="00890EB2"/>
    <w:rsid w:val="00891186"/>
    <w:rsid w:val="008918F7"/>
    <w:rsid w:val="00891E1C"/>
    <w:rsid w:val="00891E41"/>
    <w:rsid w:val="00891F43"/>
    <w:rsid w:val="0089241E"/>
    <w:rsid w:val="00892491"/>
    <w:rsid w:val="00892AD0"/>
    <w:rsid w:val="00892BD8"/>
    <w:rsid w:val="00892CAB"/>
    <w:rsid w:val="00892CE2"/>
    <w:rsid w:val="00893411"/>
    <w:rsid w:val="00893A3C"/>
    <w:rsid w:val="008943EA"/>
    <w:rsid w:val="008945D3"/>
    <w:rsid w:val="00894D49"/>
    <w:rsid w:val="00894EB4"/>
    <w:rsid w:val="00895FDD"/>
    <w:rsid w:val="00896A1D"/>
    <w:rsid w:val="00896A6F"/>
    <w:rsid w:val="008979E0"/>
    <w:rsid w:val="00897A2E"/>
    <w:rsid w:val="008A0300"/>
    <w:rsid w:val="008A033B"/>
    <w:rsid w:val="008A1020"/>
    <w:rsid w:val="008A10D4"/>
    <w:rsid w:val="008A174E"/>
    <w:rsid w:val="008A1BFF"/>
    <w:rsid w:val="008A2D56"/>
    <w:rsid w:val="008A2E9F"/>
    <w:rsid w:val="008A3361"/>
    <w:rsid w:val="008A33C7"/>
    <w:rsid w:val="008A3CCD"/>
    <w:rsid w:val="008A426D"/>
    <w:rsid w:val="008A4311"/>
    <w:rsid w:val="008A49A5"/>
    <w:rsid w:val="008A4BCF"/>
    <w:rsid w:val="008A4DAF"/>
    <w:rsid w:val="008A545F"/>
    <w:rsid w:val="008A55AC"/>
    <w:rsid w:val="008A58C7"/>
    <w:rsid w:val="008A5DED"/>
    <w:rsid w:val="008A5F55"/>
    <w:rsid w:val="008A631F"/>
    <w:rsid w:val="008A637F"/>
    <w:rsid w:val="008A6B7C"/>
    <w:rsid w:val="008A6BDF"/>
    <w:rsid w:val="008A6FDF"/>
    <w:rsid w:val="008A75A2"/>
    <w:rsid w:val="008A7814"/>
    <w:rsid w:val="008A7ADB"/>
    <w:rsid w:val="008A7FB3"/>
    <w:rsid w:val="008B0129"/>
    <w:rsid w:val="008B06A2"/>
    <w:rsid w:val="008B0AA5"/>
    <w:rsid w:val="008B0CBC"/>
    <w:rsid w:val="008B0E16"/>
    <w:rsid w:val="008B17A7"/>
    <w:rsid w:val="008B19B0"/>
    <w:rsid w:val="008B1F1E"/>
    <w:rsid w:val="008B1F48"/>
    <w:rsid w:val="008B2341"/>
    <w:rsid w:val="008B255F"/>
    <w:rsid w:val="008B26D3"/>
    <w:rsid w:val="008B30FC"/>
    <w:rsid w:val="008B3A5E"/>
    <w:rsid w:val="008B3D16"/>
    <w:rsid w:val="008B466E"/>
    <w:rsid w:val="008B4C65"/>
    <w:rsid w:val="008B4F49"/>
    <w:rsid w:val="008B54E0"/>
    <w:rsid w:val="008B55D3"/>
    <w:rsid w:val="008B5777"/>
    <w:rsid w:val="008B5CA7"/>
    <w:rsid w:val="008B6326"/>
    <w:rsid w:val="008B6B2C"/>
    <w:rsid w:val="008B771F"/>
    <w:rsid w:val="008B79F8"/>
    <w:rsid w:val="008C0069"/>
    <w:rsid w:val="008C02A3"/>
    <w:rsid w:val="008C0507"/>
    <w:rsid w:val="008C0985"/>
    <w:rsid w:val="008C0E80"/>
    <w:rsid w:val="008C1256"/>
    <w:rsid w:val="008C134F"/>
    <w:rsid w:val="008C1446"/>
    <w:rsid w:val="008C188E"/>
    <w:rsid w:val="008C22CA"/>
    <w:rsid w:val="008C3DCF"/>
    <w:rsid w:val="008C402F"/>
    <w:rsid w:val="008C4054"/>
    <w:rsid w:val="008C4BD3"/>
    <w:rsid w:val="008C4F56"/>
    <w:rsid w:val="008C5453"/>
    <w:rsid w:val="008C55EA"/>
    <w:rsid w:val="008C583A"/>
    <w:rsid w:val="008C5C79"/>
    <w:rsid w:val="008C5F2C"/>
    <w:rsid w:val="008C5F89"/>
    <w:rsid w:val="008C6457"/>
    <w:rsid w:val="008C6B9E"/>
    <w:rsid w:val="008C755B"/>
    <w:rsid w:val="008D00CC"/>
    <w:rsid w:val="008D0DAD"/>
    <w:rsid w:val="008D0FE1"/>
    <w:rsid w:val="008D1424"/>
    <w:rsid w:val="008D2307"/>
    <w:rsid w:val="008D271E"/>
    <w:rsid w:val="008D2A58"/>
    <w:rsid w:val="008D2D3C"/>
    <w:rsid w:val="008D3271"/>
    <w:rsid w:val="008D3773"/>
    <w:rsid w:val="008D3CC2"/>
    <w:rsid w:val="008D4193"/>
    <w:rsid w:val="008D4327"/>
    <w:rsid w:val="008D4A18"/>
    <w:rsid w:val="008D4BE3"/>
    <w:rsid w:val="008D64DF"/>
    <w:rsid w:val="008D670D"/>
    <w:rsid w:val="008D747A"/>
    <w:rsid w:val="008D7546"/>
    <w:rsid w:val="008D7710"/>
    <w:rsid w:val="008D7A58"/>
    <w:rsid w:val="008E0071"/>
    <w:rsid w:val="008E0096"/>
    <w:rsid w:val="008E0573"/>
    <w:rsid w:val="008E06D7"/>
    <w:rsid w:val="008E0EB8"/>
    <w:rsid w:val="008E0F9D"/>
    <w:rsid w:val="008E1033"/>
    <w:rsid w:val="008E108A"/>
    <w:rsid w:val="008E1555"/>
    <w:rsid w:val="008E19EE"/>
    <w:rsid w:val="008E1A8E"/>
    <w:rsid w:val="008E1CE0"/>
    <w:rsid w:val="008E2225"/>
    <w:rsid w:val="008E2C00"/>
    <w:rsid w:val="008E3015"/>
    <w:rsid w:val="008E3314"/>
    <w:rsid w:val="008E3876"/>
    <w:rsid w:val="008E3B78"/>
    <w:rsid w:val="008E3CCF"/>
    <w:rsid w:val="008E3F0F"/>
    <w:rsid w:val="008E43B7"/>
    <w:rsid w:val="008E4431"/>
    <w:rsid w:val="008E4432"/>
    <w:rsid w:val="008E44C9"/>
    <w:rsid w:val="008E47DC"/>
    <w:rsid w:val="008E4A87"/>
    <w:rsid w:val="008E57C4"/>
    <w:rsid w:val="008E5847"/>
    <w:rsid w:val="008E5941"/>
    <w:rsid w:val="008E5D6F"/>
    <w:rsid w:val="008E61B4"/>
    <w:rsid w:val="008E635E"/>
    <w:rsid w:val="008E6606"/>
    <w:rsid w:val="008E6739"/>
    <w:rsid w:val="008E6AF8"/>
    <w:rsid w:val="008E6C6F"/>
    <w:rsid w:val="008E6CC6"/>
    <w:rsid w:val="008E6CC9"/>
    <w:rsid w:val="008E70BF"/>
    <w:rsid w:val="008E718E"/>
    <w:rsid w:val="008F0129"/>
    <w:rsid w:val="008F0819"/>
    <w:rsid w:val="008F0B6D"/>
    <w:rsid w:val="008F14DA"/>
    <w:rsid w:val="008F1546"/>
    <w:rsid w:val="008F1597"/>
    <w:rsid w:val="008F1615"/>
    <w:rsid w:val="008F1B3B"/>
    <w:rsid w:val="008F1C2D"/>
    <w:rsid w:val="008F22B5"/>
    <w:rsid w:val="008F25DA"/>
    <w:rsid w:val="008F296B"/>
    <w:rsid w:val="008F389E"/>
    <w:rsid w:val="008F3C57"/>
    <w:rsid w:val="008F41EC"/>
    <w:rsid w:val="008F43D5"/>
    <w:rsid w:val="008F45F3"/>
    <w:rsid w:val="008F47CC"/>
    <w:rsid w:val="008F5722"/>
    <w:rsid w:val="008F589D"/>
    <w:rsid w:val="008F5907"/>
    <w:rsid w:val="008F5E1F"/>
    <w:rsid w:val="008F656A"/>
    <w:rsid w:val="008F67A7"/>
    <w:rsid w:val="008F6CC9"/>
    <w:rsid w:val="008F6DDE"/>
    <w:rsid w:val="008F6DEE"/>
    <w:rsid w:val="008F6E12"/>
    <w:rsid w:val="008F71D8"/>
    <w:rsid w:val="008F7970"/>
    <w:rsid w:val="008F7C53"/>
    <w:rsid w:val="008F7F3F"/>
    <w:rsid w:val="008F7FA6"/>
    <w:rsid w:val="009001CA"/>
    <w:rsid w:val="00900406"/>
    <w:rsid w:val="00900CD9"/>
    <w:rsid w:val="00901088"/>
    <w:rsid w:val="00901171"/>
    <w:rsid w:val="00901641"/>
    <w:rsid w:val="0090178E"/>
    <w:rsid w:val="00901C28"/>
    <w:rsid w:val="00901D81"/>
    <w:rsid w:val="00902C84"/>
    <w:rsid w:val="00902D63"/>
    <w:rsid w:val="00904621"/>
    <w:rsid w:val="00904B6F"/>
    <w:rsid w:val="00904C97"/>
    <w:rsid w:val="00904EA7"/>
    <w:rsid w:val="0090513D"/>
    <w:rsid w:val="009054AB"/>
    <w:rsid w:val="00905530"/>
    <w:rsid w:val="009056EE"/>
    <w:rsid w:val="0090581E"/>
    <w:rsid w:val="00905E5B"/>
    <w:rsid w:val="00905E66"/>
    <w:rsid w:val="0090618E"/>
    <w:rsid w:val="0090620D"/>
    <w:rsid w:val="0090624B"/>
    <w:rsid w:val="009062CD"/>
    <w:rsid w:val="00906314"/>
    <w:rsid w:val="009064BA"/>
    <w:rsid w:val="00906BE7"/>
    <w:rsid w:val="00906E6E"/>
    <w:rsid w:val="00906E9B"/>
    <w:rsid w:val="0090724F"/>
    <w:rsid w:val="00907B58"/>
    <w:rsid w:val="0091002F"/>
    <w:rsid w:val="00910345"/>
    <w:rsid w:val="00910810"/>
    <w:rsid w:val="009119DB"/>
    <w:rsid w:val="0091229D"/>
    <w:rsid w:val="00913A18"/>
    <w:rsid w:val="00913FAF"/>
    <w:rsid w:val="00914307"/>
    <w:rsid w:val="009143A9"/>
    <w:rsid w:val="009143C7"/>
    <w:rsid w:val="0091440A"/>
    <w:rsid w:val="009144AD"/>
    <w:rsid w:val="0091452C"/>
    <w:rsid w:val="00914DFD"/>
    <w:rsid w:val="00914E62"/>
    <w:rsid w:val="0091528E"/>
    <w:rsid w:val="0091569F"/>
    <w:rsid w:val="00915768"/>
    <w:rsid w:val="00916466"/>
    <w:rsid w:val="00916542"/>
    <w:rsid w:val="009166FF"/>
    <w:rsid w:val="00916D52"/>
    <w:rsid w:val="009173E0"/>
    <w:rsid w:val="00917595"/>
    <w:rsid w:val="009178E8"/>
    <w:rsid w:val="00917DA3"/>
    <w:rsid w:val="009206C0"/>
    <w:rsid w:val="0092093C"/>
    <w:rsid w:val="00920C6A"/>
    <w:rsid w:val="00920C9B"/>
    <w:rsid w:val="00920D4A"/>
    <w:rsid w:val="00920E2F"/>
    <w:rsid w:val="0092110A"/>
    <w:rsid w:val="0092152F"/>
    <w:rsid w:val="00922A16"/>
    <w:rsid w:val="00922BE1"/>
    <w:rsid w:val="009231FF"/>
    <w:rsid w:val="00923394"/>
    <w:rsid w:val="00924957"/>
    <w:rsid w:val="0092497E"/>
    <w:rsid w:val="00924E0D"/>
    <w:rsid w:val="0092503A"/>
    <w:rsid w:val="0092567A"/>
    <w:rsid w:val="0092567F"/>
    <w:rsid w:val="00925AA1"/>
    <w:rsid w:val="00925CB4"/>
    <w:rsid w:val="00925DA9"/>
    <w:rsid w:val="00926381"/>
    <w:rsid w:val="0092677C"/>
    <w:rsid w:val="00926BE2"/>
    <w:rsid w:val="00927155"/>
    <w:rsid w:val="00927211"/>
    <w:rsid w:val="00927468"/>
    <w:rsid w:val="00927769"/>
    <w:rsid w:val="00927C02"/>
    <w:rsid w:val="0093082F"/>
    <w:rsid w:val="00930FC0"/>
    <w:rsid w:val="009318DE"/>
    <w:rsid w:val="009321E4"/>
    <w:rsid w:val="00932625"/>
    <w:rsid w:val="0093266C"/>
    <w:rsid w:val="00932CE9"/>
    <w:rsid w:val="00932F13"/>
    <w:rsid w:val="00933939"/>
    <w:rsid w:val="00933A64"/>
    <w:rsid w:val="00933F7D"/>
    <w:rsid w:val="0093401A"/>
    <w:rsid w:val="0093433C"/>
    <w:rsid w:val="00934F90"/>
    <w:rsid w:val="009351EB"/>
    <w:rsid w:val="009357B9"/>
    <w:rsid w:val="00935BA9"/>
    <w:rsid w:val="00935CA3"/>
    <w:rsid w:val="00935F36"/>
    <w:rsid w:val="00936095"/>
    <w:rsid w:val="0093615D"/>
    <w:rsid w:val="00936205"/>
    <w:rsid w:val="00936D97"/>
    <w:rsid w:val="0093710B"/>
    <w:rsid w:val="009373B4"/>
    <w:rsid w:val="009373E5"/>
    <w:rsid w:val="009376B0"/>
    <w:rsid w:val="00937A37"/>
    <w:rsid w:val="00937CF2"/>
    <w:rsid w:val="009401E6"/>
    <w:rsid w:val="00940FD3"/>
    <w:rsid w:val="009412C9"/>
    <w:rsid w:val="009414F8"/>
    <w:rsid w:val="0094172F"/>
    <w:rsid w:val="00941A11"/>
    <w:rsid w:val="00942263"/>
    <w:rsid w:val="009423C7"/>
    <w:rsid w:val="00942506"/>
    <w:rsid w:val="00942742"/>
    <w:rsid w:val="00942CF5"/>
    <w:rsid w:val="009430AD"/>
    <w:rsid w:val="00943CCA"/>
    <w:rsid w:val="00943CD1"/>
    <w:rsid w:val="00944155"/>
    <w:rsid w:val="00944171"/>
    <w:rsid w:val="00944353"/>
    <w:rsid w:val="00944377"/>
    <w:rsid w:val="0094453E"/>
    <w:rsid w:val="009451CD"/>
    <w:rsid w:val="009453F8"/>
    <w:rsid w:val="0094549E"/>
    <w:rsid w:val="009454D0"/>
    <w:rsid w:val="009465F6"/>
    <w:rsid w:val="00946BBF"/>
    <w:rsid w:val="00946E82"/>
    <w:rsid w:val="0094751D"/>
    <w:rsid w:val="009477D6"/>
    <w:rsid w:val="00947F6D"/>
    <w:rsid w:val="00950467"/>
    <w:rsid w:val="00950B91"/>
    <w:rsid w:val="00950DB4"/>
    <w:rsid w:val="00950EEE"/>
    <w:rsid w:val="0095115B"/>
    <w:rsid w:val="0095115C"/>
    <w:rsid w:val="009512EA"/>
    <w:rsid w:val="009518FB"/>
    <w:rsid w:val="00951BD4"/>
    <w:rsid w:val="00952460"/>
    <w:rsid w:val="009537C3"/>
    <w:rsid w:val="00953874"/>
    <w:rsid w:val="00953A84"/>
    <w:rsid w:val="00954194"/>
    <w:rsid w:val="00954A92"/>
    <w:rsid w:val="00954CC0"/>
    <w:rsid w:val="00954CDA"/>
    <w:rsid w:val="00954D55"/>
    <w:rsid w:val="00955578"/>
    <w:rsid w:val="009559E9"/>
    <w:rsid w:val="00955D44"/>
    <w:rsid w:val="009567BD"/>
    <w:rsid w:val="00956DFD"/>
    <w:rsid w:val="00957874"/>
    <w:rsid w:val="00960204"/>
    <w:rsid w:val="00960245"/>
    <w:rsid w:val="009603EE"/>
    <w:rsid w:val="00960D28"/>
    <w:rsid w:val="00960DA2"/>
    <w:rsid w:val="00961A75"/>
    <w:rsid w:val="00961C48"/>
    <w:rsid w:val="009620B2"/>
    <w:rsid w:val="00962F29"/>
    <w:rsid w:val="0096334C"/>
    <w:rsid w:val="009638F7"/>
    <w:rsid w:val="00963959"/>
    <w:rsid w:val="0096412D"/>
    <w:rsid w:val="009646B1"/>
    <w:rsid w:val="009647FF"/>
    <w:rsid w:val="00964890"/>
    <w:rsid w:val="00964F4A"/>
    <w:rsid w:val="0096595F"/>
    <w:rsid w:val="00965EFF"/>
    <w:rsid w:val="00965F7F"/>
    <w:rsid w:val="00966775"/>
    <w:rsid w:val="0096691C"/>
    <w:rsid w:val="00967321"/>
    <w:rsid w:val="00967B3B"/>
    <w:rsid w:val="00967CAD"/>
    <w:rsid w:val="00967F87"/>
    <w:rsid w:val="009707B4"/>
    <w:rsid w:val="0097142E"/>
    <w:rsid w:val="009717B6"/>
    <w:rsid w:val="0097186A"/>
    <w:rsid w:val="009719F6"/>
    <w:rsid w:val="00971BF7"/>
    <w:rsid w:val="0097255E"/>
    <w:rsid w:val="00972917"/>
    <w:rsid w:val="0097404B"/>
    <w:rsid w:val="00974641"/>
    <w:rsid w:val="00974731"/>
    <w:rsid w:val="009747B1"/>
    <w:rsid w:val="00974906"/>
    <w:rsid w:val="00974A15"/>
    <w:rsid w:val="00974CE2"/>
    <w:rsid w:val="00975768"/>
    <w:rsid w:val="009757C1"/>
    <w:rsid w:val="00975F3C"/>
    <w:rsid w:val="0097652D"/>
    <w:rsid w:val="009772F1"/>
    <w:rsid w:val="009773B7"/>
    <w:rsid w:val="0097774A"/>
    <w:rsid w:val="00977769"/>
    <w:rsid w:val="009779CC"/>
    <w:rsid w:val="00977E73"/>
    <w:rsid w:val="00977FD2"/>
    <w:rsid w:val="0098033C"/>
    <w:rsid w:val="00980781"/>
    <w:rsid w:val="00980DE5"/>
    <w:rsid w:val="009812E2"/>
    <w:rsid w:val="00981835"/>
    <w:rsid w:val="00981BEB"/>
    <w:rsid w:val="00981BF8"/>
    <w:rsid w:val="00981D21"/>
    <w:rsid w:val="009822AD"/>
    <w:rsid w:val="00982868"/>
    <w:rsid w:val="00982B0D"/>
    <w:rsid w:val="00982CF9"/>
    <w:rsid w:val="00982E8C"/>
    <w:rsid w:val="00982FD5"/>
    <w:rsid w:val="00983237"/>
    <w:rsid w:val="0098330A"/>
    <w:rsid w:val="009834E1"/>
    <w:rsid w:val="00983538"/>
    <w:rsid w:val="0098353A"/>
    <w:rsid w:val="009836A5"/>
    <w:rsid w:val="0098432F"/>
    <w:rsid w:val="00984B47"/>
    <w:rsid w:val="009856F1"/>
    <w:rsid w:val="00985716"/>
    <w:rsid w:val="0098597D"/>
    <w:rsid w:val="00985A2E"/>
    <w:rsid w:val="009869FD"/>
    <w:rsid w:val="00986A2D"/>
    <w:rsid w:val="00986B24"/>
    <w:rsid w:val="00986DE5"/>
    <w:rsid w:val="00987115"/>
    <w:rsid w:val="0098747B"/>
    <w:rsid w:val="00987879"/>
    <w:rsid w:val="009879EB"/>
    <w:rsid w:val="00987C51"/>
    <w:rsid w:val="00990EB3"/>
    <w:rsid w:val="00990ED4"/>
    <w:rsid w:val="00991294"/>
    <w:rsid w:val="00991437"/>
    <w:rsid w:val="009915DA"/>
    <w:rsid w:val="009916A5"/>
    <w:rsid w:val="00991880"/>
    <w:rsid w:val="00991A8C"/>
    <w:rsid w:val="00991E09"/>
    <w:rsid w:val="00991EA9"/>
    <w:rsid w:val="00992781"/>
    <w:rsid w:val="00993453"/>
    <w:rsid w:val="0099354A"/>
    <w:rsid w:val="00993750"/>
    <w:rsid w:val="0099377F"/>
    <w:rsid w:val="00993874"/>
    <w:rsid w:val="00993FB5"/>
    <w:rsid w:val="00995567"/>
    <w:rsid w:val="0099565E"/>
    <w:rsid w:val="00995915"/>
    <w:rsid w:val="00996294"/>
    <w:rsid w:val="009964B6"/>
    <w:rsid w:val="009978AA"/>
    <w:rsid w:val="009979D8"/>
    <w:rsid w:val="00997A5B"/>
    <w:rsid w:val="009A0104"/>
    <w:rsid w:val="009A035D"/>
    <w:rsid w:val="009A0463"/>
    <w:rsid w:val="009A0A22"/>
    <w:rsid w:val="009A0F4B"/>
    <w:rsid w:val="009A110B"/>
    <w:rsid w:val="009A15EE"/>
    <w:rsid w:val="009A2538"/>
    <w:rsid w:val="009A2C6C"/>
    <w:rsid w:val="009A49AC"/>
    <w:rsid w:val="009A4D96"/>
    <w:rsid w:val="009A5355"/>
    <w:rsid w:val="009A56B4"/>
    <w:rsid w:val="009A59D6"/>
    <w:rsid w:val="009A6307"/>
    <w:rsid w:val="009A6563"/>
    <w:rsid w:val="009A6FA0"/>
    <w:rsid w:val="009A7508"/>
    <w:rsid w:val="009A7747"/>
    <w:rsid w:val="009A7A09"/>
    <w:rsid w:val="009A7E12"/>
    <w:rsid w:val="009B005D"/>
    <w:rsid w:val="009B0669"/>
    <w:rsid w:val="009B09B5"/>
    <w:rsid w:val="009B0C7C"/>
    <w:rsid w:val="009B0D4B"/>
    <w:rsid w:val="009B1311"/>
    <w:rsid w:val="009B184D"/>
    <w:rsid w:val="009B18C0"/>
    <w:rsid w:val="009B1C0C"/>
    <w:rsid w:val="009B1C96"/>
    <w:rsid w:val="009B1DB6"/>
    <w:rsid w:val="009B1ECA"/>
    <w:rsid w:val="009B286F"/>
    <w:rsid w:val="009B2E7F"/>
    <w:rsid w:val="009B3081"/>
    <w:rsid w:val="009B330C"/>
    <w:rsid w:val="009B34C6"/>
    <w:rsid w:val="009B3785"/>
    <w:rsid w:val="009B3816"/>
    <w:rsid w:val="009B3C8A"/>
    <w:rsid w:val="009B4017"/>
    <w:rsid w:val="009B44BF"/>
    <w:rsid w:val="009B45CD"/>
    <w:rsid w:val="009B4762"/>
    <w:rsid w:val="009B4CAF"/>
    <w:rsid w:val="009B4CD2"/>
    <w:rsid w:val="009B4D6E"/>
    <w:rsid w:val="009B507F"/>
    <w:rsid w:val="009B5716"/>
    <w:rsid w:val="009B5B11"/>
    <w:rsid w:val="009B5BDD"/>
    <w:rsid w:val="009B5D74"/>
    <w:rsid w:val="009B5F37"/>
    <w:rsid w:val="009B601D"/>
    <w:rsid w:val="009B64D5"/>
    <w:rsid w:val="009B650F"/>
    <w:rsid w:val="009B6601"/>
    <w:rsid w:val="009B6D81"/>
    <w:rsid w:val="009B6F27"/>
    <w:rsid w:val="009B7734"/>
    <w:rsid w:val="009B77B6"/>
    <w:rsid w:val="009B7C0A"/>
    <w:rsid w:val="009B7CF6"/>
    <w:rsid w:val="009C0836"/>
    <w:rsid w:val="009C0872"/>
    <w:rsid w:val="009C0A80"/>
    <w:rsid w:val="009C0A85"/>
    <w:rsid w:val="009C0C02"/>
    <w:rsid w:val="009C0CE6"/>
    <w:rsid w:val="009C133D"/>
    <w:rsid w:val="009C17F5"/>
    <w:rsid w:val="009C1990"/>
    <w:rsid w:val="009C1C24"/>
    <w:rsid w:val="009C24E7"/>
    <w:rsid w:val="009C2939"/>
    <w:rsid w:val="009C414E"/>
    <w:rsid w:val="009C429E"/>
    <w:rsid w:val="009C43B9"/>
    <w:rsid w:val="009C46B1"/>
    <w:rsid w:val="009C48B0"/>
    <w:rsid w:val="009C4AC0"/>
    <w:rsid w:val="009C4B6F"/>
    <w:rsid w:val="009C4EB4"/>
    <w:rsid w:val="009C5189"/>
    <w:rsid w:val="009C53A9"/>
    <w:rsid w:val="009C58B5"/>
    <w:rsid w:val="009C594F"/>
    <w:rsid w:val="009C6ADA"/>
    <w:rsid w:val="009C6C4B"/>
    <w:rsid w:val="009C6E2D"/>
    <w:rsid w:val="009C6F07"/>
    <w:rsid w:val="009C7528"/>
    <w:rsid w:val="009C75E1"/>
    <w:rsid w:val="009C7939"/>
    <w:rsid w:val="009C7B66"/>
    <w:rsid w:val="009D01EA"/>
    <w:rsid w:val="009D0228"/>
    <w:rsid w:val="009D045A"/>
    <w:rsid w:val="009D0E96"/>
    <w:rsid w:val="009D0EC4"/>
    <w:rsid w:val="009D19D8"/>
    <w:rsid w:val="009D1FBF"/>
    <w:rsid w:val="009D20F7"/>
    <w:rsid w:val="009D23CF"/>
    <w:rsid w:val="009D260E"/>
    <w:rsid w:val="009D28C7"/>
    <w:rsid w:val="009D2CE5"/>
    <w:rsid w:val="009D2D45"/>
    <w:rsid w:val="009D2E4C"/>
    <w:rsid w:val="009D2F37"/>
    <w:rsid w:val="009D2FE5"/>
    <w:rsid w:val="009D3A6B"/>
    <w:rsid w:val="009D3BA1"/>
    <w:rsid w:val="009D3C50"/>
    <w:rsid w:val="009D410D"/>
    <w:rsid w:val="009D428C"/>
    <w:rsid w:val="009D4492"/>
    <w:rsid w:val="009D4885"/>
    <w:rsid w:val="009D4E3F"/>
    <w:rsid w:val="009D58C9"/>
    <w:rsid w:val="009D6272"/>
    <w:rsid w:val="009D62BC"/>
    <w:rsid w:val="009D6565"/>
    <w:rsid w:val="009D6B98"/>
    <w:rsid w:val="009D6E62"/>
    <w:rsid w:val="009D6E9D"/>
    <w:rsid w:val="009D7666"/>
    <w:rsid w:val="009D7936"/>
    <w:rsid w:val="009D7B94"/>
    <w:rsid w:val="009D7D10"/>
    <w:rsid w:val="009E080E"/>
    <w:rsid w:val="009E0F9B"/>
    <w:rsid w:val="009E0FBE"/>
    <w:rsid w:val="009E1059"/>
    <w:rsid w:val="009E12E5"/>
    <w:rsid w:val="009E2337"/>
    <w:rsid w:val="009E264E"/>
    <w:rsid w:val="009E27BF"/>
    <w:rsid w:val="009E2A1F"/>
    <w:rsid w:val="009E308B"/>
    <w:rsid w:val="009E3496"/>
    <w:rsid w:val="009E3601"/>
    <w:rsid w:val="009E4276"/>
    <w:rsid w:val="009E4B15"/>
    <w:rsid w:val="009E4DCB"/>
    <w:rsid w:val="009E4F82"/>
    <w:rsid w:val="009E5107"/>
    <w:rsid w:val="009E524B"/>
    <w:rsid w:val="009E5B25"/>
    <w:rsid w:val="009E5BD4"/>
    <w:rsid w:val="009E6409"/>
    <w:rsid w:val="009E65F4"/>
    <w:rsid w:val="009E69D0"/>
    <w:rsid w:val="009E6A37"/>
    <w:rsid w:val="009E6A61"/>
    <w:rsid w:val="009E703E"/>
    <w:rsid w:val="009E7383"/>
    <w:rsid w:val="009E7D2A"/>
    <w:rsid w:val="009F03D4"/>
    <w:rsid w:val="009F06D5"/>
    <w:rsid w:val="009F08AC"/>
    <w:rsid w:val="009F08F7"/>
    <w:rsid w:val="009F0C37"/>
    <w:rsid w:val="009F0E7C"/>
    <w:rsid w:val="009F1175"/>
    <w:rsid w:val="009F16A5"/>
    <w:rsid w:val="009F1915"/>
    <w:rsid w:val="009F1992"/>
    <w:rsid w:val="009F1AD2"/>
    <w:rsid w:val="009F2A50"/>
    <w:rsid w:val="009F30B7"/>
    <w:rsid w:val="009F31A4"/>
    <w:rsid w:val="009F35D9"/>
    <w:rsid w:val="009F377F"/>
    <w:rsid w:val="009F42C4"/>
    <w:rsid w:val="009F473E"/>
    <w:rsid w:val="009F4B20"/>
    <w:rsid w:val="009F4D50"/>
    <w:rsid w:val="009F4F13"/>
    <w:rsid w:val="009F5222"/>
    <w:rsid w:val="009F57AF"/>
    <w:rsid w:val="009F65FE"/>
    <w:rsid w:val="009F6697"/>
    <w:rsid w:val="009F6814"/>
    <w:rsid w:val="009F6B8F"/>
    <w:rsid w:val="009F6D12"/>
    <w:rsid w:val="009F6DAB"/>
    <w:rsid w:val="009F7715"/>
    <w:rsid w:val="009F77B4"/>
    <w:rsid w:val="009F7E3F"/>
    <w:rsid w:val="00A00171"/>
    <w:rsid w:val="00A010BA"/>
    <w:rsid w:val="00A013F7"/>
    <w:rsid w:val="00A014E2"/>
    <w:rsid w:val="00A01A73"/>
    <w:rsid w:val="00A01D80"/>
    <w:rsid w:val="00A02911"/>
    <w:rsid w:val="00A02A12"/>
    <w:rsid w:val="00A03420"/>
    <w:rsid w:val="00A03426"/>
    <w:rsid w:val="00A03589"/>
    <w:rsid w:val="00A039F4"/>
    <w:rsid w:val="00A03D11"/>
    <w:rsid w:val="00A03F3B"/>
    <w:rsid w:val="00A04225"/>
    <w:rsid w:val="00A049A1"/>
    <w:rsid w:val="00A04F2F"/>
    <w:rsid w:val="00A04FD5"/>
    <w:rsid w:val="00A04FDE"/>
    <w:rsid w:val="00A057F0"/>
    <w:rsid w:val="00A058D7"/>
    <w:rsid w:val="00A06968"/>
    <w:rsid w:val="00A06EFD"/>
    <w:rsid w:val="00A07226"/>
    <w:rsid w:val="00A076E0"/>
    <w:rsid w:val="00A078FC"/>
    <w:rsid w:val="00A07D6B"/>
    <w:rsid w:val="00A07E45"/>
    <w:rsid w:val="00A104E5"/>
    <w:rsid w:val="00A10700"/>
    <w:rsid w:val="00A12211"/>
    <w:rsid w:val="00A1282B"/>
    <w:rsid w:val="00A12BCC"/>
    <w:rsid w:val="00A12CBB"/>
    <w:rsid w:val="00A13C1F"/>
    <w:rsid w:val="00A13EE5"/>
    <w:rsid w:val="00A14891"/>
    <w:rsid w:val="00A14FD7"/>
    <w:rsid w:val="00A159DD"/>
    <w:rsid w:val="00A15B8F"/>
    <w:rsid w:val="00A15BC1"/>
    <w:rsid w:val="00A163D2"/>
    <w:rsid w:val="00A168E8"/>
    <w:rsid w:val="00A1696E"/>
    <w:rsid w:val="00A16C3F"/>
    <w:rsid w:val="00A16F2D"/>
    <w:rsid w:val="00A170B3"/>
    <w:rsid w:val="00A178F7"/>
    <w:rsid w:val="00A179C4"/>
    <w:rsid w:val="00A17D37"/>
    <w:rsid w:val="00A2015F"/>
    <w:rsid w:val="00A20369"/>
    <w:rsid w:val="00A20466"/>
    <w:rsid w:val="00A208EF"/>
    <w:rsid w:val="00A21483"/>
    <w:rsid w:val="00A2180A"/>
    <w:rsid w:val="00A219C0"/>
    <w:rsid w:val="00A2224B"/>
    <w:rsid w:val="00A227CA"/>
    <w:rsid w:val="00A22920"/>
    <w:rsid w:val="00A2327B"/>
    <w:rsid w:val="00A23C4F"/>
    <w:rsid w:val="00A23E68"/>
    <w:rsid w:val="00A23EA4"/>
    <w:rsid w:val="00A23F3A"/>
    <w:rsid w:val="00A24420"/>
    <w:rsid w:val="00A24580"/>
    <w:rsid w:val="00A2466B"/>
    <w:rsid w:val="00A24EFA"/>
    <w:rsid w:val="00A252F7"/>
    <w:rsid w:val="00A25733"/>
    <w:rsid w:val="00A2616F"/>
    <w:rsid w:val="00A26556"/>
    <w:rsid w:val="00A27340"/>
    <w:rsid w:val="00A2769F"/>
    <w:rsid w:val="00A27736"/>
    <w:rsid w:val="00A27D93"/>
    <w:rsid w:val="00A27E97"/>
    <w:rsid w:val="00A300DF"/>
    <w:rsid w:val="00A3017E"/>
    <w:rsid w:val="00A30575"/>
    <w:rsid w:val="00A30F9C"/>
    <w:rsid w:val="00A3128E"/>
    <w:rsid w:val="00A3132B"/>
    <w:rsid w:val="00A315D1"/>
    <w:rsid w:val="00A317E0"/>
    <w:rsid w:val="00A317EC"/>
    <w:rsid w:val="00A318CA"/>
    <w:rsid w:val="00A31AE6"/>
    <w:rsid w:val="00A32120"/>
    <w:rsid w:val="00A3243A"/>
    <w:rsid w:val="00A3261C"/>
    <w:rsid w:val="00A32EE4"/>
    <w:rsid w:val="00A33A96"/>
    <w:rsid w:val="00A34550"/>
    <w:rsid w:val="00A34764"/>
    <w:rsid w:val="00A3497F"/>
    <w:rsid w:val="00A34BFE"/>
    <w:rsid w:val="00A34C6D"/>
    <w:rsid w:val="00A34FB7"/>
    <w:rsid w:val="00A36533"/>
    <w:rsid w:val="00A36671"/>
    <w:rsid w:val="00A367CC"/>
    <w:rsid w:val="00A4047E"/>
    <w:rsid w:val="00A40530"/>
    <w:rsid w:val="00A405CB"/>
    <w:rsid w:val="00A409EF"/>
    <w:rsid w:val="00A40AB2"/>
    <w:rsid w:val="00A413A2"/>
    <w:rsid w:val="00A41470"/>
    <w:rsid w:val="00A41A1E"/>
    <w:rsid w:val="00A41BCC"/>
    <w:rsid w:val="00A41C4D"/>
    <w:rsid w:val="00A4236C"/>
    <w:rsid w:val="00A4258D"/>
    <w:rsid w:val="00A42D2D"/>
    <w:rsid w:val="00A43B23"/>
    <w:rsid w:val="00A43BCB"/>
    <w:rsid w:val="00A43C37"/>
    <w:rsid w:val="00A441A5"/>
    <w:rsid w:val="00A44395"/>
    <w:rsid w:val="00A44FA1"/>
    <w:rsid w:val="00A452A1"/>
    <w:rsid w:val="00A4558D"/>
    <w:rsid w:val="00A459F5"/>
    <w:rsid w:val="00A45EB7"/>
    <w:rsid w:val="00A465B6"/>
    <w:rsid w:val="00A4665F"/>
    <w:rsid w:val="00A468D2"/>
    <w:rsid w:val="00A46A1B"/>
    <w:rsid w:val="00A46EE8"/>
    <w:rsid w:val="00A47A87"/>
    <w:rsid w:val="00A47C2D"/>
    <w:rsid w:val="00A50028"/>
    <w:rsid w:val="00A50827"/>
    <w:rsid w:val="00A50AE9"/>
    <w:rsid w:val="00A510AD"/>
    <w:rsid w:val="00A511FD"/>
    <w:rsid w:val="00A51267"/>
    <w:rsid w:val="00A519CD"/>
    <w:rsid w:val="00A536B3"/>
    <w:rsid w:val="00A538B2"/>
    <w:rsid w:val="00A53E77"/>
    <w:rsid w:val="00A54248"/>
    <w:rsid w:val="00A54400"/>
    <w:rsid w:val="00A546D3"/>
    <w:rsid w:val="00A55826"/>
    <w:rsid w:val="00A563EE"/>
    <w:rsid w:val="00A5658E"/>
    <w:rsid w:val="00A56731"/>
    <w:rsid w:val="00A57052"/>
    <w:rsid w:val="00A570CD"/>
    <w:rsid w:val="00A57F00"/>
    <w:rsid w:val="00A57F04"/>
    <w:rsid w:val="00A6025E"/>
    <w:rsid w:val="00A60466"/>
    <w:rsid w:val="00A60800"/>
    <w:rsid w:val="00A61101"/>
    <w:rsid w:val="00A613B2"/>
    <w:rsid w:val="00A61ADD"/>
    <w:rsid w:val="00A61B66"/>
    <w:rsid w:val="00A61D3F"/>
    <w:rsid w:val="00A61D45"/>
    <w:rsid w:val="00A61F3A"/>
    <w:rsid w:val="00A627B4"/>
    <w:rsid w:val="00A634F2"/>
    <w:rsid w:val="00A6376A"/>
    <w:rsid w:val="00A639B4"/>
    <w:rsid w:val="00A63C2E"/>
    <w:rsid w:val="00A642C5"/>
    <w:rsid w:val="00A64A64"/>
    <w:rsid w:val="00A64F47"/>
    <w:rsid w:val="00A6550E"/>
    <w:rsid w:val="00A65585"/>
    <w:rsid w:val="00A661D6"/>
    <w:rsid w:val="00A6655E"/>
    <w:rsid w:val="00A66881"/>
    <w:rsid w:val="00A669D0"/>
    <w:rsid w:val="00A66A38"/>
    <w:rsid w:val="00A676FC"/>
    <w:rsid w:val="00A67777"/>
    <w:rsid w:val="00A70804"/>
    <w:rsid w:val="00A70E04"/>
    <w:rsid w:val="00A70E2B"/>
    <w:rsid w:val="00A714C2"/>
    <w:rsid w:val="00A722D5"/>
    <w:rsid w:val="00A7243D"/>
    <w:rsid w:val="00A729AD"/>
    <w:rsid w:val="00A72D6A"/>
    <w:rsid w:val="00A731A7"/>
    <w:rsid w:val="00A735BB"/>
    <w:rsid w:val="00A737AF"/>
    <w:rsid w:val="00A73867"/>
    <w:rsid w:val="00A74454"/>
    <w:rsid w:val="00A74767"/>
    <w:rsid w:val="00A74A0E"/>
    <w:rsid w:val="00A74E2C"/>
    <w:rsid w:val="00A7506A"/>
    <w:rsid w:val="00A75140"/>
    <w:rsid w:val="00A75DE3"/>
    <w:rsid w:val="00A76354"/>
    <w:rsid w:val="00A7698C"/>
    <w:rsid w:val="00A76B61"/>
    <w:rsid w:val="00A76C2A"/>
    <w:rsid w:val="00A772A9"/>
    <w:rsid w:val="00A77352"/>
    <w:rsid w:val="00A777C5"/>
    <w:rsid w:val="00A77A63"/>
    <w:rsid w:val="00A77C1A"/>
    <w:rsid w:val="00A80061"/>
    <w:rsid w:val="00A804A3"/>
    <w:rsid w:val="00A80510"/>
    <w:rsid w:val="00A805F0"/>
    <w:rsid w:val="00A80B33"/>
    <w:rsid w:val="00A810D6"/>
    <w:rsid w:val="00A81161"/>
    <w:rsid w:val="00A81166"/>
    <w:rsid w:val="00A81187"/>
    <w:rsid w:val="00A81537"/>
    <w:rsid w:val="00A81B0E"/>
    <w:rsid w:val="00A81BC1"/>
    <w:rsid w:val="00A821F7"/>
    <w:rsid w:val="00A83279"/>
    <w:rsid w:val="00A837DA"/>
    <w:rsid w:val="00A838D3"/>
    <w:rsid w:val="00A83A05"/>
    <w:rsid w:val="00A83F3B"/>
    <w:rsid w:val="00A84A07"/>
    <w:rsid w:val="00A84C07"/>
    <w:rsid w:val="00A84CA8"/>
    <w:rsid w:val="00A84E8A"/>
    <w:rsid w:val="00A85159"/>
    <w:rsid w:val="00A853DE"/>
    <w:rsid w:val="00A85564"/>
    <w:rsid w:val="00A85634"/>
    <w:rsid w:val="00A856D9"/>
    <w:rsid w:val="00A85722"/>
    <w:rsid w:val="00A857BB"/>
    <w:rsid w:val="00A8592B"/>
    <w:rsid w:val="00A85DAF"/>
    <w:rsid w:val="00A85DB2"/>
    <w:rsid w:val="00A85E56"/>
    <w:rsid w:val="00A85F40"/>
    <w:rsid w:val="00A860A5"/>
    <w:rsid w:val="00A861B5"/>
    <w:rsid w:val="00A86415"/>
    <w:rsid w:val="00A8666D"/>
    <w:rsid w:val="00A86BA2"/>
    <w:rsid w:val="00A87352"/>
    <w:rsid w:val="00A8778F"/>
    <w:rsid w:val="00A9044F"/>
    <w:rsid w:val="00A90A23"/>
    <w:rsid w:val="00A90B54"/>
    <w:rsid w:val="00A90DDC"/>
    <w:rsid w:val="00A90DF3"/>
    <w:rsid w:val="00A91515"/>
    <w:rsid w:val="00A926A1"/>
    <w:rsid w:val="00A93A24"/>
    <w:rsid w:val="00A93DD9"/>
    <w:rsid w:val="00A940BC"/>
    <w:rsid w:val="00A94E4F"/>
    <w:rsid w:val="00A9519B"/>
    <w:rsid w:val="00A955CA"/>
    <w:rsid w:val="00A95C97"/>
    <w:rsid w:val="00A96213"/>
    <w:rsid w:val="00A96366"/>
    <w:rsid w:val="00A96596"/>
    <w:rsid w:val="00A9661C"/>
    <w:rsid w:val="00A966D8"/>
    <w:rsid w:val="00A96A62"/>
    <w:rsid w:val="00A96B0B"/>
    <w:rsid w:val="00A96EED"/>
    <w:rsid w:val="00A97F7F"/>
    <w:rsid w:val="00AA03F3"/>
    <w:rsid w:val="00AA047D"/>
    <w:rsid w:val="00AA08BC"/>
    <w:rsid w:val="00AA0B15"/>
    <w:rsid w:val="00AA0B22"/>
    <w:rsid w:val="00AA1458"/>
    <w:rsid w:val="00AA17DD"/>
    <w:rsid w:val="00AA1BD0"/>
    <w:rsid w:val="00AA1E29"/>
    <w:rsid w:val="00AA256A"/>
    <w:rsid w:val="00AA259E"/>
    <w:rsid w:val="00AA25F8"/>
    <w:rsid w:val="00AA2DF7"/>
    <w:rsid w:val="00AA3762"/>
    <w:rsid w:val="00AA3BC3"/>
    <w:rsid w:val="00AA3EBC"/>
    <w:rsid w:val="00AA48A6"/>
    <w:rsid w:val="00AA4C16"/>
    <w:rsid w:val="00AA4C5D"/>
    <w:rsid w:val="00AA4DE8"/>
    <w:rsid w:val="00AA5154"/>
    <w:rsid w:val="00AA566C"/>
    <w:rsid w:val="00AA5733"/>
    <w:rsid w:val="00AA59DE"/>
    <w:rsid w:val="00AA646F"/>
    <w:rsid w:val="00AA67CE"/>
    <w:rsid w:val="00AA67EC"/>
    <w:rsid w:val="00AA6953"/>
    <w:rsid w:val="00AA6A99"/>
    <w:rsid w:val="00AA6BAD"/>
    <w:rsid w:val="00AA6D99"/>
    <w:rsid w:val="00AA6FA6"/>
    <w:rsid w:val="00AA7165"/>
    <w:rsid w:val="00AA7636"/>
    <w:rsid w:val="00AA772C"/>
    <w:rsid w:val="00AA7CCD"/>
    <w:rsid w:val="00AB0BCD"/>
    <w:rsid w:val="00AB0CB4"/>
    <w:rsid w:val="00AB1439"/>
    <w:rsid w:val="00AB1809"/>
    <w:rsid w:val="00AB19AB"/>
    <w:rsid w:val="00AB1CA2"/>
    <w:rsid w:val="00AB1FF7"/>
    <w:rsid w:val="00AB2023"/>
    <w:rsid w:val="00AB25A3"/>
    <w:rsid w:val="00AB29B4"/>
    <w:rsid w:val="00AB2F28"/>
    <w:rsid w:val="00AB3253"/>
    <w:rsid w:val="00AB35AD"/>
    <w:rsid w:val="00AB3973"/>
    <w:rsid w:val="00AB3E05"/>
    <w:rsid w:val="00AB43B5"/>
    <w:rsid w:val="00AB44C7"/>
    <w:rsid w:val="00AB46C6"/>
    <w:rsid w:val="00AB47AB"/>
    <w:rsid w:val="00AB4B2E"/>
    <w:rsid w:val="00AB4B63"/>
    <w:rsid w:val="00AB4D92"/>
    <w:rsid w:val="00AB4DB5"/>
    <w:rsid w:val="00AB5324"/>
    <w:rsid w:val="00AB585D"/>
    <w:rsid w:val="00AB6378"/>
    <w:rsid w:val="00AB67C8"/>
    <w:rsid w:val="00AB708C"/>
    <w:rsid w:val="00AB74BE"/>
    <w:rsid w:val="00AB76B4"/>
    <w:rsid w:val="00AB775E"/>
    <w:rsid w:val="00AC059F"/>
    <w:rsid w:val="00AC0C51"/>
    <w:rsid w:val="00AC0C52"/>
    <w:rsid w:val="00AC1DCE"/>
    <w:rsid w:val="00AC2B84"/>
    <w:rsid w:val="00AC3019"/>
    <w:rsid w:val="00AC347C"/>
    <w:rsid w:val="00AC3E67"/>
    <w:rsid w:val="00AC468E"/>
    <w:rsid w:val="00AC4C69"/>
    <w:rsid w:val="00AC512A"/>
    <w:rsid w:val="00AC5240"/>
    <w:rsid w:val="00AC52F7"/>
    <w:rsid w:val="00AC580A"/>
    <w:rsid w:val="00AC60D5"/>
    <w:rsid w:val="00AC681A"/>
    <w:rsid w:val="00AC68E8"/>
    <w:rsid w:val="00AC6C7D"/>
    <w:rsid w:val="00AC7018"/>
    <w:rsid w:val="00AC7920"/>
    <w:rsid w:val="00AD081E"/>
    <w:rsid w:val="00AD0E98"/>
    <w:rsid w:val="00AD0F0F"/>
    <w:rsid w:val="00AD1354"/>
    <w:rsid w:val="00AD135A"/>
    <w:rsid w:val="00AD1394"/>
    <w:rsid w:val="00AD1830"/>
    <w:rsid w:val="00AD23E0"/>
    <w:rsid w:val="00AD24CA"/>
    <w:rsid w:val="00AD26C1"/>
    <w:rsid w:val="00AD2B68"/>
    <w:rsid w:val="00AD2E27"/>
    <w:rsid w:val="00AD3307"/>
    <w:rsid w:val="00AD34E0"/>
    <w:rsid w:val="00AD3C05"/>
    <w:rsid w:val="00AD46C9"/>
    <w:rsid w:val="00AD4AF8"/>
    <w:rsid w:val="00AD4BD8"/>
    <w:rsid w:val="00AD5196"/>
    <w:rsid w:val="00AD5300"/>
    <w:rsid w:val="00AD560E"/>
    <w:rsid w:val="00AD56FC"/>
    <w:rsid w:val="00AD579E"/>
    <w:rsid w:val="00AD5AA7"/>
    <w:rsid w:val="00AD5BA5"/>
    <w:rsid w:val="00AD5E1B"/>
    <w:rsid w:val="00AD72CC"/>
    <w:rsid w:val="00AD75CD"/>
    <w:rsid w:val="00AD77E7"/>
    <w:rsid w:val="00AD7C01"/>
    <w:rsid w:val="00AE0114"/>
    <w:rsid w:val="00AE021F"/>
    <w:rsid w:val="00AE0A41"/>
    <w:rsid w:val="00AE0A8E"/>
    <w:rsid w:val="00AE12C4"/>
    <w:rsid w:val="00AE1369"/>
    <w:rsid w:val="00AE13D4"/>
    <w:rsid w:val="00AE1552"/>
    <w:rsid w:val="00AE18FB"/>
    <w:rsid w:val="00AE2297"/>
    <w:rsid w:val="00AE2E72"/>
    <w:rsid w:val="00AE2EB1"/>
    <w:rsid w:val="00AE2EC1"/>
    <w:rsid w:val="00AE2F58"/>
    <w:rsid w:val="00AE385B"/>
    <w:rsid w:val="00AE38F0"/>
    <w:rsid w:val="00AE39B1"/>
    <w:rsid w:val="00AE3B44"/>
    <w:rsid w:val="00AE3B70"/>
    <w:rsid w:val="00AE3C4B"/>
    <w:rsid w:val="00AE3C79"/>
    <w:rsid w:val="00AE4372"/>
    <w:rsid w:val="00AE4424"/>
    <w:rsid w:val="00AE446B"/>
    <w:rsid w:val="00AE46B1"/>
    <w:rsid w:val="00AE5191"/>
    <w:rsid w:val="00AE5266"/>
    <w:rsid w:val="00AE52C9"/>
    <w:rsid w:val="00AE5501"/>
    <w:rsid w:val="00AE5D76"/>
    <w:rsid w:val="00AE6019"/>
    <w:rsid w:val="00AE6084"/>
    <w:rsid w:val="00AE61E6"/>
    <w:rsid w:val="00AE621D"/>
    <w:rsid w:val="00AE63E9"/>
    <w:rsid w:val="00AE659F"/>
    <w:rsid w:val="00AE6659"/>
    <w:rsid w:val="00AE6894"/>
    <w:rsid w:val="00AE6C05"/>
    <w:rsid w:val="00AE700C"/>
    <w:rsid w:val="00AE7513"/>
    <w:rsid w:val="00AF034E"/>
    <w:rsid w:val="00AF043C"/>
    <w:rsid w:val="00AF063E"/>
    <w:rsid w:val="00AF0640"/>
    <w:rsid w:val="00AF0B97"/>
    <w:rsid w:val="00AF0CB5"/>
    <w:rsid w:val="00AF0D08"/>
    <w:rsid w:val="00AF0EC9"/>
    <w:rsid w:val="00AF12D0"/>
    <w:rsid w:val="00AF1734"/>
    <w:rsid w:val="00AF1AF4"/>
    <w:rsid w:val="00AF1C21"/>
    <w:rsid w:val="00AF1E0B"/>
    <w:rsid w:val="00AF2457"/>
    <w:rsid w:val="00AF24E0"/>
    <w:rsid w:val="00AF2919"/>
    <w:rsid w:val="00AF2E4A"/>
    <w:rsid w:val="00AF2E4F"/>
    <w:rsid w:val="00AF2F54"/>
    <w:rsid w:val="00AF32A8"/>
    <w:rsid w:val="00AF34EA"/>
    <w:rsid w:val="00AF3ACA"/>
    <w:rsid w:val="00AF44D4"/>
    <w:rsid w:val="00AF4980"/>
    <w:rsid w:val="00AF5600"/>
    <w:rsid w:val="00AF5A9D"/>
    <w:rsid w:val="00AF5CDC"/>
    <w:rsid w:val="00AF61F7"/>
    <w:rsid w:val="00AF6238"/>
    <w:rsid w:val="00AF62BB"/>
    <w:rsid w:val="00AF6A87"/>
    <w:rsid w:val="00AF6C4D"/>
    <w:rsid w:val="00AF6C62"/>
    <w:rsid w:val="00AF72EF"/>
    <w:rsid w:val="00AF7E63"/>
    <w:rsid w:val="00B008B1"/>
    <w:rsid w:val="00B00C87"/>
    <w:rsid w:val="00B00D8D"/>
    <w:rsid w:val="00B00DF1"/>
    <w:rsid w:val="00B0118D"/>
    <w:rsid w:val="00B01DEB"/>
    <w:rsid w:val="00B021BE"/>
    <w:rsid w:val="00B0220E"/>
    <w:rsid w:val="00B02386"/>
    <w:rsid w:val="00B0285B"/>
    <w:rsid w:val="00B02978"/>
    <w:rsid w:val="00B03032"/>
    <w:rsid w:val="00B032FF"/>
    <w:rsid w:val="00B03446"/>
    <w:rsid w:val="00B03C21"/>
    <w:rsid w:val="00B0410A"/>
    <w:rsid w:val="00B04457"/>
    <w:rsid w:val="00B049F5"/>
    <w:rsid w:val="00B0501A"/>
    <w:rsid w:val="00B050AD"/>
    <w:rsid w:val="00B053B6"/>
    <w:rsid w:val="00B05451"/>
    <w:rsid w:val="00B054A5"/>
    <w:rsid w:val="00B061C8"/>
    <w:rsid w:val="00B0667B"/>
    <w:rsid w:val="00B06A22"/>
    <w:rsid w:val="00B06AC5"/>
    <w:rsid w:val="00B06B29"/>
    <w:rsid w:val="00B06BA5"/>
    <w:rsid w:val="00B06CE0"/>
    <w:rsid w:val="00B06D6D"/>
    <w:rsid w:val="00B07B27"/>
    <w:rsid w:val="00B1018D"/>
    <w:rsid w:val="00B10794"/>
    <w:rsid w:val="00B10997"/>
    <w:rsid w:val="00B10E84"/>
    <w:rsid w:val="00B10F65"/>
    <w:rsid w:val="00B115B3"/>
    <w:rsid w:val="00B11AB8"/>
    <w:rsid w:val="00B11DE5"/>
    <w:rsid w:val="00B120AD"/>
    <w:rsid w:val="00B120EA"/>
    <w:rsid w:val="00B1241F"/>
    <w:rsid w:val="00B12443"/>
    <w:rsid w:val="00B124F5"/>
    <w:rsid w:val="00B129F5"/>
    <w:rsid w:val="00B12D74"/>
    <w:rsid w:val="00B12E12"/>
    <w:rsid w:val="00B13536"/>
    <w:rsid w:val="00B13E59"/>
    <w:rsid w:val="00B147B6"/>
    <w:rsid w:val="00B148B6"/>
    <w:rsid w:val="00B14920"/>
    <w:rsid w:val="00B14DAE"/>
    <w:rsid w:val="00B14F76"/>
    <w:rsid w:val="00B15196"/>
    <w:rsid w:val="00B15268"/>
    <w:rsid w:val="00B15577"/>
    <w:rsid w:val="00B15713"/>
    <w:rsid w:val="00B15A47"/>
    <w:rsid w:val="00B16778"/>
    <w:rsid w:val="00B16B50"/>
    <w:rsid w:val="00B16EA6"/>
    <w:rsid w:val="00B17A58"/>
    <w:rsid w:val="00B20097"/>
    <w:rsid w:val="00B203F3"/>
    <w:rsid w:val="00B2140C"/>
    <w:rsid w:val="00B2177A"/>
    <w:rsid w:val="00B219B4"/>
    <w:rsid w:val="00B219C1"/>
    <w:rsid w:val="00B219F5"/>
    <w:rsid w:val="00B22503"/>
    <w:rsid w:val="00B22AE4"/>
    <w:rsid w:val="00B22C2D"/>
    <w:rsid w:val="00B230A7"/>
    <w:rsid w:val="00B2325B"/>
    <w:rsid w:val="00B2419A"/>
    <w:rsid w:val="00B2440E"/>
    <w:rsid w:val="00B24AB5"/>
    <w:rsid w:val="00B24DED"/>
    <w:rsid w:val="00B24FA3"/>
    <w:rsid w:val="00B2500A"/>
    <w:rsid w:val="00B256F0"/>
    <w:rsid w:val="00B25EC8"/>
    <w:rsid w:val="00B25EFE"/>
    <w:rsid w:val="00B26223"/>
    <w:rsid w:val="00B275CE"/>
    <w:rsid w:val="00B277AD"/>
    <w:rsid w:val="00B27888"/>
    <w:rsid w:val="00B27952"/>
    <w:rsid w:val="00B27995"/>
    <w:rsid w:val="00B27C1F"/>
    <w:rsid w:val="00B30239"/>
    <w:rsid w:val="00B3032B"/>
    <w:rsid w:val="00B30DF9"/>
    <w:rsid w:val="00B317B4"/>
    <w:rsid w:val="00B31A6D"/>
    <w:rsid w:val="00B32397"/>
    <w:rsid w:val="00B325B9"/>
    <w:rsid w:val="00B32C79"/>
    <w:rsid w:val="00B331C1"/>
    <w:rsid w:val="00B337F1"/>
    <w:rsid w:val="00B341D7"/>
    <w:rsid w:val="00B34344"/>
    <w:rsid w:val="00B34873"/>
    <w:rsid w:val="00B34C21"/>
    <w:rsid w:val="00B35201"/>
    <w:rsid w:val="00B3534D"/>
    <w:rsid w:val="00B35C77"/>
    <w:rsid w:val="00B36B13"/>
    <w:rsid w:val="00B36D9D"/>
    <w:rsid w:val="00B36FBA"/>
    <w:rsid w:val="00B37176"/>
    <w:rsid w:val="00B374DE"/>
    <w:rsid w:val="00B378DD"/>
    <w:rsid w:val="00B37FA7"/>
    <w:rsid w:val="00B409E3"/>
    <w:rsid w:val="00B40B74"/>
    <w:rsid w:val="00B40F53"/>
    <w:rsid w:val="00B411EB"/>
    <w:rsid w:val="00B414B3"/>
    <w:rsid w:val="00B415AC"/>
    <w:rsid w:val="00B415D0"/>
    <w:rsid w:val="00B416C6"/>
    <w:rsid w:val="00B41996"/>
    <w:rsid w:val="00B41D38"/>
    <w:rsid w:val="00B42237"/>
    <w:rsid w:val="00B426E7"/>
    <w:rsid w:val="00B428BE"/>
    <w:rsid w:val="00B42B1F"/>
    <w:rsid w:val="00B42D12"/>
    <w:rsid w:val="00B42E66"/>
    <w:rsid w:val="00B431BA"/>
    <w:rsid w:val="00B43A8F"/>
    <w:rsid w:val="00B44440"/>
    <w:rsid w:val="00B44CD5"/>
    <w:rsid w:val="00B44D97"/>
    <w:rsid w:val="00B45454"/>
    <w:rsid w:val="00B4588D"/>
    <w:rsid w:val="00B45B39"/>
    <w:rsid w:val="00B46145"/>
    <w:rsid w:val="00B4645F"/>
    <w:rsid w:val="00B46B86"/>
    <w:rsid w:val="00B46CDC"/>
    <w:rsid w:val="00B46DB9"/>
    <w:rsid w:val="00B47712"/>
    <w:rsid w:val="00B501A4"/>
    <w:rsid w:val="00B501C8"/>
    <w:rsid w:val="00B503AF"/>
    <w:rsid w:val="00B51042"/>
    <w:rsid w:val="00B5152B"/>
    <w:rsid w:val="00B51609"/>
    <w:rsid w:val="00B519AC"/>
    <w:rsid w:val="00B51CEC"/>
    <w:rsid w:val="00B52012"/>
    <w:rsid w:val="00B521F9"/>
    <w:rsid w:val="00B52645"/>
    <w:rsid w:val="00B527A0"/>
    <w:rsid w:val="00B527D7"/>
    <w:rsid w:val="00B530B3"/>
    <w:rsid w:val="00B533DD"/>
    <w:rsid w:val="00B533F4"/>
    <w:rsid w:val="00B535BE"/>
    <w:rsid w:val="00B53647"/>
    <w:rsid w:val="00B539C4"/>
    <w:rsid w:val="00B53B4E"/>
    <w:rsid w:val="00B53F16"/>
    <w:rsid w:val="00B54003"/>
    <w:rsid w:val="00B54179"/>
    <w:rsid w:val="00B547E2"/>
    <w:rsid w:val="00B54AF9"/>
    <w:rsid w:val="00B54C18"/>
    <w:rsid w:val="00B54D1C"/>
    <w:rsid w:val="00B54F7F"/>
    <w:rsid w:val="00B55867"/>
    <w:rsid w:val="00B55C60"/>
    <w:rsid w:val="00B56BFA"/>
    <w:rsid w:val="00B570B2"/>
    <w:rsid w:val="00B57B99"/>
    <w:rsid w:val="00B57DE4"/>
    <w:rsid w:val="00B57F4C"/>
    <w:rsid w:val="00B601C1"/>
    <w:rsid w:val="00B608DC"/>
    <w:rsid w:val="00B60E93"/>
    <w:rsid w:val="00B60FF0"/>
    <w:rsid w:val="00B61AF8"/>
    <w:rsid w:val="00B6298E"/>
    <w:rsid w:val="00B62E39"/>
    <w:rsid w:val="00B62F07"/>
    <w:rsid w:val="00B63512"/>
    <w:rsid w:val="00B63685"/>
    <w:rsid w:val="00B637CA"/>
    <w:rsid w:val="00B63A19"/>
    <w:rsid w:val="00B63BB2"/>
    <w:rsid w:val="00B63BCA"/>
    <w:rsid w:val="00B63BDF"/>
    <w:rsid w:val="00B6480C"/>
    <w:rsid w:val="00B65477"/>
    <w:rsid w:val="00B65C37"/>
    <w:rsid w:val="00B66091"/>
    <w:rsid w:val="00B6645A"/>
    <w:rsid w:val="00B668AC"/>
    <w:rsid w:val="00B66CA5"/>
    <w:rsid w:val="00B66DD4"/>
    <w:rsid w:val="00B677F3"/>
    <w:rsid w:val="00B67B11"/>
    <w:rsid w:val="00B67ED7"/>
    <w:rsid w:val="00B70327"/>
    <w:rsid w:val="00B70373"/>
    <w:rsid w:val="00B70652"/>
    <w:rsid w:val="00B707DA"/>
    <w:rsid w:val="00B70ADD"/>
    <w:rsid w:val="00B70E60"/>
    <w:rsid w:val="00B719D8"/>
    <w:rsid w:val="00B71C08"/>
    <w:rsid w:val="00B72326"/>
    <w:rsid w:val="00B72B10"/>
    <w:rsid w:val="00B72C81"/>
    <w:rsid w:val="00B73166"/>
    <w:rsid w:val="00B738F9"/>
    <w:rsid w:val="00B73978"/>
    <w:rsid w:val="00B7404B"/>
    <w:rsid w:val="00B74953"/>
    <w:rsid w:val="00B74A78"/>
    <w:rsid w:val="00B74AAE"/>
    <w:rsid w:val="00B74B2C"/>
    <w:rsid w:val="00B7545A"/>
    <w:rsid w:val="00B75775"/>
    <w:rsid w:val="00B75C71"/>
    <w:rsid w:val="00B75C91"/>
    <w:rsid w:val="00B76A73"/>
    <w:rsid w:val="00B76B10"/>
    <w:rsid w:val="00B76CF3"/>
    <w:rsid w:val="00B76F67"/>
    <w:rsid w:val="00B76F80"/>
    <w:rsid w:val="00B76FE9"/>
    <w:rsid w:val="00B77400"/>
    <w:rsid w:val="00B77496"/>
    <w:rsid w:val="00B775DE"/>
    <w:rsid w:val="00B77762"/>
    <w:rsid w:val="00B77A26"/>
    <w:rsid w:val="00B77E99"/>
    <w:rsid w:val="00B80286"/>
    <w:rsid w:val="00B80507"/>
    <w:rsid w:val="00B80CDF"/>
    <w:rsid w:val="00B80D55"/>
    <w:rsid w:val="00B811C1"/>
    <w:rsid w:val="00B812E6"/>
    <w:rsid w:val="00B816A0"/>
    <w:rsid w:val="00B8190E"/>
    <w:rsid w:val="00B81A8C"/>
    <w:rsid w:val="00B81C00"/>
    <w:rsid w:val="00B81FEC"/>
    <w:rsid w:val="00B8209A"/>
    <w:rsid w:val="00B823E3"/>
    <w:rsid w:val="00B82662"/>
    <w:rsid w:val="00B82898"/>
    <w:rsid w:val="00B82BE2"/>
    <w:rsid w:val="00B831A0"/>
    <w:rsid w:val="00B83700"/>
    <w:rsid w:val="00B83A43"/>
    <w:rsid w:val="00B843E0"/>
    <w:rsid w:val="00B8472F"/>
    <w:rsid w:val="00B84C44"/>
    <w:rsid w:val="00B85982"/>
    <w:rsid w:val="00B85AE6"/>
    <w:rsid w:val="00B86161"/>
    <w:rsid w:val="00B86637"/>
    <w:rsid w:val="00B86B52"/>
    <w:rsid w:val="00B87772"/>
    <w:rsid w:val="00B87C6C"/>
    <w:rsid w:val="00B902BA"/>
    <w:rsid w:val="00B912EC"/>
    <w:rsid w:val="00B9139B"/>
    <w:rsid w:val="00B915FE"/>
    <w:rsid w:val="00B91A86"/>
    <w:rsid w:val="00B91BDC"/>
    <w:rsid w:val="00B92107"/>
    <w:rsid w:val="00B92333"/>
    <w:rsid w:val="00B92C80"/>
    <w:rsid w:val="00B92CCC"/>
    <w:rsid w:val="00B92F40"/>
    <w:rsid w:val="00B93CA6"/>
    <w:rsid w:val="00B93EA4"/>
    <w:rsid w:val="00B93ED2"/>
    <w:rsid w:val="00B93F26"/>
    <w:rsid w:val="00B944DC"/>
    <w:rsid w:val="00B94572"/>
    <w:rsid w:val="00B94906"/>
    <w:rsid w:val="00B9492B"/>
    <w:rsid w:val="00B959C0"/>
    <w:rsid w:val="00B9642D"/>
    <w:rsid w:val="00B964F0"/>
    <w:rsid w:val="00B96AF8"/>
    <w:rsid w:val="00B96CF5"/>
    <w:rsid w:val="00B96FA3"/>
    <w:rsid w:val="00BA0380"/>
    <w:rsid w:val="00BA07BF"/>
    <w:rsid w:val="00BA16DA"/>
    <w:rsid w:val="00BA2318"/>
    <w:rsid w:val="00BA2C4E"/>
    <w:rsid w:val="00BA2D43"/>
    <w:rsid w:val="00BA33D7"/>
    <w:rsid w:val="00BA3D56"/>
    <w:rsid w:val="00BA488C"/>
    <w:rsid w:val="00BA4932"/>
    <w:rsid w:val="00BA4FFD"/>
    <w:rsid w:val="00BA5129"/>
    <w:rsid w:val="00BA5E4A"/>
    <w:rsid w:val="00BA5EFA"/>
    <w:rsid w:val="00BA6122"/>
    <w:rsid w:val="00BA6612"/>
    <w:rsid w:val="00BA691B"/>
    <w:rsid w:val="00BA6B6D"/>
    <w:rsid w:val="00BA70C6"/>
    <w:rsid w:val="00BA7404"/>
    <w:rsid w:val="00BB06B2"/>
    <w:rsid w:val="00BB072E"/>
    <w:rsid w:val="00BB0C70"/>
    <w:rsid w:val="00BB15AA"/>
    <w:rsid w:val="00BB1848"/>
    <w:rsid w:val="00BB1C4B"/>
    <w:rsid w:val="00BB1F24"/>
    <w:rsid w:val="00BB1FFA"/>
    <w:rsid w:val="00BB22B5"/>
    <w:rsid w:val="00BB29A1"/>
    <w:rsid w:val="00BB31D7"/>
    <w:rsid w:val="00BB334A"/>
    <w:rsid w:val="00BB38FE"/>
    <w:rsid w:val="00BB41EA"/>
    <w:rsid w:val="00BB4245"/>
    <w:rsid w:val="00BB4324"/>
    <w:rsid w:val="00BB47E8"/>
    <w:rsid w:val="00BB4C97"/>
    <w:rsid w:val="00BB4D4A"/>
    <w:rsid w:val="00BB5325"/>
    <w:rsid w:val="00BB5385"/>
    <w:rsid w:val="00BB53D4"/>
    <w:rsid w:val="00BB5661"/>
    <w:rsid w:val="00BB56B1"/>
    <w:rsid w:val="00BB5731"/>
    <w:rsid w:val="00BB5B1C"/>
    <w:rsid w:val="00BB5EB7"/>
    <w:rsid w:val="00BB6570"/>
    <w:rsid w:val="00BB6A76"/>
    <w:rsid w:val="00BB6D3E"/>
    <w:rsid w:val="00BB7080"/>
    <w:rsid w:val="00BB70E0"/>
    <w:rsid w:val="00BB75FF"/>
    <w:rsid w:val="00BB774D"/>
    <w:rsid w:val="00BB7891"/>
    <w:rsid w:val="00BC0399"/>
    <w:rsid w:val="00BC0A76"/>
    <w:rsid w:val="00BC0CB5"/>
    <w:rsid w:val="00BC0ED7"/>
    <w:rsid w:val="00BC14DF"/>
    <w:rsid w:val="00BC1CAF"/>
    <w:rsid w:val="00BC1E2B"/>
    <w:rsid w:val="00BC2203"/>
    <w:rsid w:val="00BC2665"/>
    <w:rsid w:val="00BC2784"/>
    <w:rsid w:val="00BC297D"/>
    <w:rsid w:val="00BC2AC5"/>
    <w:rsid w:val="00BC2B38"/>
    <w:rsid w:val="00BC2BDC"/>
    <w:rsid w:val="00BC2DFE"/>
    <w:rsid w:val="00BC3CC1"/>
    <w:rsid w:val="00BC3DE3"/>
    <w:rsid w:val="00BC42F3"/>
    <w:rsid w:val="00BC4412"/>
    <w:rsid w:val="00BC487A"/>
    <w:rsid w:val="00BC54B5"/>
    <w:rsid w:val="00BC54B8"/>
    <w:rsid w:val="00BC57A1"/>
    <w:rsid w:val="00BC57E7"/>
    <w:rsid w:val="00BC5810"/>
    <w:rsid w:val="00BC6072"/>
    <w:rsid w:val="00BC629A"/>
    <w:rsid w:val="00BC63D1"/>
    <w:rsid w:val="00BC6682"/>
    <w:rsid w:val="00BC691C"/>
    <w:rsid w:val="00BC6B2E"/>
    <w:rsid w:val="00BC6DB8"/>
    <w:rsid w:val="00BC7907"/>
    <w:rsid w:val="00BC7EE7"/>
    <w:rsid w:val="00BC7F63"/>
    <w:rsid w:val="00BD00F7"/>
    <w:rsid w:val="00BD0931"/>
    <w:rsid w:val="00BD0C0A"/>
    <w:rsid w:val="00BD0F62"/>
    <w:rsid w:val="00BD1166"/>
    <w:rsid w:val="00BD15AA"/>
    <w:rsid w:val="00BD185A"/>
    <w:rsid w:val="00BD1BE1"/>
    <w:rsid w:val="00BD2359"/>
    <w:rsid w:val="00BD2438"/>
    <w:rsid w:val="00BD27AB"/>
    <w:rsid w:val="00BD2F64"/>
    <w:rsid w:val="00BD3319"/>
    <w:rsid w:val="00BD3338"/>
    <w:rsid w:val="00BD335E"/>
    <w:rsid w:val="00BD3ADD"/>
    <w:rsid w:val="00BD3AE5"/>
    <w:rsid w:val="00BD3B82"/>
    <w:rsid w:val="00BD3D07"/>
    <w:rsid w:val="00BD3EEA"/>
    <w:rsid w:val="00BD408E"/>
    <w:rsid w:val="00BD480C"/>
    <w:rsid w:val="00BD696C"/>
    <w:rsid w:val="00BD69C1"/>
    <w:rsid w:val="00BD71FC"/>
    <w:rsid w:val="00BD7232"/>
    <w:rsid w:val="00BD7636"/>
    <w:rsid w:val="00BD764E"/>
    <w:rsid w:val="00BD7720"/>
    <w:rsid w:val="00BD7E6B"/>
    <w:rsid w:val="00BE0396"/>
    <w:rsid w:val="00BE10E2"/>
    <w:rsid w:val="00BE22D1"/>
    <w:rsid w:val="00BE2894"/>
    <w:rsid w:val="00BE2C69"/>
    <w:rsid w:val="00BE2D8C"/>
    <w:rsid w:val="00BE32A7"/>
    <w:rsid w:val="00BE3D83"/>
    <w:rsid w:val="00BE403F"/>
    <w:rsid w:val="00BE4234"/>
    <w:rsid w:val="00BE42C5"/>
    <w:rsid w:val="00BE4548"/>
    <w:rsid w:val="00BE4A9F"/>
    <w:rsid w:val="00BE4E16"/>
    <w:rsid w:val="00BE4FD3"/>
    <w:rsid w:val="00BE5263"/>
    <w:rsid w:val="00BE53F7"/>
    <w:rsid w:val="00BE540C"/>
    <w:rsid w:val="00BE5556"/>
    <w:rsid w:val="00BE59BF"/>
    <w:rsid w:val="00BE5CB4"/>
    <w:rsid w:val="00BE61B7"/>
    <w:rsid w:val="00BE61DB"/>
    <w:rsid w:val="00BE67B3"/>
    <w:rsid w:val="00BE69AD"/>
    <w:rsid w:val="00BE69B0"/>
    <w:rsid w:val="00BE71F4"/>
    <w:rsid w:val="00BE7725"/>
    <w:rsid w:val="00BE7767"/>
    <w:rsid w:val="00BE7A14"/>
    <w:rsid w:val="00BE7A2D"/>
    <w:rsid w:val="00BF09BF"/>
    <w:rsid w:val="00BF0B47"/>
    <w:rsid w:val="00BF0E09"/>
    <w:rsid w:val="00BF104D"/>
    <w:rsid w:val="00BF11BC"/>
    <w:rsid w:val="00BF1223"/>
    <w:rsid w:val="00BF167B"/>
    <w:rsid w:val="00BF178A"/>
    <w:rsid w:val="00BF1A06"/>
    <w:rsid w:val="00BF1AEF"/>
    <w:rsid w:val="00BF1D5A"/>
    <w:rsid w:val="00BF1E33"/>
    <w:rsid w:val="00BF1E3D"/>
    <w:rsid w:val="00BF2C6F"/>
    <w:rsid w:val="00BF2EB7"/>
    <w:rsid w:val="00BF3034"/>
    <w:rsid w:val="00BF336D"/>
    <w:rsid w:val="00BF3AEE"/>
    <w:rsid w:val="00BF47D0"/>
    <w:rsid w:val="00BF4AEF"/>
    <w:rsid w:val="00BF4B25"/>
    <w:rsid w:val="00BF4C36"/>
    <w:rsid w:val="00BF551E"/>
    <w:rsid w:val="00BF562F"/>
    <w:rsid w:val="00BF608C"/>
    <w:rsid w:val="00BF617A"/>
    <w:rsid w:val="00BF64CE"/>
    <w:rsid w:val="00BF650F"/>
    <w:rsid w:val="00BF685D"/>
    <w:rsid w:val="00BF6920"/>
    <w:rsid w:val="00BF7886"/>
    <w:rsid w:val="00BF7BE4"/>
    <w:rsid w:val="00BF7F5A"/>
    <w:rsid w:val="00C00064"/>
    <w:rsid w:val="00C00453"/>
    <w:rsid w:val="00C00568"/>
    <w:rsid w:val="00C008C9"/>
    <w:rsid w:val="00C00E6D"/>
    <w:rsid w:val="00C010CE"/>
    <w:rsid w:val="00C018AB"/>
    <w:rsid w:val="00C01AAF"/>
    <w:rsid w:val="00C02069"/>
    <w:rsid w:val="00C027C0"/>
    <w:rsid w:val="00C0294F"/>
    <w:rsid w:val="00C02A15"/>
    <w:rsid w:val="00C02A99"/>
    <w:rsid w:val="00C02B1C"/>
    <w:rsid w:val="00C03031"/>
    <w:rsid w:val="00C03387"/>
    <w:rsid w:val="00C04B97"/>
    <w:rsid w:val="00C04CDD"/>
    <w:rsid w:val="00C04D09"/>
    <w:rsid w:val="00C054E5"/>
    <w:rsid w:val="00C05C5B"/>
    <w:rsid w:val="00C05EAC"/>
    <w:rsid w:val="00C0660B"/>
    <w:rsid w:val="00C06D11"/>
    <w:rsid w:val="00C06EA2"/>
    <w:rsid w:val="00C070CD"/>
    <w:rsid w:val="00C07170"/>
    <w:rsid w:val="00C0755A"/>
    <w:rsid w:val="00C077FB"/>
    <w:rsid w:val="00C07E07"/>
    <w:rsid w:val="00C07EFD"/>
    <w:rsid w:val="00C10085"/>
    <w:rsid w:val="00C10610"/>
    <w:rsid w:val="00C10739"/>
    <w:rsid w:val="00C11083"/>
    <w:rsid w:val="00C124B5"/>
    <w:rsid w:val="00C13050"/>
    <w:rsid w:val="00C1317B"/>
    <w:rsid w:val="00C1324D"/>
    <w:rsid w:val="00C132AD"/>
    <w:rsid w:val="00C138B9"/>
    <w:rsid w:val="00C139DB"/>
    <w:rsid w:val="00C141A3"/>
    <w:rsid w:val="00C149CB"/>
    <w:rsid w:val="00C14CAC"/>
    <w:rsid w:val="00C14CC0"/>
    <w:rsid w:val="00C14D39"/>
    <w:rsid w:val="00C15525"/>
    <w:rsid w:val="00C15543"/>
    <w:rsid w:val="00C15A65"/>
    <w:rsid w:val="00C15BBF"/>
    <w:rsid w:val="00C1687C"/>
    <w:rsid w:val="00C16E58"/>
    <w:rsid w:val="00C17296"/>
    <w:rsid w:val="00C1744E"/>
    <w:rsid w:val="00C1759F"/>
    <w:rsid w:val="00C17C74"/>
    <w:rsid w:val="00C17C95"/>
    <w:rsid w:val="00C201EF"/>
    <w:rsid w:val="00C20375"/>
    <w:rsid w:val="00C20964"/>
    <w:rsid w:val="00C20AF2"/>
    <w:rsid w:val="00C20D04"/>
    <w:rsid w:val="00C20FE1"/>
    <w:rsid w:val="00C2138C"/>
    <w:rsid w:val="00C228E7"/>
    <w:rsid w:val="00C22D4F"/>
    <w:rsid w:val="00C22E71"/>
    <w:rsid w:val="00C23524"/>
    <w:rsid w:val="00C23940"/>
    <w:rsid w:val="00C23D41"/>
    <w:rsid w:val="00C24824"/>
    <w:rsid w:val="00C24ABF"/>
    <w:rsid w:val="00C2500E"/>
    <w:rsid w:val="00C251FF"/>
    <w:rsid w:val="00C252B7"/>
    <w:rsid w:val="00C256FC"/>
    <w:rsid w:val="00C25A03"/>
    <w:rsid w:val="00C25ABA"/>
    <w:rsid w:val="00C25C3B"/>
    <w:rsid w:val="00C27907"/>
    <w:rsid w:val="00C27A01"/>
    <w:rsid w:val="00C27BBE"/>
    <w:rsid w:val="00C3024C"/>
    <w:rsid w:val="00C302C5"/>
    <w:rsid w:val="00C3059D"/>
    <w:rsid w:val="00C30655"/>
    <w:rsid w:val="00C30A95"/>
    <w:rsid w:val="00C30AB5"/>
    <w:rsid w:val="00C30C22"/>
    <w:rsid w:val="00C30D53"/>
    <w:rsid w:val="00C3104C"/>
    <w:rsid w:val="00C31323"/>
    <w:rsid w:val="00C31712"/>
    <w:rsid w:val="00C31946"/>
    <w:rsid w:val="00C31965"/>
    <w:rsid w:val="00C31A61"/>
    <w:rsid w:val="00C31EC4"/>
    <w:rsid w:val="00C3299F"/>
    <w:rsid w:val="00C32D1E"/>
    <w:rsid w:val="00C33835"/>
    <w:rsid w:val="00C33FE9"/>
    <w:rsid w:val="00C342BE"/>
    <w:rsid w:val="00C342DE"/>
    <w:rsid w:val="00C343E3"/>
    <w:rsid w:val="00C34CA4"/>
    <w:rsid w:val="00C34F35"/>
    <w:rsid w:val="00C351B8"/>
    <w:rsid w:val="00C35F7E"/>
    <w:rsid w:val="00C3609B"/>
    <w:rsid w:val="00C36221"/>
    <w:rsid w:val="00C363ED"/>
    <w:rsid w:val="00C364D5"/>
    <w:rsid w:val="00C37226"/>
    <w:rsid w:val="00C374B4"/>
    <w:rsid w:val="00C37532"/>
    <w:rsid w:val="00C378C8"/>
    <w:rsid w:val="00C3791F"/>
    <w:rsid w:val="00C37A3D"/>
    <w:rsid w:val="00C37CB5"/>
    <w:rsid w:val="00C40291"/>
    <w:rsid w:val="00C4053E"/>
    <w:rsid w:val="00C40943"/>
    <w:rsid w:val="00C409F2"/>
    <w:rsid w:val="00C40B12"/>
    <w:rsid w:val="00C4171E"/>
    <w:rsid w:val="00C41DCE"/>
    <w:rsid w:val="00C41F1B"/>
    <w:rsid w:val="00C426E3"/>
    <w:rsid w:val="00C4291F"/>
    <w:rsid w:val="00C42CD8"/>
    <w:rsid w:val="00C42DE0"/>
    <w:rsid w:val="00C42FCB"/>
    <w:rsid w:val="00C43264"/>
    <w:rsid w:val="00C434A3"/>
    <w:rsid w:val="00C43D54"/>
    <w:rsid w:val="00C44116"/>
    <w:rsid w:val="00C443BF"/>
    <w:rsid w:val="00C447B9"/>
    <w:rsid w:val="00C44A32"/>
    <w:rsid w:val="00C44CA9"/>
    <w:rsid w:val="00C45009"/>
    <w:rsid w:val="00C45C40"/>
    <w:rsid w:val="00C46199"/>
    <w:rsid w:val="00C46264"/>
    <w:rsid w:val="00C46E0F"/>
    <w:rsid w:val="00C47047"/>
    <w:rsid w:val="00C47A8C"/>
    <w:rsid w:val="00C500C5"/>
    <w:rsid w:val="00C50136"/>
    <w:rsid w:val="00C5035E"/>
    <w:rsid w:val="00C5067E"/>
    <w:rsid w:val="00C50693"/>
    <w:rsid w:val="00C5080F"/>
    <w:rsid w:val="00C50885"/>
    <w:rsid w:val="00C50980"/>
    <w:rsid w:val="00C50F2F"/>
    <w:rsid w:val="00C51376"/>
    <w:rsid w:val="00C51F62"/>
    <w:rsid w:val="00C52440"/>
    <w:rsid w:val="00C52467"/>
    <w:rsid w:val="00C527D9"/>
    <w:rsid w:val="00C52D53"/>
    <w:rsid w:val="00C52DC9"/>
    <w:rsid w:val="00C539D4"/>
    <w:rsid w:val="00C53B33"/>
    <w:rsid w:val="00C5403F"/>
    <w:rsid w:val="00C54744"/>
    <w:rsid w:val="00C5555B"/>
    <w:rsid w:val="00C562D2"/>
    <w:rsid w:val="00C562E4"/>
    <w:rsid w:val="00C56C3A"/>
    <w:rsid w:val="00C57A08"/>
    <w:rsid w:val="00C57B88"/>
    <w:rsid w:val="00C57C01"/>
    <w:rsid w:val="00C60B0F"/>
    <w:rsid w:val="00C61468"/>
    <w:rsid w:val="00C62115"/>
    <w:rsid w:val="00C62498"/>
    <w:rsid w:val="00C62705"/>
    <w:rsid w:val="00C62D84"/>
    <w:rsid w:val="00C62DEF"/>
    <w:rsid w:val="00C63B98"/>
    <w:rsid w:val="00C642F2"/>
    <w:rsid w:val="00C64303"/>
    <w:rsid w:val="00C64375"/>
    <w:rsid w:val="00C64784"/>
    <w:rsid w:val="00C647CC"/>
    <w:rsid w:val="00C65216"/>
    <w:rsid w:val="00C65258"/>
    <w:rsid w:val="00C65913"/>
    <w:rsid w:val="00C65E01"/>
    <w:rsid w:val="00C66547"/>
    <w:rsid w:val="00C66652"/>
    <w:rsid w:val="00C667F3"/>
    <w:rsid w:val="00C6693A"/>
    <w:rsid w:val="00C67156"/>
    <w:rsid w:val="00C675C1"/>
    <w:rsid w:val="00C67BCE"/>
    <w:rsid w:val="00C70060"/>
    <w:rsid w:val="00C7093A"/>
    <w:rsid w:val="00C70CD5"/>
    <w:rsid w:val="00C71A44"/>
    <w:rsid w:val="00C72426"/>
    <w:rsid w:val="00C72526"/>
    <w:rsid w:val="00C7297B"/>
    <w:rsid w:val="00C7298A"/>
    <w:rsid w:val="00C72D84"/>
    <w:rsid w:val="00C740DD"/>
    <w:rsid w:val="00C74EA3"/>
    <w:rsid w:val="00C7503D"/>
    <w:rsid w:val="00C751F6"/>
    <w:rsid w:val="00C75C51"/>
    <w:rsid w:val="00C75E21"/>
    <w:rsid w:val="00C75E24"/>
    <w:rsid w:val="00C75F82"/>
    <w:rsid w:val="00C763A5"/>
    <w:rsid w:val="00C76999"/>
    <w:rsid w:val="00C76D03"/>
    <w:rsid w:val="00C770FA"/>
    <w:rsid w:val="00C772F6"/>
    <w:rsid w:val="00C774C9"/>
    <w:rsid w:val="00C77870"/>
    <w:rsid w:val="00C778F5"/>
    <w:rsid w:val="00C8004C"/>
    <w:rsid w:val="00C800B9"/>
    <w:rsid w:val="00C80416"/>
    <w:rsid w:val="00C80419"/>
    <w:rsid w:val="00C8043F"/>
    <w:rsid w:val="00C804F4"/>
    <w:rsid w:val="00C81404"/>
    <w:rsid w:val="00C82915"/>
    <w:rsid w:val="00C82B7D"/>
    <w:rsid w:val="00C82FD4"/>
    <w:rsid w:val="00C83246"/>
    <w:rsid w:val="00C839DD"/>
    <w:rsid w:val="00C83E16"/>
    <w:rsid w:val="00C8469C"/>
    <w:rsid w:val="00C853E8"/>
    <w:rsid w:val="00C85AE5"/>
    <w:rsid w:val="00C85BE7"/>
    <w:rsid w:val="00C85D03"/>
    <w:rsid w:val="00C85DDB"/>
    <w:rsid w:val="00C8691F"/>
    <w:rsid w:val="00C86B58"/>
    <w:rsid w:val="00C8704C"/>
    <w:rsid w:val="00C8721F"/>
    <w:rsid w:val="00C87448"/>
    <w:rsid w:val="00C8781B"/>
    <w:rsid w:val="00C879CD"/>
    <w:rsid w:val="00C87C41"/>
    <w:rsid w:val="00C901EB"/>
    <w:rsid w:val="00C9049A"/>
    <w:rsid w:val="00C90D09"/>
    <w:rsid w:val="00C90DA2"/>
    <w:rsid w:val="00C90FDF"/>
    <w:rsid w:val="00C91935"/>
    <w:rsid w:val="00C91F4B"/>
    <w:rsid w:val="00C92250"/>
    <w:rsid w:val="00C92779"/>
    <w:rsid w:val="00C92B6A"/>
    <w:rsid w:val="00C92B74"/>
    <w:rsid w:val="00C92D33"/>
    <w:rsid w:val="00C9329E"/>
    <w:rsid w:val="00C936EA"/>
    <w:rsid w:val="00C94929"/>
    <w:rsid w:val="00C94DAA"/>
    <w:rsid w:val="00C94EA8"/>
    <w:rsid w:val="00C95521"/>
    <w:rsid w:val="00C95FB9"/>
    <w:rsid w:val="00C96481"/>
    <w:rsid w:val="00C96818"/>
    <w:rsid w:val="00C9691C"/>
    <w:rsid w:val="00C96B3F"/>
    <w:rsid w:val="00C96F8A"/>
    <w:rsid w:val="00C96FD0"/>
    <w:rsid w:val="00C972BF"/>
    <w:rsid w:val="00C9769B"/>
    <w:rsid w:val="00C97743"/>
    <w:rsid w:val="00CA02FA"/>
    <w:rsid w:val="00CA0D32"/>
    <w:rsid w:val="00CA16E1"/>
    <w:rsid w:val="00CA1D15"/>
    <w:rsid w:val="00CA1DBA"/>
    <w:rsid w:val="00CA2541"/>
    <w:rsid w:val="00CA2836"/>
    <w:rsid w:val="00CA2B92"/>
    <w:rsid w:val="00CA2E05"/>
    <w:rsid w:val="00CA2FB2"/>
    <w:rsid w:val="00CA3227"/>
    <w:rsid w:val="00CA32AC"/>
    <w:rsid w:val="00CA32D1"/>
    <w:rsid w:val="00CA3E1E"/>
    <w:rsid w:val="00CA3F92"/>
    <w:rsid w:val="00CA4BD7"/>
    <w:rsid w:val="00CA4E2F"/>
    <w:rsid w:val="00CA51A4"/>
    <w:rsid w:val="00CA5BAD"/>
    <w:rsid w:val="00CA5DCB"/>
    <w:rsid w:val="00CA6471"/>
    <w:rsid w:val="00CA6813"/>
    <w:rsid w:val="00CA703A"/>
    <w:rsid w:val="00CA74BD"/>
    <w:rsid w:val="00CA78F3"/>
    <w:rsid w:val="00CA7E8E"/>
    <w:rsid w:val="00CB01A1"/>
    <w:rsid w:val="00CB029D"/>
    <w:rsid w:val="00CB0DA3"/>
    <w:rsid w:val="00CB0FFE"/>
    <w:rsid w:val="00CB13CA"/>
    <w:rsid w:val="00CB1683"/>
    <w:rsid w:val="00CB20E5"/>
    <w:rsid w:val="00CB218F"/>
    <w:rsid w:val="00CB2257"/>
    <w:rsid w:val="00CB2ABA"/>
    <w:rsid w:val="00CB2D2A"/>
    <w:rsid w:val="00CB2E2C"/>
    <w:rsid w:val="00CB2E70"/>
    <w:rsid w:val="00CB2F38"/>
    <w:rsid w:val="00CB3376"/>
    <w:rsid w:val="00CB3827"/>
    <w:rsid w:val="00CB3A52"/>
    <w:rsid w:val="00CB3E62"/>
    <w:rsid w:val="00CB40A3"/>
    <w:rsid w:val="00CB4108"/>
    <w:rsid w:val="00CB4E2E"/>
    <w:rsid w:val="00CB54C5"/>
    <w:rsid w:val="00CB580E"/>
    <w:rsid w:val="00CB5AD8"/>
    <w:rsid w:val="00CB5FC9"/>
    <w:rsid w:val="00CB6643"/>
    <w:rsid w:val="00CB6C09"/>
    <w:rsid w:val="00CB6C74"/>
    <w:rsid w:val="00CB7082"/>
    <w:rsid w:val="00CB7315"/>
    <w:rsid w:val="00CB7D21"/>
    <w:rsid w:val="00CC0414"/>
    <w:rsid w:val="00CC04A0"/>
    <w:rsid w:val="00CC0713"/>
    <w:rsid w:val="00CC0B5D"/>
    <w:rsid w:val="00CC0BF4"/>
    <w:rsid w:val="00CC1B0F"/>
    <w:rsid w:val="00CC2565"/>
    <w:rsid w:val="00CC2FB9"/>
    <w:rsid w:val="00CC3477"/>
    <w:rsid w:val="00CC3BC5"/>
    <w:rsid w:val="00CC48FC"/>
    <w:rsid w:val="00CC4987"/>
    <w:rsid w:val="00CC4A4A"/>
    <w:rsid w:val="00CC508D"/>
    <w:rsid w:val="00CC516A"/>
    <w:rsid w:val="00CC51A4"/>
    <w:rsid w:val="00CC51F9"/>
    <w:rsid w:val="00CC541C"/>
    <w:rsid w:val="00CC5C69"/>
    <w:rsid w:val="00CC6096"/>
    <w:rsid w:val="00CC6224"/>
    <w:rsid w:val="00CC65E5"/>
    <w:rsid w:val="00CC6758"/>
    <w:rsid w:val="00CC67CF"/>
    <w:rsid w:val="00CC69A8"/>
    <w:rsid w:val="00CC7210"/>
    <w:rsid w:val="00CC7239"/>
    <w:rsid w:val="00CC76AE"/>
    <w:rsid w:val="00CD02A9"/>
    <w:rsid w:val="00CD08E6"/>
    <w:rsid w:val="00CD11D6"/>
    <w:rsid w:val="00CD1485"/>
    <w:rsid w:val="00CD1DC6"/>
    <w:rsid w:val="00CD310D"/>
    <w:rsid w:val="00CD31AC"/>
    <w:rsid w:val="00CD3997"/>
    <w:rsid w:val="00CD39A9"/>
    <w:rsid w:val="00CD3FF9"/>
    <w:rsid w:val="00CD4015"/>
    <w:rsid w:val="00CD413D"/>
    <w:rsid w:val="00CD5023"/>
    <w:rsid w:val="00CD5106"/>
    <w:rsid w:val="00CD58A1"/>
    <w:rsid w:val="00CD602B"/>
    <w:rsid w:val="00CD61A4"/>
    <w:rsid w:val="00CD62EF"/>
    <w:rsid w:val="00CD67BE"/>
    <w:rsid w:val="00CD7454"/>
    <w:rsid w:val="00CD749F"/>
    <w:rsid w:val="00CD74DC"/>
    <w:rsid w:val="00CD752F"/>
    <w:rsid w:val="00CD792D"/>
    <w:rsid w:val="00CE0622"/>
    <w:rsid w:val="00CE0AF9"/>
    <w:rsid w:val="00CE19CB"/>
    <w:rsid w:val="00CE1B97"/>
    <w:rsid w:val="00CE1C1F"/>
    <w:rsid w:val="00CE21D9"/>
    <w:rsid w:val="00CE24A2"/>
    <w:rsid w:val="00CE258A"/>
    <w:rsid w:val="00CE25C3"/>
    <w:rsid w:val="00CE2A01"/>
    <w:rsid w:val="00CE2CCD"/>
    <w:rsid w:val="00CE30C6"/>
    <w:rsid w:val="00CE3144"/>
    <w:rsid w:val="00CE3329"/>
    <w:rsid w:val="00CE3596"/>
    <w:rsid w:val="00CE3C0A"/>
    <w:rsid w:val="00CE3C73"/>
    <w:rsid w:val="00CE4214"/>
    <w:rsid w:val="00CE5528"/>
    <w:rsid w:val="00CE5B0A"/>
    <w:rsid w:val="00CE658B"/>
    <w:rsid w:val="00CE6869"/>
    <w:rsid w:val="00CE68E1"/>
    <w:rsid w:val="00CE7020"/>
    <w:rsid w:val="00CE7207"/>
    <w:rsid w:val="00CE74AF"/>
    <w:rsid w:val="00CE791A"/>
    <w:rsid w:val="00CE7A71"/>
    <w:rsid w:val="00CF003B"/>
    <w:rsid w:val="00CF03A7"/>
    <w:rsid w:val="00CF0503"/>
    <w:rsid w:val="00CF15BA"/>
    <w:rsid w:val="00CF1D71"/>
    <w:rsid w:val="00CF25BB"/>
    <w:rsid w:val="00CF2CD8"/>
    <w:rsid w:val="00CF2D65"/>
    <w:rsid w:val="00CF330C"/>
    <w:rsid w:val="00CF338C"/>
    <w:rsid w:val="00CF34C5"/>
    <w:rsid w:val="00CF3AF2"/>
    <w:rsid w:val="00CF3D19"/>
    <w:rsid w:val="00CF4505"/>
    <w:rsid w:val="00CF4A58"/>
    <w:rsid w:val="00CF56FE"/>
    <w:rsid w:val="00CF5C31"/>
    <w:rsid w:val="00CF5CD9"/>
    <w:rsid w:val="00CF601D"/>
    <w:rsid w:val="00CF6287"/>
    <w:rsid w:val="00CF649E"/>
    <w:rsid w:val="00CF667C"/>
    <w:rsid w:val="00CF6725"/>
    <w:rsid w:val="00CF6816"/>
    <w:rsid w:val="00CF6F2E"/>
    <w:rsid w:val="00CF7141"/>
    <w:rsid w:val="00CF7668"/>
    <w:rsid w:val="00CF7DCC"/>
    <w:rsid w:val="00CF7EE0"/>
    <w:rsid w:val="00D0026B"/>
    <w:rsid w:val="00D00559"/>
    <w:rsid w:val="00D005A8"/>
    <w:rsid w:val="00D00EFA"/>
    <w:rsid w:val="00D00FED"/>
    <w:rsid w:val="00D013BD"/>
    <w:rsid w:val="00D0173C"/>
    <w:rsid w:val="00D028C6"/>
    <w:rsid w:val="00D02B53"/>
    <w:rsid w:val="00D02CD7"/>
    <w:rsid w:val="00D03C2A"/>
    <w:rsid w:val="00D03E03"/>
    <w:rsid w:val="00D042A3"/>
    <w:rsid w:val="00D04899"/>
    <w:rsid w:val="00D04909"/>
    <w:rsid w:val="00D05787"/>
    <w:rsid w:val="00D05B24"/>
    <w:rsid w:val="00D062A3"/>
    <w:rsid w:val="00D064D1"/>
    <w:rsid w:val="00D06525"/>
    <w:rsid w:val="00D070BB"/>
    <w:rsid w:val="00D074B3"/>
    <w:rsid w:val="00D07A46"/>
    <w:rsid w:val="00D07CBB"/>
    <w:rsid w:val="00D07E6B"/>
    <w:rsid w:val="00D1014C"/>
    <w:rsid w:val="00D1044A"/>
    <w:rsid w:val="00D10BC6"/>
    <w:rsid w:val="00D10CA0"/>
    <w:rsid w:val="00D1143F"/>
    <w:rsid w:val="00D1190C"/>
    <w:rsid w:val="00D11DB9"/>
    <w:rsid w:val="00D11EC4"/>
    <w:rsid w:val="00D120F6"/>
    <w:rsid w:val="00D12301"/>
    <w:rsid w:val="00D12355"/>
    <w:rsid w:val="00D12537"/>
    <w:rsid w:val="00D12705"/>
    <w:rsid w:val="00D12E0B"/>
    <w:rsid w:val="00D12EF3"/>
    <w:rsid w:val="00D1317E"/>
    <w:rsid w:val="00D1323A"/>
    <w:rsid w:val="00D13357"/>
    <w:rsid w:val="00D134EA"/>
    <w:rsid w:val="00D1362F"/>
    <w:rsid w:val="00D1384D"/>
    <w:rsid w:val="00D14294"/>
    <w:rsid w:val="00D1453D"/>
    <w:rsid w:val="00D14C99"/>
    <w:rsid w:val="00D151F3"/>
    <w:rsid w:val="00D1628C"/>
    <w:rsid w:val="00D16329"/>
    <w:rsid w:val="00D16403"/>
    <w:rsid w:val="00D164B3"/>
    <w:rsid w:val="00D16A24"/>
    <w:rsid w:val="00D17991"/>
    <w:rsid w:val="00D17A29"/>
    <w:rsid w:val="00D17B82"/>
    <w:rsid w:val="00D17DE6"/>
    <w:rsid w:val="00D207CB"/>
    <w:rsid w:val="00D20F70"/>
    <w:rsid w:val="00D21C7C"/>
    <w:rsid w:val="00D21CD1"/>
    <w:rsid w:val="00D22050"/>
    <w:rsid w:val="00D223A3"/>
    <w:rsid w:val="00D22D75"/>
    <w:rsid w:val="00D22F92"/>
    <w:rsid w:val="00D233BB"/>
    <w:rsid w:val="00D23771"/>
    <w:rsid w:val="00D2437C"/>
    <w:rsid w:val="00D247B0"/>
    <w:rsid w:val="00D24937"/>
    <w:rsid w:val="00D24AD1"/>
    <w:rsid w:val="00D259F0"/>
    <w:rsid w:val="00D26018"/>
    <w:rsid w:val="00D260E2"/>
    <w:rsid w:val="00D260ED"/>
    <w:rsid w:val="00D264F5"/>
    <w:rsid w:val="00D266E8"/>
    <w:rsid w:val="00D267BA"/>
    <w:rsid w:val="00D271C6"/>
    <w:rsid w:val="00D27D42"/>
    <w:rsid w:val="00D30225"/>
    <w:rsid w:val="00D315C3"/>
    <w:rsid w:val="00D31860"/>
    <w:rsid w:val="00D31D41"/>
    <w:rsid w:val="00D323EB"/>
    <w:rsid w:val="00D32817"/>
    <w:rsid w:val="00D328AE"/>
    <w:rsid w:val="00D32BD3"/>
    <w:rsid w:val="00D33408"/>
    <w:rsid w:val="00D33C81"/>
    <w:rsid w:val="00D33FA2"/>
    <w:rsid w:val="00D3420E"/>
    <w:rsid w:val="00D34255"/>
    <w:rsid w:val="00D34A3F"/>
    <w:rsid w:val="00D34A87"/>
    <w:rsid w:val="00D3513D"/>
    <w:rsid w:val="00D353EC"/>
    <w:rsid w:val="00D357C4"/>
    <w:rsid w:val="00D35908"/>
    <w:rsid w:val="00D35D4D"/>
    <w:rsid w:val="00D36F69"/>
    <w:rsid w:val="00D37376"/>
    <w:rsid w:val="00D373B7"/>
    <w:rsid w:val="00D37774"/>
    <w:rsid w:val="00D377F9"/>
    <w:rsid w:val="00D378DB"/>
    <w:rsid w:val="00D40479"/>
    <w:rsid w:val="00D412E0"/>
    <w:rsid w:val="00D413D3"/>
    <w:rsid w:val="00D415E6"/>
    <w:rsid w:val="00D41938"/>
    <w:rsid w:val="00D42AD8"/>
    <w:rsid w:val="00D438D5"/>
    <w:rsid w:val="00D43A59"/>
    <w:rsid w:val="00D43E6D"/>
    <w:rsid w:val="00D4401D"/>
    <w:rsid w:val="00D446FA"/>
    <w:rsid w:val="00D4489A"/>
    <w:rsid w:val="00D45884"/>
    <w:rsid w:val="00D45CDB"/>
    <w:rsid w:val="00D45E3B"/>
    <w:rsid w:val="00D461E1"/>
    <w:rsid w:val="00D46819"/>
    <w:rsid w:val="00D4694D"/>
    <w:rsid w:val="00D46A3F"/>
    <w:rsid w:val="00D47463"/>
    <w:rsid w:val="00D47DAC"/>
    <w:rsid w:val="00D50214"/>
    <w:rsid w:val="00D50369"/>
    <w:rsid w:val="00D50923"/>
    <w:rsid w:val="00D50DA3"/>
    <w:rsid w:val="00D50DBE"/>
    <w:rsid w:val="00D513B6"/>
    <w:rsid w:val="00D51929"/>
    <w:rsid w:val="00D51EAE"/>
    <w:rsid w:val="00D5213A"/>
    <w:rsid w:val="00D52189"/>
    <w:rsid w:val="00D52EC4"/>
    <w:rsid w:val="00D53250"/>
    <w:rsid w:val="00D53921"/>
    <w:rsid w:val="00D54193"/>
    <w:rsid w:val="00D54701"/>
    <w:rsid w:val="00D556D4"/>
    <w:rsid w:val="00D5580C"/>
    <w:rsid w:val="00D56069"/>
    <w:rsid w:val="00D5635C"/>
    <w:rsid w:val="00D56756"/>
    <w:rsid w:val="00D568BA"/>
    <w:rsid w:val="00D56A2D"/>
    <w:rsid w:val="00D56BC7"/>
    <w:rsid w:val="00D56D50"/>
    <w:rsid w:val="00D56E34"/>
    <w:rsid w:val="00D56E4A"/>
    <w:rsid w:val="00D56E6C"/>
    <w:rsid w:val="00D57043"/>
    <w:rsid w:val="00D57F97"/>
    <w:rsid w:val="00D6007E"/>
    <w:rsid w:val="00D6015B"/>
    <w:rsid w:val="00D6087E"/>
    <w:rsid w:val="00D60D00"/>
    <w:rsid w:val="00D60DB5"/>
    <w:rsid w:val="00D60F73"/>
    <w:rsid w:val="00D61CF8"/>
    <w:rsid w:val="00D625AC"/>
    <w:rsid w:val="00D625C9"/>
    <w:rsid w:val="00D62F64"/>
    <w:rsid w:val="00D63006"/>
    <w:rsid w:val="00D63501"/>
    <w:rsid w:val="00D6389C"/>
    <w:rsid w:val="00D63936"/>
    <w:rsid w:val="00D63937"/>
    <w:rsid w:val="00D63A51"/>
    <w:rsid w:val="00D63E6A"/>
    <w:rsid w:val="00D640B1"/>
    <w:rsid w:val="00D64265"/>
    <w:rsid w:val="00D64ACC"/>
    <w:rsid w:val="00D64D90"/>
    <w:rsid w:val="00D653BD"/>
    <w:rsid w:val="00D65433"/>
    <w:rsid w:val="00D65561"/>
    <w:rsid w:val="00D66A7B"/>
    <w:rsid w:val="00D66AD1"/>
    <w:rsid w:val="00D6762D"/>
    <w:rsid w:val="00D677DB"/>
    <w:rsid w:val="00D67E3E"/>
    <w:rsid w:val="00D67FDC"/>
    <w:rsid w:val="00D706C0"/>
    <w:rsid w:val="00D70860"/>
    <w:rsid w:val="00D708A7"/>
    <w:rsid w:val="00D70BA4"/>
    <w:rsid w:val="00D70E8B"/>
    <w:rsid w:val="00D7167C"/>
    <w:rsid w:val="00D71910"/>
    <w:rsid w:val="00D71A29"/>
    <w:rsid w:val="00D71F18"/>
    <w:rsid w:val="00D73523"/>
    <w:rsid w:val="00D7362B"/>
    <w:rsid w:val="00D73C66"/>
    <w:rsid w:val="00D741AC"/>
    <w:rsid w:val="00D742EE"/>
    <w:rsid w:val="00D7459E"/>
    <w:rsid w:val="00D7469B"/>
    <w:rsid w:val="00D74B67"/>
    <w:rsid w:val="00D74F43"/>
    <w:rsid w:val="00D7528E"/>
    <w:rsid w:val="00D757AE"/>
    <w:rsid w:val="00D75DB6"/>
    <w:rsid w:val="00D76305"/>
    <w:rsid w:val="00D7708D"/>
    <w:rsid w:val="00D777A8"/>
    <w:rsid w:val="00D80B4B"/>
    <w:rsid w:val="00D81261"/>
    <w:rsid w:val="00D8132F"/>
    <w:rsid w:val="00D8142F"/>
    <w:rsid w:val="00D81577"/>
    <w:rsid w:val="00D81751"/>
    <w:rsid w:val="00D81E8D"/>
    <w:rsid w:val="00D82151"/>
    <w:rsid w:val="00D825FF"/>
    <w:rsid w:val="00D826FE"/>
    <w:rsid w:val="00D8275E"/>
    <w:rsid w:val="00D82FEC"/>
    <w:rsid w:val="00D831C3"/>
    <w:rsid w:val="00D83A4A"/>
    <w:rsid w:val="00D83EFB"/>
    <w:rsid w:val="00D841DC"/>
    <w:rsid w:val="00D845E7"/>
    <w:rsid w:val="00D84FD7"/>
    <w:rsid w:val="00D85DBE"/>
    <w:rsid w:val="00D8628E"/>
    <w:rsid w:val="00D862C6"/>
    <w:rsid w:val="00D866EA"/>
    <w:rsid w:val="00D86773"/>
    <w:rsid w:val="00D86987"/>
    <w:rsid w:val="00D86CB9"/>
    <w:rsid w:val="00D86F66"/>
    <w:rsid w:val="00D87337"/>
    <w:rsid w:val="00D873AC"/>
    <w:rsid w:val="00D874D8"/>
    <w:rsid w:val="00D87AB5"/>
    <w:rsid w:val="00D87D4B"/>
    <w:rsid w:val="00D87DAE"/>
    <w:rsid w:val="00D90126"/>
    <w:rsid w:val="00D9012A"/>
    <w:rsid w:val="00D90641"/>
    <w:rsid w:val="00D91D2B"/>
    <w:rsid w:val="00D923A6"/>
    <w:rsid w:val="00D925EB"/>
    <w:rsid w:val="00D92799"/>
    <w:rsid w:val="00D928EA"/>
    <w:rsid w:val="00D92AD5"/>
    <w:rsid w:val="00D92CB0"/>
    <w:rsid w:val="00D92FBD"/>
    <w:rsid w:val="00D932A8"/>
    <w:rsid w:val="00D943E5"/>
    <w:rsid w:val="00D9444F"/>
    <w:rsid w:val="00D947DB"/>
    <w:rsid w:val="00D94817"/>
    <w:rsid w:val="00D94AA4"/>
    <w:rsid w:val="00D9525D"/>
    <w:rsid w:val="00D96225"/>
    <w:rsid w:val="00D9645D"/>
    <w:rsid w:val="00D96573"/>
    <w:rsid w:val="00D96759"/>
    <w:rsid w:val="00D96797"/>
    <w:rsid w:val="00D967A8"/>
    <w:rsid w:val="00D96B27"/>
    <w:rsid w:val="00D96F2D"/>
    <w:rsid w:val="00D97538"/>
    <w:rsid w:val="00D97851"/>
    <w:rsid w:val="00D97A19"/>
    <w:rsid w:val="00D97E11"/>
    <w:rsid w:val="00DA07DB"/>
    <w:rsid w:val="00DA0941"/>
    <w:rsid w:val="00DA0ABD"/>
    <w:rsid w:val="00DA0B32"/>
    <w:rsid w:val="00DA122D"/>
    <w:rsid w:val="00DA14D5"/>
    <w:rsid w:val="00DA16CC"/>
    <w:rsid w:val="00DA1E81"/>
    <w:rsid w:val="00DA296C"/>
    <w:rsid w:val="00DA2EB5"/>
    <w:rsid w:val="00DA2EC3"/>
    <w:rsid w:val="00DA32FC"/>
    <w:rsid w:val="00DA351D"/>
    <w:rsid w:val="00DA3624"/>
    <w:rsid w:val="00DA3856"/>
    <w:rsid w:val="00DA3A25"/>
    <w:rsid w:val="00DA4B91"/>
    <w:rsid w:val="00DA5013"/>
    <w:rsid w:val="00DA5313"/>
    <w:rsid w:val="00DA5A48"/>
    <w:rsid w:val="00DA5CB7"/>
    <w:rsid w:val="00DA5E93"/>
    <w:rsid w:val="00DA5EA5"/>
    <w:rsid w:val="00DA5FC5"/>
    <w:rsid w:val="00DA6172"/>
    <w:rsid w:val="00DA628E"/>
    <w:rsid w:val="00DA6D59"/>
    <w:rsid w:val="00DA6F9A"/>
    <w:rsid w:val="00DA725C"/>
    <w:rsid w:val="00DA73C2"/>
    <w:rsid w:val="00DA7661"/>
    <w:rsid w:val="00DA7C49"/>
    <w:rsid w:val="00DB029B"/>
    <w:rsid w:val="00DB0370"/>
    <w:rsid w:val="00DB0682"/>
    <w:rsid w:val="00DB117A"/>
    <w:rsid w:val="00DB1182"/>
    <w:rsid w:val="00DB15CF"/>
    <w:rsid w:val="00DB163D"/>
    <w:rsid w:val="00DB1D1F"/>
    <w:rsid w:val="00DB23C9"/>
    <w:rsid w:val="00DB2622"/>
    <w:rsid w:val="00DB2DA2"/>
    <w:rsid w:val="00DB2DC5"/>
    <w:rsid w:val="00DB3240"/>
    <w:rsid w:val="00DB3496"/>
    <w:rsid w:val="00DB353B"/>
    <w:rsid w:val="00DB3F2B"/>
    <w:rsid w:val="00DB3FD2"/>
    <w:rsid w:val="00DB412B"/>
    <w:rsid w:val="00DB4390"/>
    <w:rsid w:val="00DB4C34"/>
    <w:rsid w:val="00DB4F37"/>
    <w:rsid w:val="00DB519D"/>
    <w:rsid w:val="00DB6027"/>
    <w:rsid w:val="00DB6304"/>
    <w:rsid w:val="00DB64D4"/>
    <w:rsid w:val="00DB691D"/>
    <w:rsid w:val="00DB6E35"/>
    <w:rsid w:val="00DB72A0"/>
    <w:rsid w:val="00DB7463"/>
    <w:rsid w:val="00DB79FB"/>
    <w:rsid w:val="00DB7A60"/>
    <w:rsid w:val="00DB7B1E"/>
    <w:rsid w:val="00DC04E7"/>
    <w:rsid w:val="00DC062C"/>
    <w:rsid w:val="00DC071E"/>
    <w:rsid w:val="00DC0B4E"/>
    <w:rsid w:val="00DC108C"/>
    <w:rsid w:val="00DC1739"/>
    <w:rsid w:val="00DC20DA"/>
    <w:rsid w:val="00DC2387"/>
    <w:rsid w:val="00DC26CA"/>
    <w:rsid w:val="00DC316D"/>
    <w:rsid w:val="00DC363A"/>
    <w:rsid w:val="00DC374B"/>
    <w:rsid w:val="00DC388B"/>
    <w:rsid w:val="00DC3989"/>
    <w:rsid w:val="00DC400E"/>
    <w:rsid w:val="00DC4162"/>
    <w:rsid w:val="00DC42B9"/>
    <w:rsid w:val="00DC45CF"/>
    <w:rsid w:val="00DC4CB6"/>
    <w:rsid w:val="00DC59BC"/>
    <w:rsid w:val="00DC5BB8"/>
    <w:rsid w:val="00DC5D5F"/>
    <w:rsid w:val="00DC5E45"/>
    <w:rsid w:val="00DC7110"/>
    <w:rsid w:val="00DC7886"/>
    <w:rsid w:val="00DC7D40"/>
    <w:rsid w:val="00DD0321"/>
    <w:rsid w:val="00DD033A"/>
    <w:rsid w:val="00DD1106"/>
    <w:rsid w:val="00DD19DF"/>
    <w:rsid w:val="00DD1B87"/>
    <w:rsid w:val="00DD1BE4"/>
    <w:rsid w:val="00DD1DA7"/>
    <w:rsid w:val="00DD1F49"/>
    <w:rsid w:val="00DD20C5"/>
    <w:rsid w:val="00DD21BE"/>
    <w:rsid w:val="00DD249A"/>
    <w:rsid w:val="00DD2947"/>
    <w:rsid w:val="00DD3154"/>
    <w:rsid w:val="00DD31F2"/>
    <w:rsid w:val="00DD3B02"/>
    <w:rsid w:val="00DD3D71"/>
    <w:rsid w:val="00DD3DC4"/>
    <w:rsid w:val="00DD408D"/>
    <w:rsid w:val="00DD413F"/>
    <w:rsid w:val="00DD49DE"/>
    <w:rsid w:val="00DD4A9F"/>
    <w:rsid w:val="00DD4E80"/>
    <w:rsid w:val="00DD52CD"/>
    <w:rsid w:val="00DD550E"/>
    <w:rsid w:val="00DD5689"/>
    <w:rsid w:val="00DD5EA1"/>
    <w:rsid w:val="00DD666A"/>
    <w:rsid w:val="00DD6683"/>
    <w:rsid w:val="00DD6F98"/>
    <w:rsid w:val="00DD7E46"/>
    <w:rsid w:val="00DE0556"/>
    <w:rsid w:val="00DE1445"/>
    <w:rsid w:val="00DE1DC0"/>
    <w:rsid w:val="00DE22CB"/>
    <w:rsid w:val="00DE28A5"/>
    <w:rsid w:val="00DE2B01"/>
    <w:rsid w:val="00DE2B29"/>
    <w:rsid w:val="00DE2E68"/>
    <w:rsid w:val="00DE300F"/>
    <w:rsid w:val="00DE308D"/>
    <w:rsid w:val="00DE314B"/>
    <w:rsid w:val="00DE34D4"/>
    <w:rsid w:val="00DE3659"/>
    <w:rsid w:val="00DE3884"/>
    <w:rsid w:val="00DE38B8"/>
    <w:rsid w:val="00DE3A6A"/>
    <w:rsid w:val="00DE3E5A"/>
    <w:rsid w:val="00DE4019"/>
    <w:rsid w:val="00DE4514"/>
    <w:rsid w:val="00DE4677"/>
    <w:rsid w:val="00DE4BDC"/>
    <w:rsid w:val="00DE4D2C"/>
    <w:rsid w:val="00DE4F74"/>
    <w:rsid w:val="00DE600C"/>
    <w:rsid w:val="00DE63B5"/>
    <w:rsid w:val="00DE655E"/>
    <w:rsid w:val="00DE7A62"/>
    <w:rsid w:val="00DE7C62"/>
    <w:rsid w:val="00DE7E19"/>
    <w:rsid w:val="00DF03A5"/>
    <w:rsid w:val="00DF0930"/>
    <w:rsid w:val="00DF0BDC"/>
    <w:rsid w:val="00DF0DEF"/>
    <w:rsid w:val="00DF12F0"/>
    <w:rsid w:val="00DF137E"/>
    <w:rsid w:val="00DF14D9"/>
    <w:rsid w:val="00DF1560"/>
    <w:rsid w:val="00DF1720"/>
    <w:rsid w:val="00DF1D2C"/>
    <w:rsid w:val="00DF1D68"/>
    <w:rsid w:val="00DF21BB"/>
    <w:rsid w:val="00DF2519"/>
    <w:rsid w:val="00DF28D8"/>
    <w:rsid w:val="00DF2A4B"/>
    <w:rsid w:val="00DF2EBD"/>
    <w:rsid w:val="00DF325B"/>
    <w:rsid w:val="00DF35BB"/>
    <w:rsid w:val="00DF3B66"/>
    <w:rsid w:val="00DF3DA0"/>
    <w:rsid w:val="00DF3F5D"/>
    <w:rsid w:val="00DF3FA5"/>
    <w:rsid w:val="00DF431B"/>
    <w:rsid w:val="00DF4607"/>
    <w:rsid w:val="00DF460B"/>
    <w:rsid w:val="00DF485C"/>
    <w:rsid w:val="00DF5B52"/>
    <w:rsid w:val="00DF6027"/>
    <w:rsid w:val="00DF6076"/>
    <w:rsid w:val="00DF61A3"/>
    <w:rsid w:val="00DF6556"/>
    <w:rsid w:val="00DF66DB"/>
    <w:rsid w:val="00DF6A68"/>
    <w:rsid w:val="00DF735A"/>
    <w:rsid w:val="00DF7CFB"/>
    <w:rsid w:val="00E0030F"/>
    <w:rsid w:val="00E007EE"/>
    <w:rsid w:val="00E0084C"/>
    <w:rsid w:val="00E00CBA"/>
    <w:rsid w:val="00E00DA1"/>
    <w:rsid w:val="00E014B0"/>
    <w:rsid w:val="00E01651"/>
    <w:rsid w:val="00E017BB"/>
    <w:rsid w:val="00E01D04"/>
    <w:rsid w:val="00E01EEF"/>
    <w:rsid w:val="00E02355"/>
    <w:rsid w:val="00E02E99"/>
    <w:rsid w:val="00E034B1"/>
    <w:rsid w:val="00E04153"/>
    <w:rsid w:val="00E041AC"/>
    <w:rsid w:val="00E0461D"/>
    <w:rsid w:val="00E0464D"/>
    <w:rsid w:val="00E04B02"/>
    <w:rsid w:val="00E05748"/>
    <w:rsid w:val="00E05A36"/>
    <w:rsid w:val="00E05E85"/>
    <w:rsid w:val="00E06405"/>
    <w:rsid w:val="00E066BA"/>
    <w:rsid w:val="00E068F7"/>
    <w:rsid w:val="00E06A5E"/>
    <w:rsid w:val="00E07018"/>
    <w:rsid w:val="00E070D6"/>
    <w:rsid w:val="00E1039D"/>
    <w:rsid w:val="00E10A28"/>
    <w:rsid w:val="00E10B11"/>
    <w:rsid w:val="00E11703"/>
    <w:rsid w:val="00E11CE7"/>
    <w:rsid w:val="00E11EBA"/>
    <w:rsid w:val="00E1267C"/>
    <w:rsid w:val="00E126BE"/>
    <w:rsid w:val="00E12C24"/>
    <w:rsid w:val="00E135A5"/>
    <w:rsid w:val="00E1366E"/>
    <w:rsid w:val="00E13792"/>
    <w:rsid w:val="00E137AF"/>
    <w:rsid w:val="00E13C9D"/>
    <w:rsid w:val="00E145D5"/>
    <w:rsid w:val="00E14694"/>
    <w:rsid w:val="00E14EA4"/>
    <w:rsid w:val="00E14F4A"/>
    <w:rsid w:val="00E1511C"/>
    <w:rsid w:val="00E15586"/>
    <w:rsid w:val="00E15A94"/>
    <w:rsid w:val="00E16F20"/>
    <w:rsid w:val="00E17978"/>
    <w:rsid w:val="00E17C20"/>
    <w:rsid w:val="00E17E4F"/>
    <w:rsid w:val="00E17F37"/>
    <w:rsid w:val="00E204D7"/>
    <w:rsid w:val="00E20780"/>
    <w:rsid w:val="00E20AEF"/>
    <w:rsid w:val="00E20C66"/>
    <w:rsid w:val="00E212D4"/>
    <w:rsid w:val="00E217B9"/>
    <w:rsid w:val="00E21882"/>
    <w:rsid w:val="00E219B4"/>
    <w:rsid w:val="00E21A96"/>
    <w:rsid w:val="00E21D0D"/>
    <w:rsid w:val="00E223F9"/>
    <w:rsid w:val="00E22A27"/>
    <w:rsid w:val="00E22FC3"/>
    <w:rsid w:val="00E230B9"/>
    <w:rsid w:val="00E23112"/>
    <w:rsid w:val="00E24F99"/>
    <w:rsid w:val="00E25B40"/>
    <w:rsid w:val="00E25F28"/>
    <w:rsid w:val="00E263E3"/>
    <w:rsid w:val="00E26EAE"/>
    <w:rsid w:val="00E26EF0"/>
    <w:rsid w:val="00E2745E"/>
    <w:rsid w:val="00E3047B"/>
    <w:rsid w:val="00E30728"/>
    <w:rsid w:val="00E308D9"/>
    <w:rsid w:val="00E30C1D"/>
    <w:rsid w:val="00E30F6C"/>
    <w:rsid w:val="00E314F7"/>
    <w:rsid w:val="00E3159C"/>
    <w:rsid w:val="00E3166A"/>
    <w:rsid w:val="00E31917"/>
    <w:rsid w:val="00E31D6C"/>
    <w:rsid w:val="00E31FE3"/>
    <w:rsid w:val="00E329F1"/>
    <w:rsid w:val="00E32A83"/>
    <w:rsid w:val="00E32C5B"/>
    <w:rsid w:val="00E33294"/>
    <w:rsid w:val="00E333A4"/>
    <w:rsid w:val="00E33648"/>
    <w:rsid w:val="00E338D5"/>
    <w:rsid w:val="00E33B90"/>
    <w:rsid w:val="00E33F8A"/>
    <w:rsid w:val="00E34B81"/>
    <w:rsid w:val="00E34D89"/>
    <w:rsid w:val="00E350D3"/>
    <w:rsid w:val="00E35118"/>
    <w:rsid w:val="00E35579"/>
    <w:rsid w:val="00E35FC5"/>
    <w:rsid w:val="00E36A5A"/>
    <w:rsid w:val="00E36A82"/>
    <w:rsid w:val="00E3705A"/>
    <w:rsid w:val="00E372B6"/>
    <w:rsid w:val="00E374C3"/>
    <w:rsid w:val="00E374FB"/>
    <w:rsid w:val="00E37B24"/>
    <w:rsid w:val="00E37BE0"/>
    <w:rsid w:val="00E4017E"/>
    <w:rsid w:val="00E403DA"/>
    <w:rsid w:val="00E4048D"/>
    <w:rsid w:val="00E408CD"/>
    <w:rsid w:val="00E40FFB"/>
    <w:rsid w:val="00E413E6"/>
    <w:rsid w:val="00E418A6"/>
    <w:rsid w:val="00E41E39"/>
    <w:rsid w:val="00E42313"/>
    <w:rsid w:val="00E4273C"/>
    <w:rsid w:val="00E42A78"/>
    <w:rsid w:val="00E43AC2"/>
    <w:rsid w:val="00E45522"/>
    <w:rsid w:val="00E45548"/>
    <w:rsid w:val="00E4555F"/>
    <w:rsid w:val="00E45643"/>
    <w:rsid w:val="00E45C1D"/>
    <w:rsid w:val="00E45E9A"/>
    <w:rsid w:val="00E46075"/>
    <w:rsid w:val="00E46688"/>
    <w:rsid w:val="00E4721C"/>
    <w:rsid w:val="00E47365"/>
    <w:rsid w:val="00E476EE"/>
    <w:rsid w:val="00E478DE"/>
    <w:rsid w:val="00E47A92"/>
    <w:rsid w:val="00E47CFA"/>
    <w:rsid w:val="00E500B7"/>
    <w:rsid w:val="00E50987"/>
    <w:rsid w:val="00E50991"/>
    <w:rsid w:val="00E50BCB"/>
    <w:rsid w:val="00E50FE1"/>
    <w:rsid w:val="00E5116D"/>
    <w:rsid w:val="00E512DB"/>
    <w:rsid w:val="00E51594"/>
    <w:rsid w:val="00E52220"/>
    <w:rsid w:val="00E52286"/>
    <w:rsid w:val="00E52EAA"/>
    <w:rsid w:val="00E530C5"/>
    <w:rsid w:val="00E531DD"/>
    <w:rsid w:val="00E541C0"/>
    <w:rsid w:val="00E5429D"/>
    <w:rsid w:val="00E545E5"/>
    <w:rsid w:val="00E55050"/>
    <w:rsid w:val="00E553A4"/>
    <w:rsid w:val="00E55758"/>
    <w:rsid w:val="00E55E88"/>
    <w:rsid w:val="00E56093"/>
    <w:rsid w:val="00E56237"/>
    <w:rsid w:val="00E56698"/>
    <w:rsid w:val="00E567D5"/>
    <w:rsid w:val="00E5680A"/>
    <w:rsid w:val="00E56B5F"/>
    <w:rsid w:val="00E56BD2"/>
    <w:rsid w:val="00E56CC5"/>
    <w:rsid w:val="00E56E58"/>
    <w:rsid w:val="00E56FA2"/>
    <w:rsid w:val="00E57C04"/>
    <w:rsid w:val="00E57FD1"/>
    <w:rsid w:val="00E6014E"/>
    <w:rsid w:val="00E602B6"/>
    <w:rsid w:val="00E602BC"/>
    <w:rsid w:val="00E6076D"/>
    <w:rsid w:val="00E609EA"/>
    <w:rsid w:val="00E60BCE"/>
    <w:rsid w:val="00E61AF7"/>
    <w:rsid w:val="00E61D33"/>
    <w:rsid w:val="00E61E76"/>
    <w:rsid w:val="00E62269"/>
    <w:rsid w:val="00E62347"/>
    <w:rsid w:val="00E624A1"/>
    <w:rsid w:val="00E62568"/>
    <w:rsid w:val="00E62606"/>
    <w:rsid w:val="00E627AF"/>
    <w:rsid w:val="00E627D9"/>
    <w:rsid w:val="00E6301C"/>
    <w:rsid w:val="00E63138"/>
    <w:rsid w:val="00E6342D"/>
    <w:rsid w:val="00E63C73"/>
    <w:rsid w:val="00E6402E"/>
    <w:rsid w:val="00E64387"/>
    <w:rsid w:val="00E647B4"/>
    <w:rsid w:val="00E64F90"/>
    <w:rsid w:val="00E64FB6"/>
    <w:rsid w:val="00E650CC"/>
    <w:rsid w:val="00E65727"/>
    <w:rsid w:val="00E657D6"/>
    <w:rsid w:val="00E65826"/>
    <w:rsid w:val="00E65F9A"/>
    <w:rsid w:val="00E6611F"/>
    <w:rsid w:val="00E663B8"/>
    <w:rsid w:val="00E66853"/>
    <w:rsid w:val="00E66B84"/>
    <w:rsid w:val="00E66E16"/>
    <w:rsid w:val="00E66EF5"/>
    <w:rsid w:val="00E6716A"/>
    <w:rsid w:val="00E67566"/>
    <w:rsid w:val="00E67708"/>
    <w:rsid w:val="00E677BD"/>
    <w:rsid w:val="00E6788C"/>
    <w:rsid w:val="00E678FC"/>
    <w:rsid w:val="00E67E95"/>
    <w:rsid w:val="00E7012C"/>
    <w:rsid w:val="00E704F0"/>
    <w:rsid w:val="00E70782"/>
    <w:rsid w:val="00E7096E"/>
    <w:rsid w:val="00E70E0E"/>
    <w:rsid w:val="00E70F8B"/>
    <w:rsid w:val="00E7162B"/>
    <w:rsid w:val="00E716ED"/>
    <w:rsid w:val="00E7172C"/>
    <w:rsid w:val="00E71FAB"/>
    <w:rsid w:val="00E724A9"/>
    <w:rsid w:val="00E726E2"/>
    <w:rsid w:val="00E7275A"/>
    <w:rsid w:val="00E7421F"/>
    <w:rsid w:val="00E74837"/>
    <w:rsid w:val="00E74A60"/>
    <w:rsid w:val="00E75A94"/>
    <w:rsid w:val="00E75DC4"/>
    <w:rsid w:val="00E76113"/>
    <w:rsid w:val="00E761DF"/>
    <w:rsid w:val="00E76859"/>
    <w:rsid w:val="00E76B83"/>
    <w:rsid w:val="00E76E41"/>
    <w:rsid w:val="00E76FCC"/>
    <w:rsid w:val="00E77259"/>
    <w:rsid w:val="00E77495"/>
    <w:rsid w:val="00E77BE5"/>
    <w:rsid w:val="00E8018A"/>
    <w:rsid w:val="00E805C4"/>
    <w:rsid w:val="00E80851"/>
    <w:rsid w:val="00E808DC"/>
    <w:rsid w:val="00E81142"/>
    <w:rsid w:val="00E812DC"/>
    <w:rsid w:val="00E81302"/>
    <w:rsid w:val="00E8144B"/>
    <w:rsid w:val="00E81B11"/>
    <w:rsid w:val="00E81BDA"/>
    <w:rsid w:val="00E81FAE"/>
    <w:rsid w:val="00E822F3"/>
    <w:rsid w:val="00E827B1"/>
    <w:rsid w:val="00E83182"/>
    <w:rsid w:val="00E839DD"/>
    <w:rsid w:val="00E83F37"/>
    <w:rsid w:val="00E844EC"/>
    <w:rsid w:val="00E845C5"/>
    <w:rsid w:val="00E84A3D"/>
    <w:rsid w:val="00E84C25"/>
    <w:rsid w:val="00E84E0A"/>
    <w:rsid w:val="00E8562F"/>
    <w:rsid w:val="00E857EA"/>
    <w:rsid w:val="00E85931"/>
    <w:rsid w:val="00E85980"/>
    <w:rsid w:val="00E85B87"/>
    <w:rsid w:val="00E85BDE"/>
    <w:rsid w:val="00E86166"/>
    <w:rsid w:val="00E8653A"/>
    <w:rsid w:val="00E870D3"/>
    <w:rsid w:val="00E87324"/>
    <w:rsid w:val="00E87B68"/>
    <w:rsid w:val="00E87D53"/>
    <w:rsid w:val="00E87E62"/>
    <w:rsid w:val="00E87F14"/>
    <w:rsid w:val="00E90152"/>
    <w:rsid w:val="00E9074F"/>
    <w:rsid w:val="00E908F9"/>
    <w:rsid w:val="00E909E9"/>
    <w:rsid w:val="00E90B0E"/>
    <w:rsid w:val="00E91010"/>
    <w:rsid w:val="00E9111A"/>
    <w:rsid w:val="00E9112D"/>
    <w:rsid w:val="00E91345"/>
    <w:rsid w:val="00E922F1"/>
    <w:rsid w:val="00E92DD0"/>
    <w:rsid w:val="00E92FCE"/>
    <w:rsid w:val="00E930F2"/>
    <w:rsid w:val="00E9365A"/>
    <w:rsid w:val="00E939C2"/>
    <w:rsid w:val="00E93CCD"/>
    <w:rsid w:val="00E94881"/>
    <w:rsid w:val="00E95793"/>
    <w:rsid w:val="00E95D62"/>
    <w:rsid w:val="00E9600A"/>
    <w:rsid w:val="00E96220"/>
    <w:rsid w:val="00E96418"/>
    <w:rsid w:val="00E964A7"/>
    <w:rsid w:val="00E96D31"/>
    <w:rsid w:val="00E96DC5"/>
    <w:rsid w:val="00E972A3"/>
    <w:rsid w:val="00E97A67"/>
    <w:rsid w:val="00E97DEB"/>
    <w:rsid w:val="00E97ED4"/>
    <w:rsid w:val="00EA0292"/>
    <w:rsid w:val="00EA0543"/>
    <w:rsid w:val="00EA0650"/>
    <w:rsid w:val="00EA08FF"/>
    <w:rsid w:val="00EA098D"/>
    <w:rsid w:val="00EA0E18"/>
    <w:rsid w:val="00EA0EBD"/>
    <w:rsid w:val="00EA12ED"/>
    <w:rsid w:val="00EA140B"/>
    <w:rsid w:val="00EA15FB"/>
    <w:rsid w:val="00EA199F"/>
    <w:rsid w:val="00EA20E6"/>
    <w:rsid w:val="00EA21D3"/>
    <w:rsid w:val="00EA22D7"/>
    <w:rsid w:val="00EA23CE"/>
    <w:rsid w:val="00EA27E0"/>
    <w:rsid w:val="00EA2A35"/>
    <w:rsid w:val="00EA2D63"/>
    <w:rsid w:val="00EA3967"/>
    <w:rsid w:val="00EA3D09"/>
    <w:rsid w:val="00EA47BB"/>
    <w:rsid w:val="00EA4C6C"/>
    <w:rsid w:val="00EA4DE3"/>
    <w:rsid w:val="00EA54A3"/>
    <w:rsid w:val="00EA568C"/>
    <w:rsid w:val="00EA5987"/>
    <w:rsid w:val="00EA604A"/>
    <w:rsid w:val="00EA6270"/>
    <w:rsid w:val="00EA63F7"/>
    <w:rsid w:val="00EA674B"/>
    <w:rsid w:val="00EA6CC1"/>
    <w:rsid w:val="00EA7324"/>
    <w:rsid w:val="00EA799F"/>
    <w:rsid w:val="00EA7B88"/>
    <w:rsid w:val="00EA7F02"/>
    <w:rsid w:val="00EB019D"/>
    <w:rsid w:val="00EB0A13"/>
    <w:rsid w:val="00EB0CDA"/>
    <w:rsid w:val="00EB0E6A"/>
    <w:rsid w:val="00EB0E7A"/>
    <w:rsid w:val="00EB10BB"/>
    <w:rsid w:val="00EB1AE5"/>
    <w:rsid w:val="00EB1CBF"/>
    <w:rsid w:val="00EB1F12"/>
    <w:rsid w:val="00EB207B"/>
    <w:rsid w:val="00EB25E4"/>
    <w:rsid w:val="00EB29B8"/>
    <w:rsid w:val="00EB2EC8"/>
    <w:rsid w:val="00EB35DA"/>
    <w:rsid w:val="00EB35E6"/>
    <w:rsid w:val="00EB3A7B"/>
    <w:rsid w:val="00EB3CE6"/>
    <w:rsid w:val="00EB3EAF"/>
    <w:rsid w:val="00EB3EBF"/>
    <w:rsid w:val="00EB437B"/>
    <w:rsid w:val="00EB43C8"/>
    <w:rsid w:val="00EB4528"/>
    <w:rsid w:val="00EB5609"/>
    <w:rsid w:val="00EB568A"/>
    <w:rsid w:val="00EB5E20"/>
    <w:rsid w:val="00EB5F52"/>
    <w:rsid w:val="00EB61D9"/>
    <w:rsid w:val="00EB61E5"/>
    <w:rsid w:val="00EB6755"/>
    <w:rsid w:val="00EB6E34"/>
    <w:rsid w:val="00EB71EF"/>
    <w:rsid w:val="00EB7219"/>
    <w:rsid w:val="00EB75F7"/>
    <w:rsid w:val="00EB77C1"/>
    <w:rsid w:val="00EB782D"/>
    <w:rsid w:val="00EB78D2"/>
    <w:rsid w:val="00EB7927"/>
    <w:rsid w:val="00EB7958"/>
    <w:rsid w:val="00EC06E0"/>
    <w:rsid w:val="00EC07AD"/>
    <w:rsid w:val="00EC104E"/>
    <w:rsid w:val="00EC1243"/>
    <w:rsid w:val="00EC178E"/>
    <w:rsid w:val="00EC18E6"/>
    <w:rsid w:val="00EC2175"/>
    <w:rsid w:val="00EC28D4"/>
    <w:rsid w:val="00EC2B9B"/>
    <w:rsid w:val="00EC2DF7"/>
    <w:rsid w:val="00EC2FD3"/>
    <w:rsid w:val="00EC34E4"/>
    <w:rsid w:val="00EC35F1"/>
    <w:rsid w:val="00EC37DA"/>
    <w:rsid w:val="00EC38F8"/>
    <w:rsid w:val="00EC3B3C"/>
    <w:rsid w:val="00EC4BA2"/>
    <w:rsid w:val="00EC4E68"/>
    <w:rsid w:val="00EC512B"/>
    <w:rsid w:val="00EC54D7"/>
    <w:rsid w:val="00EC57F8"/>
    <w:rsid w:val="00EC6325"/>
    <w:rsid w:val="00EC7969"/>
    <w:rsid w:val="00EC7A5A"/>
    <w:rsid w:val="00ED0336"/>
    <w:rsid w:val="00ED04C3"/>
    <w:rsid w:val="00ED0A1A"/>
    <w:rsid w:val="00ED0B65"/>
    <w:rsid w:val="00ED110E"/>
    <w:rsid w:val="00ED140F"/>
    <w:rsid w:val="00ED148C"/>
    <w:rsid w:val="00ED1C15"/>
    <w:rsid w:val="00ED1C69"/>
    <w:rsid w:val="00ED1E47"/>
    <w:rsid w:val="00ED24A8"/>
    <w:rsid w:val="00ED27AC"/>
    <w:rsid w:val="00ED288A"/>
    <w:rsid w:val="00ED2D8F"/>
    <w:rsid w:val="00ED3011"/>
    <w:rsid w:val="00ED31F3"/>
    <w:rsid w:val="00ED38F0"/>
    <w:rsid w:val="00ED3D31"/>
    <w:rsid w:val="00ED43CF"/>
    <w:rsid w:val="00ED4672"/>
    <w:rsid w:val="00ED470F"/>
    <w:rsid w:val="00ED48DA"/>
    <w:rsid w:val="00ED4939"/>
    <w:rsid w:val="00ED49B4"/>
    <w:rsid w:val="00ED5357"/>
    <w:rsid w:val="00ED57DB"/>
    <w:rsid w:val="00ED6085"/>
    <w:rsid w:val="00ED714E"/>
    <w:rsid w:val="00ED7212"/>
    <w:rsid w:val="00ED727B"/>
    <w:rsid w:val="00ED798A"/>
    <w:rsid w:val="00ED7D18"/>
    <w:rsid w:val="00EE0093"/>
    <w:rsid w:val="00EE0B55"/>
    <w:rsid w:val="00EE106B"/>
    <w:rsid w:val="00EE1174"/>
    <w:rsid w:val="00EE1854"/>
    <w:rsid w:val="00EE1ADD"/>
    <w:rsid w:val="00EE1E7C"/>
    <w:rsid w:val="00EE2137"/>
    <w:rsid w:val="00EE29FC"/>
    <w:rsid w:val="00EE3358"/>
    <w:rsid w:val="00EE352D"/>
    <w:rsid w:val="00EE38CE"/>
    <w:rsid w:val="00EE4270"/>
    <w:rsid w:val="00EE498B"/>
    <w:rsid w:val="00EE4E43"/>
    <w:rsid w:val="00EE51D5"/>
    <w:rsid w:val="00EE5A7B"/>
    <w:rsid w:val="00EE6023"/>
    <w:rsid w:val="00EE6804"/>
    <w:rsid w:val="00EE7310"/>
    <w:rsid w:val="00EE7777"/>
    <w:rsid w:val="00EE7B55"/>
    <w:rsid w:val="00EF0227"/>
    <w:rsid w:val="00EF0400"/>
    <w:rsid w:val="00EF1E38"/>
    <w:rsid w:val="00EF1FDC"/>
    <w:rsid w:val="00EF2020"/>
    <w:rsid w:val="00EF202C"/>
    <w:rsid w:val="00EF216F"/>
    <w:rsid w:val="00EF2A23"/>
    <w:rsid w:val="00EF374E"/>
    <w:rsid w:val="00EF3788"/>
    <w:rsid w:val="00EF3B7E"/>
    <w:rsid w:val="00EF3BE4"/>
    <w:rsid w:val="00EF3D85"/>
    <w:rsid w:val="00EF40D9"/>
    <w:rsid w:val="00EF42E2"/>
    <w:rsid w:val="00EF4329"/>
    <w:rsid w:val="00EF444A"/>
    <w:rsid w:val="00EF4C3A"/>
    <w:rsid w:val="00EF53A4"/>
    <w:rsid w:val="00EF578C"/>
    <w:rsid w:val="00EF658D"/>
    <w:rsid w:val="00EF6B6E"/>
    <w:rsid w:val="00EF7F37"/>
    <w:rsid w:val="00F002B7"/>
    <w:rsid w:val="00F00DFA"/>
    <w:rsid w:val="00F01257"/>
    <w:rsid w:val="00F0197F"/>
    <w:rsid w:val="00F019C6"/>
    <w:rsid w:val="00F01B2F"/>
    <w:rsid w:val="00F02159"/>
    <w:rsid w:val="00F02A57"/>
    <w:rsid w:val="00F02C28"/>
    <w:rsid w:val="00F02D87"/>
    <w:rsid w:val="00F034A6"/>
    <w:rsid w:val="00F03BDC"/>
    <w:rsid w:val="00F03D20"/>
    <w:rsid w:val="00F03DC2"/>
    <w:rsid w:val="00F03DE7"/>
    <w:rsid w:val="00F043F4"/>
    <w:rsid w:val="00F04410"/>
    <w:rsid w:val="00F050F7"/>
    <w:rsid w:val="00F05878"/>
    <w:rsid w:val="00F06B29"/>
    <w:rsid w:val="00F06E60"/>
    <w:rsid w:val="00F07191"/>
    <w:rsid w:val="00F07787"/>
    <w:rsid w:val="00F07AEA"/>
    <w:rsid w:val="00F10360"/>
    <w:rsid w:val="00F10612"/>
    <w:rsid w:val="00F10923"/>
    <w:rsid w:val="00F10F5F"/>
    <w:rsid w:val="00F11945"/>
    <w:rsid w:val="00F11BD9"/>
    <w:rsid w:val="00F11D14"/>
    <w:rsid w:val="00F12265"/>
    <w:rsid w:val="00F12298"/>
    <w:rsid w:val="00F122A4"/>
    <w:rsid w:val="00F1244F"/>
    <w:rsid w:val="00F12A8B"/>
    <w:rsid w:val="00F12E86"/>
    <w:rsid w:val="00F12F5C"/>
    <w:rsid w:val="00F13870"/>
    <w:rsid w:val="00F141A6"/>
    <w:rsid w:val="00F143B0"/>
    <w:rsid w:val="00F14483"/>
    <w:rsid w:val="00F1450D"/>
    <w:rsid w:val="00F14809"/>
    <w:rsid w:val="00F14C34"/>
    <w:rsid w:val="00F15162"/>
    <w:rsid w:val="00F155D2"/>
    <w:rsid w:val="00F15E12"/>
    <w:rsid w:val="00F176D2"/>
    <w:rsid w:val="00F20881"/>
    <w:rsid w:val="00F20B06"/>
    <w:rsid w:val="00F20B80"/>
    <w:rsid w:val="00F2101F"/>
    <w:rsid w:val="00F211B7"/>
    <w:rsid w:val="00F211EC"/>
    <w:rsid w:val="00F21507"/>
    <w:rsid w:val="00F215E0"/>
    <w:rsid w:val="00F21F71"/>
    <w:rsid w:val="00F22067"/>
    <w:rsid w:val="00F2219F"/>
    <w:rsid w:val="00F2229A"/>
    <w:rsid w:val="00F228D5"/>
    <w:rsid w:val="00F22970"/>
    <w:rsid w:val="00F22E8B"/>
    <w:rsid w:val="00F23071"/>
    <w:rsid w:val="00F230C3"/>
    <w:rsid w:val="00F2428E"/>
    <w:rsid w:val="00F27172"/>
    <w:rsid w:val="00F27391"/>
    <w:rsid w:val="00F302E7"/>
    <w:rsid w:val="00F30661"/>
    <w:rsid w:val="00F309A5"/>
    <w:rsid w:val="00F30D8D"/>
    <w:rsid w:val="00F30E10"/>
    <w:rsid w:val="00F314EB"/>
    <w:rsid w:val="00F31A19"/>
    <w:rsid w:val="00F31B98"/>
    <w:rsid w:val="00F31F21"/>
    <w:rsid w:val="00F3270E"/>
    <w:rsid w:val="00F32CE3"/>
    <w:rsid w:val="00F331A9"/>
    <w:rsid w:val="00F3344C"/>
    <w:rsid w:val="00F334C2"/>
    <w:rsid w:val="00F33CF9"/>
    <w:rsid w:val="00F33F21"/>
    <w:rsid w:val="00F343D9"/>
    <w:rsid w:val="00F34710"/>
    <w:rsid w:val="00F34C62"/>
    <w:rsid w:val="00F34D6F"/>
    <w:rsid w:val="00F35086"/>
    <w:rsid w:val="00F3523E"/>
    <w:rsid w:val="00F355B9"/>
    <w:rsid w:val="00F35B7C"/>
    <w:rsid w:val="00F364EB"/>
    <w:rsid w:val="00F36746"/>
    <w:rsid w:val="00F36AEC"/>
    <w:rsid w:val="00F3701D"/>
    <w:rsid w:val="00F370F1"/>
    <w:rsid w:val="00F373F4"/>
    <w:rsid w:val="00F37A6C"/>
    <w:rsid w:val="00F37B8F"/>
    <w:rsid w:val="00F40449"/>
    <w:rsid w:val="00F40E62"/>
    <w:rsid w:val="00F417AE"/>
    <w:rsid w:val="00F41997"/>
    <w:rsid w:val="00F41C81"/>
    <w:rsid w:val="00F42105"/>
    <w:rsid w:val="00F4213F"/>
    <w:rsid w:val="00F4247F"/>
    <w:rsid w:val="00F42DA6"/>
    <w:rsid w:val="00F42EC1"/>
    <w:rsid w:val="00F43B42"/>
    <w:rsid w:val="00F43B88"/>
    <w:rsid w:val="00F44705"/>
    <w:rsid w:val="00F44A1F"/>
    <w:rsid w:val="00F44FCB"/>
    <w:rsid w:val="00F45506"/>
    <w:rsid w:val="00F45BC4"/>
    <w:rsid w:val="00F4611C"/>
    <w:rsid w:val="00F464A0"/>
    <w:rsid w:val="00F46532"/>
    <w:rsid w:val="00F46B62"/>
    <w:rsid w:val="00F479CF"/>
    <w:rsid w:val="00F47D17"/>
    <w:rsid w:val="00F47E72"/>
    <w:rsid w:val="00F47F3A"/>
    <w:rsid w:val="00F502F6"/>
    <w:rsid w:val="00F5171F"/>
    <w:rsid w:val="00F51B45"/>
    <w:rsid w:val="00F522A3"/>
    <w:rsid w:val="00F5248B"/>
    <w:rsid w:val="00F527D6"/>
    <w:rsid w:val="00F5288D"/>
    <w:rsid w:val="00F52CCE"/>
    <w:rsid w:val="00F5324A"/>
    <w:rsid w:val="00F5331E"/>
    <w:rsid w:val="00F53742"/>
    <w:rsid w:val="00F53E10"/>
    <w:rsid w:val="00F5431B"/>
    <w:rsid w:val="00F5446C"/>
    <w:rsid w:val="00F551ED"/>
    <w:rsid w:val="00F55AB2"/>
    <w:rsid w:val="00F5683D"/>
    <w:rsid w:val="00F571A0"/>
    <w:rsid w:val="00F5746F"/>
    <w:rsid w:val="00F577C8"/>
    <w:rsid w:val="00F57901"/>
    <w:rsid w:val="00F57E9E"/>
    <w:rsid w:val="00F60627"/>
    <w:rsid w:val="00F608BD"/>
    <w:rsid w:val="00F60C1A"/>
    <w:rsid w:val="00F61043"/>
    <w:rsid w:val="00F61596"/>
    <w:rsid w:val="00F6209E"/>
    <w:rsid w:val="00F6222E"/>
    <w:rsid w:val="00F623DE"/>
    <w:rsid w:val="00F62AFE"/>
    <w:rsid w:val="00F6305B"/>
    <w:rsid w:val="00F631F0"/>
    <w:rsid w:val="00F632F6"/>
    <w:rsid w:val="00F63537"/>
    <w:rsid w:val="00F6365C"/>
    <w:rsid w:val="00F6367D"/>
    <w:rsid w:val="00F640B9"/>
    <w:rsid w:val="00F64884"/>
    <w:rsid w:val="00F64A16"/>
    <w:rsid w:val="00F64B3F"/>
    <w:rsid w:val="00F64C81"/>
    <w:rsid w:val="00F65F8F"/>
    <w:rsid w:val="00F6625C"/>
    <w:rsid w:val="00F66688"/>
    <w:rsid w:val="00F66905"/>
    <w:rsid w:val="00F66C2D"/>
    <w:rsid w:val="00F677A1"/>
    <w:rsid w:val="00F67D0A"/>
    <w:rsid w:val="00F70058"/>
    <w:rsid w:val="00F7018E"/>
    <w:rsid w:val="00F704F6"/>
    <w:rsid w:val="00F70608"/>
    <w:rsid w:val="00F70856"/>
    <w:rsid w:val="00F70960"/>
    <w:rsid w:val="00F71077"/>
    <w:rsid w:val="00F715AE"/>
    <w:rsid w:val="00F715BB"/>
    <w:rsid w:val="00F7172F"/>
    <w:rsid w:val="00F718C1"/>
    <w:rsid w:val="00F71C15"/>
    <w:rsid w:val="00F7285B"/>
    <w:rsid w:val="00F73321"/>
    <w:rsid w:val="00F73690"/>
    <w:rsid w:val="00F73D93"/>
    <w:rsid w:val="00F73F2F"/>
    <w:rsid w:val="00F74018"/>
    <w:rsid w:val="00F74292"/>
    <w:rsid w:val="00F742A6"/>
    <w:rsid w:val="00F7449B"/>
    <w:rsid w:val="00F7459D"/>
    <w:rsid w:val="00F748C2"/>
    <w:rsid w:val="00F74CD2"/>
    <w:rsid w:val="00F74FA2"/>
    <w:rsid w:val="00F75C21"/>
    <w:rsid w:val="00F75E6B"/>
    <w:rsid w:val="00F768D4"/>
    <w:rsid w:val="00F76D01"/>
    <w:rsid w:val="00F7739D"/>
    <w:rsid w:val="00F7754B"/>
    <w:rsid w:val="00F7788D"/>
    <w:rsid w:val="00F77895"/>
    <w:rsid w:val="00F77E92"/>
    <w:rsid w:val="00F77F78"/>
    <w:rsid w:val="00F8041A"/>
    <w:rsid w:val="00F807F4"/>
    <w:rsid w:val="00F81480"/>
    <w:rsid w:val="00F81B64"/>
    <w:rsid w:val="00F81D69"/>
    <w:rsid w:val="00F82564"/>
    <w:rsid w:val="00F8274A"/>
    <w:rsid w:val="00F827FD"/>
    <w:rsid w:val="00F82AA8"/>
    <w:rsid w:val="00F82C33"/>
    <w:rsid w:val="00F83AA3"/>
    <w:rsid w:val="00F84586"/>
    <w:rsid w:val="00F846B1"/>
    <w:rsid w:val="00F85008"/>
    <w:rsid w:val="00F85CE3"/>
    <w:rsid w:val="00F867BE"/>
    <w:rsid w:val="00F86FCA"/>
    <w:rsid w:val="00F879EF"/>
    <w:rsid w:val="00F87C23"/>
    <w:rsid w:val="00F90879"/>
    <w:rsid w:val="00F90B61"/>
    <w:rsid w:val="00F90D04"/>
    <w:rsid w:val="00F90EDC"/>
    <w:rsid w:val="00F90FB0"/>
    <w:rsid w:val="00F914D2"/>
    <w:rsid w:val="00F919AA"/>
    <w:rsid w:val="00F920E6"/>
    <w:rsid w:val="00F92169"/>
    <w:rsid w:val="00F92174"/>
    <w:rsid w:val="00F92421"/>
    <w:rsid w:val="00F927C9"/>
    <w:rsid w:val="00F92A39"/>
    <w:rsid w:val="00F92E2C"/>
    <w:rsid w:val="00F93376"/>
    <w:rsid w:val="00F93951"/>
    <w:rsid w:val="00F93ECE"/>
    <w:rsid w:val="00F94CC3"/>
    <w:rsid w:val="00F9540C"/>
    <w:rsid w:val="00F957BF"/>
    <w:rsid w:val="00F958EC"/>
    <w:rsid w:val="00F96A96"/>
    <w:rsid w:val="00F96FA5"/>
    <w:rsid w:val="00F976AD"/>
    <w:rsid w:val="00F977AB"/>
    <w:rsid w:val="00F97C0F"/>
    <w:rsid w:val="00FA03C8"/>
    <w:rsid w:val="00FA045E"/>
    <w:rsid w:val="00FA06A3"/>
    <w:rsid w:val="00FA0A80"/>
    <w:rsid w:val="00FA0EB8"/>
    <w:rsid w:val="00FA1772"/>
    <w:rsid w:val="00FA20C2"/>
    <w:rsid w:val="00FA2541"/>
    <w:rsid w:val="00FA2C5C"/>
    <w:rsid w:val="00FA310A"/>
    <w:rsid w:val="00FA324F"/>
    <w:rsid w:val="00FA33C8"/>
    <w:rsid w:val="00FA33ED"/>
    <w:rsid w:val="00FA34A4"/>
    <w:rsid w:val="00FA371F"/>
    <w:rsid w:val="00FA374C"/>
    <w:rsid w:val="00FA3B0B"/>
    <w:rsid w:val="00FA3CA2"/>
    <w:rsid w:val="00FA3F63"/>
    <w:rsid w:val="00FA4264"/>
    <w:rsid w:val="00FA46D5"/>
    <w:rsid w:val="00FA46F7"/>
    <w:rsid w:val="00FA49ED"/>
    <w:rsid w:val="00FA5352"/>
    <w:rsid w:val="00FA542A"/>
    <w:rsid w:val="00FA5A60"/>
    <w:rsid w:val="00FA6AD4"/>
    <w:rsid w:val="00FA6ECB"/>
    <w:rsid w:val="00FA6F4D"/>
    <w:rsid w:val="00FA7129"/>
    <w:rsid w:val="00FA74B5"/>
    <w:rsid w:val="00FA7809"/>
    <w:rsid w:val="00FA7E05"/>
    <w:rsid w:val="00FA7F38"/>
    <w:rsid w:val="00FA7F6E"/>
    <w:rsid w:val="00FB074D"/>
    <w:rsid w:val="00FB0FDA"/>
    <w:rsid w:val="00FB16A0"/>
    <w:rsid w:val="00FB177B"/>
    <w:rsid w:val="00FB1B5A"/>
    <w:rsid w:val="00FB1D41"/>
    <w:rsid w:val="00FB2508"/>
    <w:rsid w:val="00FB30FD"/>
    <w:rsid w:val="00FB318C"/>
    <w:rsid w:val="00FB320E"/>
    <w:rsid w:val="00FB33C5"/>
    <w:rsid w:val="00FB34BA"/>
    <w:rsid w:val="00FB39FF"/>
    <w:rsid w:val="00FB3D8A"/>
    <w:rsid w:val="00FB45EF"/>
    <w:rsid w:val="00FB47FE"/>
    <w:rsid w:val="00FB4921"/>
    <w:rsid w:val="00FB4B13"/>
    <w:rsid w:val="00FB4BA7"/>
    <w:rsid w:val="00FB516E"/>
    <w:rsid w:val="00FB5254"/>
    <w:rsid w:val="00FB52F3"/>
    <w:rsid w:val="00FB5379"/>
    <w:rsid w:val="00FB570D"/>
    <w:rsid w:val="00FB58FA"/>
    <w:rsid w:val="00FB5D6D"/>
    <w:rsid w:val="00FB6789"/>
    <w:rsid w:val="00FB698E"/>
    <w:rsid w:val="00FB6C07"/>
    <w:rsid w:val="00FB6C2A"/>
    <w:rsid w:val="00FB7908"/>
    <w:rsid w:val="00FB79A9"/>
    <w:rsid w:val="00FB7ED3"/>
    <w:rsid w:val="00FB7F49"/>
    <w:rsid w:val="00FB7F76"/>
    <w:rsid w:val="00FC0A1B"/>
    <w:rsid w:val="00FC0A45"/>
    <w:rsid w:val="00FC102F"/>
    <w:rsid w:val="00FC138B"/>
    <w:rsid w:val="00FC139D"/>
    <w:rsid w:val="00FC22F1"/>
    <w:rsid w:val="00FC26FE"/>
    <w:rsid w:val="00FC2743"/>
    <w:rsid w:val="00FC29C1"/>
    <w:rsid w:val="00FC2F9F"/>
    <w:rsid w:val="00FC35B4"/>
    <w:rsid w:val="00FC36AD"/>
    <w:rsid w:val="00FC38E0"/>
    <w:rsid w:val="00FC4797"/>
    <w:rsid w:val="00FC4BF8"/>
    <w:rsid w:val="00FC4C91"/>
    <w:rsid w:val="00FC511A"/>
    <w:rsid w:val="00FC5129"/>
    <w:rsid w:val="00FC58A5"/>
    <w:rsid w:val="00FC58C4"/>
    <w:rsid w:val="00FC5C32"/>
    <w:rsid w:val="00FC5C9E"/>
    <w:rsid w:val="00FC65A9"/>
    <w:rsid w:val="00FC67D3"/>
    <w:rsid w:val="00FC6D95"/>
    <w:rsid w:val="00FC7164"/>
    <w:rsid w:val="00FC71CE"/>
    <w:rsid w:val="00FC7341"/>
    <w:rsid w:val="00FC7613"/>
    <w:rsid w:val="00FD03B7"/>
    <w:rsid w:val="00FD0C5F"/>
    <w:rsid w:val="00FD11F5"/>
    <w:rsid w:val="00FD1B1B"/>
    <w:rsid w:val="00FD2342"/>
    <w:rsid w:val="00FD25B5"/>
    <w:rsid w:val="00FD2973"/>
    <w:rsid w:val="00FD2B75"/>
    <w:rsid w:val="00FD2F34"/>
    <w:rsid w:val="00FD2F77"/>
    <w:rsid w:val="00FD301B"/>
    <w:rsid w:val="00FD3B93"/>
    <w:rsid w:val="00FD3C60"/>
    <w:rsid w:val="00FD3FD6"/>
    <w:rsid w:val="00FD4E21"/>
    <w:rsid w:val="00FD506F"/>
    <w:rsid w:val="00FD5217"/>
    <w:rsid w:val="00FD5797"/>
    <w:rsid w:val="00FD69A2"/>
    <w:rsid w:val="00FD6C21"/>
    <w:rsid w:val="00FD6D44"/>
    <w:rsid w:val="00FD6F69"/>
    <w:rsid w:val="00FD7476"/>
    <w:rsid w:val="00FD7557"/>
    <w:rsid w:val="00FD75E1"/>
    <w:rsid w:val="00FD775F"/>
    <w:rsid w:val="00FD789B"/>
    <w:rsid w:val="00FD78F9"/>
    <w:rsid w:val="00FE0CB7"/>
    <w:rsid w:val="00FE0CE2"/>
    <w:rsid w:val="00FE0F4E"/>
    <w:rsid w:val="00FE108A"/>
    <w:rsid w:val="00FE14F4"/>
    <w:rsid w:val="00FE1598"/>
    <w:rsid w:val="00FE15F6"/>
    <w:rsid w:val="00FE1625"/>
    <w:rsid w:val="00FE173B"/>
    <w:rsid w:val="00FE194F"/>
    <w:rsid w:val="00FE2080"/>
    <w:rsid w:val="00FE2478"/>
    <w:rsid w:val="00FE25A1"/>
    <w:rsid w:val="00FE26D9"/>
    <w:rsid w:val="00FE36C7"/>
    <w:rsid w:val="00FE3AB7"/>
    <w:rsid w:val="00FE3C93"/>
    <w:rsid w:val="00FE4F04"/>
    <w:rsid w:val="00FE5000"/>
    <w:rsid w:val="00FE525D"/>
    <w:rsid w:val="00FE5D13"/>
    <w:rsid w:val="00FE5DC9"/>
    <w:rsid w:val="00FE5EDD"/>
    <w:rsid w:val="00FE74F5"/>
    <w:rsid w:val="00FE76DD"/>
    <w:rsid w:val="00FE7B6B"/>
    <w:rsid w:val="00FF1004"/>
    <w:rsid w:val="00FF1055"/>
    <w:rsid w:val="00FF147A"/>
    <w:rsid w:val="00FF1B0A"/>
    <w:rsid w:val="00FF1F65"/>
    <w:rsid w:val="00FF2A8C"/>
    <w:rsid w:val="00FF2D80"/>
    <w:rsid w:val="00FF2DD3"/>
    <w:rsid w:val="00FF2F11"/>
    <w:rsid w:val="00FF3327"/>
    <w:rsid w:val="00FF36FC"/>
    <w:rsid w:val="00FF3914"/>
    <w:rsid w:val="00FF3B94"/>
    <w:rsid w:val="00FF3CF5"/>
    <w:rsid w:val="00FF4359"/>
    <w:rsid w:val="00FF43E1"/>
    <w:rsid w:val="00FF46F1"/>
    <w:rsid w:val="00FF48A2"/>
    <w:rsid w:val="00FF48EE"/>
    <w:rsid w:val="00FF4A2B"/>
    <w:rsid w:val="00FF52B1"/>
    <w:rsid w:val="00FF558C"/>
    <w:rsid w:val="00FF55CD"/>
    <w:rsid w:val="00FF5A0E"/>
    <w:rsid w:val="00FF65B8"/>
    <w:rsid w:val="00FF6D00"/>
    <w:rsid w:val="00FF7096"/>
    <w:rsid w:val="00FF7336"/>
    <w:rsid w:val="00FF7462"/>
    <w:rsid w:val="00FF7CD1"/>
    <w:rsid w:val="00FF7F0C"/>
    <w:rsid w:val="00FF7FA6"/>
    <w:rsid w:val="015B5C09"/>
    <w:rsid w:val="040F6DE8"/>
    <w:rsid w:val="06872054"/>
    <w:rsid w:val="06AE3C59"/>
    <w:rsid w:val="07005894"/>
    <w:rsid w:val="08A83F24"/>
    <w:rsid w:val="09726176"/>
    <w:rsid w:val="0DBD338A"/>
    <w:rsid w:val="0F7F20CA"/>
    <w:rsid w:val="0FD82AE5"/>
    <w:rsid w:val="1065567E"/>
    <w:rsid w:val="11BD0FEA"/>
    <w:rsid w:val="11FE6795"/>
    <w:rsid w:val="153F4A30"/>
    <w:rsid w:val="15F563A9"/>
    <w:rsid w:val="18785A50"/>
    <w:rsid w:val="19AC4493"/>
    <w:rsid w:val="1B33092D"/>
    <w:rsid w:val="1D73311E"/>
    <w:rsid w:val="1E6C047C"/>
    <w:rsid w:val="20556D3F"/>
    <w:rsid w:val="20E55798"/>
    <w:rsid w:val="22A95EDA"/>
    <w:rsid w:val="23536EF4"/>
    <w:rsid w:val="23FF500A"/>
    <w:rsid w:val="26A02B2D"/>
    <w:rsid w:val="27D54302"/>
    <w:rsid w:val="27FA6356"/>
    <w:rsid w:val="286E47DC"/>
    <w:rsid w:val="28B6418D"/>
    <w:rsid w:val="2AED3C7C"/>
    <w:rsid w:val="2B6962F2"/>
    <w:rsid w:val="2C315227"/>
    <w:rsid w:val="2EF429CC"/>
    <w:rsid w:val="30124C7E"/>
    <w:rsid w:val="30DD5FAC"/>
    <w:rsid w:val="32793EFB"/>
    <w:rsid w:val="338E7BD4"/>
    <w:rsid w:val="35A5155E"/>
    <w:rsid w:val="3A132715"/>
    <w:rsid w:val="3B4979AC"/>
    <w:rsid w:val="3C9B13F9"/>
    <w:rsid w:val="3EAE3F4C"/>
    <w:rsid w:val="41A55DEB"/>
    <w:rsid w:val="41E55B4A"/>
    <w:rsid w:val="43DA4DB3"/>
    <w:rsid w:val="460A643D"/>
    <w:rsid w:val="46A93B8E"/>
    <w:rsid w:val="47197E2A"/>
    <w:rsid w:val="4ABC0779"/>
    <w:rsid w:val="4D4651EA"/>
    <w:rsid w:val="4E7F02C9"/>
    <w:rsid w:val="4F242331"/>
    <w:rsid w:val="4FD2766D"/>
    <w:rsid w:val="50AB4A87"/>
    <w:rsid w:val="512762DF"/>
    <w:rsid w:val="56AC6161"/>
    <w:rsid w:val="587800F2"/>
    <w:rsid w:val="595875D7"/>
    <w:rsid w:val="5EB76445"/>
    <w:rsid w:val="5EE17BFB"/>
    <w:rsid w:val="5F040C21"/>
    <w:rsid w:val="62F458C1"/>
    <w:rsid w:val="646D06A6"/>
    <w:rsid w:val="6517587A"/>
    <w:rsid w:val="65AF10E4"/>
    <w:rsid w:val="687B2A3F"/>
    <w:rsid w:val="6A2B5BD6"/>
    <w:rsid w:val="6C8E7378"/>
    <w:rsid w:val="6E900B51"/>
    <w:rsid w:val="710E6447"/>
    <w:rsid w:val="73FE2F8A"/>
    <w:rsid w:val="75BD242F"/>
    <w:rsid w:val="78A82DB2"/>
    <w:rsid w:val="78CB3ECD"/>
    <w:rsid w:val="792F334F"/>
    <w:rsid w:val="79777B12"/>
    <w:rsid w:val="7AF70A3A"/>
    <w:rsid w:val="7BBB698F"/>
    <w:rsid w:val="7DD15F17"/>
    <w:rsid w:val="7FDA6C5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stroke="f">
      <v:fill color="white" opacity=".5"/>
      <v:stroke on="f"/>
    </o:shapedefaults>
    <o:shapelayout v:ext="edit">
      <o:idmap v:ext="edit" data="1"/>
    </o:shapelayout>
  </w:shapeDefaults>
  <w:decimalSymbol w:val="."/>
  <w:listSeparator w:val=","/>
  <w14:docId w14:val="0E1B2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qFormat="1"/>
    <w:lsdException w:name="footnote text" w:unhideWhenUsed="0" w:qFormat="1"/>
    <w:lsdException w:name="annotation text" w:qFormat="1"/>
    <w:lsdException w:name="header" w:qFormat="1"/>
    <w:lsdException w:name="footer" w:qFormat="1"/>
    <w:lsdException w:name="index heading" w:semiHidden="1"/>
    <w:lsdException w:name="caption" w:uiPriority="35" w:qFormat="1"/>
    <w:lsdException w:name="table of figures" w:qFormat="1"/>
    <w:lsdException w:name="envelope address" w:semiHidden="1"/>
    <w:lsdException w:name="envelope return" w:semiHidden="1"/>
    <w:lsdException w:name="footnote reference" w:unhideWhenUsed="0" w:qFormat="1"/>
    <w:lsdException w:name="annotation reference" w:qFormat="1"/>
    <w:lsdException w:name="line number" w:qFormat="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uiPriority="1" w:qFormat="1"/>
    <w:lsdException w:name="Body Text" w:uiPriority="0" w:unhideWhenUsed="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qFormat="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qFormat="1"/>
    <w:lsdException w:name="Strong" w:uiPriority="22" w:unhideWhenUsed="0" w:qFormat="1"/>
    <w:lsdException w:name="Emphasis" w:uiPriority="20" w:unhideWhenUsed="0" w:qFormat="1"/>
    <w:lsdException w:name="Document Map" w:semiHidden="1"/>
    <w:lsdException w:name="Plain Text" w:semiHidden="1"/>
    <w:lsdException w:name="E-mail Signature" w:semiHidden="1"/>
    <w:lsdException w:name="HTML Top of Form" w:semiHidden="1"/>
    <w:lsdException w:name="HTML Bottom of Form" w:semiHidden="1"/>
    <w:lsdException w:name="Normal (Web)"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qFormat="1"/>
    <w:lsdException w:name="Table Grid" w:uiPriority="59" w:unhideWhenUsed="0" w:qFormat="1"/>
    <w:lsdException w:name="Table Theme" w:semiHidden="1"/>
    <w:lsdException w:name="Placeholder Text" w:semiHidden="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qFormat="1"/>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pPr>
      <w:spacing w:line="360" w:lineRule="auto"/>
      <w:ind w:firstLineChars="200" w:firstLine="200"/>
      <w:jc w:val="both"/>
    </w:pPr>
    <w:rPr>
      <w:rFonts w:eastAsiaTheme="minorEastAsia"/>
      <w:kern w:val="2"/>
      <w:sz w:val="24"/>
      <w:szCs w:val="24"/>
      <w:lang w:eastAsia="en-US" w:bidi="en-US"/>
    </w:rPr>
  </w:style>
  <w:style w:type="paragraph" w:styleId="1">
    <w:name w:val="heading 1"/>
    <w:basedOn w:val="a"/>
    <w:next w:val="a"/>
    <w:link w:val="1Char"/>
    <w:autoRedefine/>
    <w:uiPriority w:val="9"/>
    <w:qFormat/>
    <w:rsid w:val="0097404B"/>
    <w:pPr>
      <w:keepNext/>
      <w:spacing w:before="240" w:after="60"/>
      <w:ind w:firstLineChars="0" w:firstLine="0"/>
      <w:jc w:val="center"/>
      <w:outlineLvl w:val="0"/>
    </w:pPr>
    <w:rPr>
      <w:rFonts w:eastAsia="楷体"/>
      <w:b/>
      <w:bCs/>
      <w:kern w:val="32"/>
      <w:sz w:val="32"/>
      <w:szCs w:val="32"/>
      <w:lang w:eastAsia="zh-CN" w:bidi="ar-SA"/>
    </w:rPr>
  </w:style>
  <w:style w:type="paragraph" w:styleId="2">
    <w:name w:val="heading 2"/>
    <w:basedOn w:val="a"/>
    <w:next w:val="a"/>
    <w:link w:val="2Char"/>
    <w:uiPriority w:val="9"/>
    <w:unhideWhenUsed/>
    <w:qFormat/>
    <w:rsid w:val="00622200"/>
    <w:pPr>
      <w:keepNext/>
      <w:outlineLvl w:val="1"/>
    </w:pPr>
    <w:rPr>
      <w:rFonts w:ascii="Times" w:eastAsia="楷体" w:hAnsi="Times"/>
      <w:bCs/>
      <w:iCs/>
      <w:szCs w:val="28"/>
    </w:rPr>
  </w:style>
  <w:style w:type="paragraph" w:styleId="3">
    <w:name w:val="heading 3"/>
    <w:basedOn w:val="a"/>
    <w:next w:val="a"/>
    <w:link w:val="3Char"/>
    <w:uiPriority w:val="9"/>
    <w:unhideWhenUsed/>
    <w:qFormat/>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Char"/>
    <w:uiPriority w:val="9"/>
    <w:unhideWhenUsed/>
    <w:qFormat/>
    <w:pPr>
      <w:keepNext/>
      <w:spacing w:before="240" w:after="60"/>
      <w:outlineLvl w:val="3"/>
    </w:pPr>
    <w:rPr>
      <w:b/>
      <w:bCs/>
      <w:sz w:val="28"/>
      <w:szCs w:val="28"/>
    </w:rPr>
  </w:style>
  <w:style w:type="paragraph" w:styleId="5">
    <w:name w:val="heading 5"/>
    <w:basedOn w:val="a"/>
    <w:next w:val="a"/>
    <w:link w:val="5Char"/>
    <w:uiPriority w:val="9"/>
    <w:unhideWhenUsed/>
    <w:qFormat/>
    <w:pPr>
      <w:spacing w:before="240" w:after="60"/>
      <w:outlineLvl w:val="4"/>
    </w:pPr>
    <w:rPr>
      <w:b/>
      <w:bCs/>
      <w:i/>
      <w:iCs/>
      <w:sz w:val="26"/>
      <w:szCs w:val="26"/>
    </w:rPr>
  </w:style>
  <w:style w:type="paragraph" w:styleId="6">
    <w:name w:val="heading 6"/>
    <w:basedOn w:val="a"/>
    <w:next w:val="a"/>
    <w:link w:val="6Char"/>
    <w:uiPriority w:val="9"/>
    <w:unhideWhenUsed/>
    <w:qFormat/>
    <w:pPr>
      <w:spacing w:before="240" w:after="60"/>
      <w:outlineLvl w:val="5"/>
    </w:pPr>
    <w:rPr>
      <w:b/>
      <w:bCs/>
      <w:sz w:val="22"/>
      <w:szCs w:val="22"/>
    </w:rPr>
  </w:style>
  <w:style w:type="paragraph" w:styleId="7">
    <w:name w:val="heading 7"/>
    <w:basedOn w:val="a"/>
    <w:next w:val="a"/>
    <w:link w:val="7Char"/>
    <w:uiPriority w:val="9"/>
    <w:unhideWhenUsed/>
    <w:qFormat/>
    <w:pPr>
      <w:spacing w:before="240" w:after="60"/>
      <w:outlineLvl w:val="6"/>
    </w:pPr>
  </w:style>
  <w:style w:type="paragraph" w:styleId="8">
    <w:name w:val="heading 8"/>
    <w:basedOn w:val="a"/>
    <w:next w:val="a"/>
    <w:link w:val="8Char"/>
    <w:uiPriority w:val="9"/>
    <w:unhideWhenUsed/>
    <w:qFormat/>
    <w:pPr>
      <w:spacing w:before="240" w:after="60"/>
      <w:outlineLvl w:val="7"/>
    </w:pPr>
    <w:rPr>
      <w:i/>
      <w:iCs/>
    </w:rPr>
  </w:style>
  <w:style w:type="paragraph" w:styleId="9">
    <w:name w:val="heading 9"/>
    <w:basedOn w:val="a"/>
    <w:next w:val="a"/>
    <w:link w:val="9Char"/>
    <w:uiPriority w:val="9"/>
    <w:unhideWhenUsed/>
    <w:qFormat/>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uiPriority w:val="99"/>
    <w:unhideWhenUsed/>
    <w:qFormat/>
    <w:pPr>
      <w:ind w:firstLine="420"/>
    </w:pPr>
  </w:style>
  <w:style w:type="paragraph" w:styleId="a4">
    <w:name w:val="caption"/>
    <w:basedOn w:val="-"/>
    <w:next w:val="a"/>
    <w:link w:val="Char"/>
    <w:autoRedefine/>
    <w:uiPriority w:val="35"/>
    <w:unhideWhenUsed/>
    <w:qFormat/>
    <w:rsid w:val="00D37774"/>
    <w:pPr>
      <w:keepNext/>
      <w:spacing w:before="120"/>
    </w:pPr>
    <w:rPr>
      <w:rFonts w:ascii="宋体" w:eastAsia="宋体" w:hAnsi="宋体" w:cs="宋体"/>
      <w:b/>
      <w:color w:val="000000"/>
      <w:sz w:val="24"/>
      <w:szCs w:val="24"/>
      <w:lang w:bidi="ar-SA"/>
    </w:rPr>
  </w:style>
  <w:style w:type="paragraph" w:styleId="a5">
    <w:name w:val="annotation text"/>
    <w:basedOn w:val="a"/>
    <w:link w:val="Char0"/>
    <w:autoRedefine/>
    <w:uiPriority w:val="99"/>
    <w:unhideWhenUsed/>
    <w:qFormat/>
  </w:style>
  <w:style w:type="paragraph" w:styleId="a6">
    <w:name w:val="Body Text"/>
    <w:basedOn w:val="a"/>
    <w:link w:val="Char1"/>
    <w:qFormat/>
    <w:pPr>
      <w:spacing w:after="180"/>
    </w:pPr>
    <w:rPr>
      <w:rFonts w:ascii="Garamond" w:eastAsia="宋体" w:hAnsi="Garamond"/>
      <w:szCs w:val="20"/>
      <w:lang w:bidi="ar-SA"/>
    </w:rPr>
  </w:style>
  <w:style w:type="paragraph" w:styleId="30">
    <w:name w:val="toc 3"/>
    <w:basedOn w:val="a"/>
    <w:next w:val="a"/>
    <w:uiPriority w:val="39"/>
    <w:unhideWhenUsed/>
    <w:qFormat/>
    <w:pPr>
      <w:spacing w:after="100" w:line="276" w:lineRule="auto"/>
      <w:ind w:left="440"/>
    </w:pPr>
    <w:rPr>
      <w:rFonts w:cstheme="minorBidi"/>
      <w:lang w:eastAsia="zh-CN" w:bidi="ar-SA"/>
    </w:rPr>
  </w:style>
  <w:style w:type="paragraph" w:styleId="a7">
    <w:name w:val="Date"/>
    <w:basedOn w:val="a"/>
    <w:next w:val="a"/>
    <w:link w:val="Char2"/>
    <w:uiPriority w:val="99"/>
    <w:unhideWhenUsed/>
    <w:qFormat/>
    <w:pPr>
      <w:ind w:leftChars="2500" w:left="100"/>
    </w:pPr>
  </w:style>
  <w:style w:type="paragraph" w:styleId="a8">
    <w:name w:val="Balloon Text"/>
    <w:basedOn w:val="a"/>
    <w:link w:val="Char3"/>
    <w:uiPriority w:val="99"/>
    <w:unhideWhenUsed/>
    <w:qFormat/>
    <w:rPr>
      <w:sz w:val="18"/>
      <w:szCs w:val="18"/>
    </w:rPr>
  </w:style>
  <w:style w:type="paragraph" w:styleId="a9">
    <w:name w:val="footer"/>
    <w:basedOn w:val="a"/>
    <w:link w:val="Char4"/>
    <w:uiPriority w:val="99"/>
    <w:unhideWhenUsed/>
    <w:qFormat/>
    <w:pPr>
      <w:tabs>
        <w:tab w:val="center" w:pos="4153"/>
        <w:tab w:val="right" w:pos="8306"/>
      </w:tabs>
      <w:snapToGrid w:val="0"/>
    </w:pPr>
    <w:rPr>
      <w:sz w:val="18"/>
      <w:szCs w:val="18"/>
    </w:rPr>
  </w:style>
  <w:style w:type="paragraph" w:styleId="aa">
    <w:name w:val="header"/>
    <w:basedOn w:val="a"/>
    <w:link w:val="Char5"/>
    <w:uiPriority w:val="99"/>
    <w:unhideWhenUsed/>
    <w:qFormat/>
    <w:pPr>
      <w:pBdr>
        <w:bottom w:val="single" w:sz="6" w:space="1" w:color="auto"/>
      </w:pBdr>
      <w:tabs>
        <w:tab w:val="center" w:pos="4153"/>
        <w:tab w:val="right" w:pos="8306"/>
      </w:tabs>
      <w:snapToGrid w:val="0"/>
      <w:ind w:firstLine="360"/>
      <w:jc w:val="center"/>
    </w:pPr>
    <w:rPr>
      <w:sz w:val="18"/>
    </w:rPr>
  </w:style>
  <w:style w:type="paragraph" w:styleId="10">
    <w:name w:val="toc 1"/>
    <w:basedOn w:val="a"/>
    <w:next w:val="a"/>
    <w:uiPriority w:val="39"/>
    <w:unhideWhenUsed/>
    <w:qFormat/>
    <w:rsid w:val="000725D1"/>
    <w:pPr>
      <w:tabs>
        <w:tab w:val="right" w:leader="dot" w:pos="9792"/>
      </w:tabs>
      <w:spacing w:before="163" w:after="100" w:line="276" w:lineRule="auto"/>
      <w:ind w:firstLineChars="0" w:firstLine="0"/>
    </w:pPr>
    <w:rPr>
      <w:rFonts w:eastAsia="楷体"/>
      <w:b/>
      <w:spacing w:val="20"/>
      <w:sz w:val="28"/>
      <w:lang w:eastAsia="zh-CN"/>
    </w:rPr>
  </w:style>
  <w:style w:type="paragraph" w:styleId="ab">
    <w:name w:val="Subtitle"/>
    <w:basedOn w:val="a"/>
    <w:next w:val="a"/>
    <w:link w:val="Char6"/>
    <w:autoRedefine/>
    <w:uiPriority w:val="11"/>
    <w:qFormat/>
    <w:pPr>
      <w:spacing w:beforeLines="50"/>
      <w:ind w:firstLine="480"/>
      <w:outlineLvl w:val="1"/>
    </w:pPr>
    <w:rPr>
      <w:rFonts w:asciiTheme="majorHAnsi" w:eastAsia="楷体" w:hAnsiTheme="majorHAnsi"/>
      <w:lang w:eastAsia="zh-CN"/>
    </w:rPr>
  </w:style>
  <w:style w:type="paragraph" w:styleId="ac">
    <w:name w:val="footnote text"/>
    <w:basedOn w:val="a"/>
    <w:link w:val="Char7"/>
    <w:autoRedefine/>
    <w:uiPriority w:val="99"/>
    <w:qFormat/>
    <w:pPr>
      <w:widowControl w:val="0"/>
      <w:snapToGrid w:val="0"/>
      <w:ind w:leftChars="-337" w:left="-809" w:rightChars="-337" w:right="-809" w:firstLine="360"/>
    </w:pPr>
    <w:rPr>
      <w:rFonts w:eastAsia="楷体"/>
      <w:sz w:val="18"/>
      <w:szCs w:val="18"/>
      <w:lang w:eastAsia="zh-CN" w:bidi="ar-SA"/>
    </w:rPr>
  </w:style>
  <w:style w:type="paragraph" w:styleId="ad">
    <w:name w:val="table of figures"/>
    <w:basedOn w:val="a"/>
    <w:next w:val="a"/>
    <w:uiPriority w:val="99"/>
    <w:unhideWhenUsed/>
    <w:qFormat/>
    <w:pPr>
      <w:tabs>
        <w:tab w:val="right" w:leader="dot" w:pos="9792"/>
      </w:tabs>
      <w:ind w:firstLineChars="0" w:firstLine="0"/>
    </w:pPr>
    <w:rPr>
      <w:rFonts w:eastAsia="楷体"/>
    </w:rPr>
  </w:style>
  <w:style w:type="paragraph" w:styleId="20">
    <w:name w:val="toc 2"/>
    <w:basedOn w:val="a"/>
    <w:next w:val="a"/>
    <w:autoRedefine/>
    <w:uiPriority w:val="39"/>
    <w:unhideWhenUsed/>
    <w:qFormat/>
    <w:rsid w:val="008349AA"/>
    <w:pPr>
      <w:tabs>
        <w:tab w:val="right" w:pos="8296"/>
      </w:tabs>
      <w:spacing w:line="300" w:lineRule="auto"/>
      <w:ind w:firstLineChars="173" w:firstLine="415"/>
    </w:pPr>
    <w:rPr>
      <w:rFonts w:ascii="Times" w:eastAsia="宋体" w:hAnsi="Times" w:cstheme="minorBidi"/>
      <w:noProof/>
      <w:szCs w:val="28"/>
      <w:lang w:eastAsia="zh-CN" w:bidi="ar-SA"/>
    </w:rPr>
  </w:style>
  <w:style w:type="paragraph" w:styleId="ae">
    <w:name w:val="Normal (Web)"/>
    <w:basedOn w:val="a"/>
    <w:autoRedefine/>
    <w:uiPriority w:val="99"/>
    <w:unhideWhenUsed/>
    <w:qFormat/>
    <w:pPr>
      <w:spacing w:before="187" w:after="187" w:line="240" w:lineRule="auto"/>
      <w:ind w:firstLineChars="0" w:firstLine="0"/>
    </w:pPr>
    <w:rPr>
      <w:rFonts w:ascii="宋体" w:eastAsia="宋体" w:hAnsi="宋体" w:cs="宋体"/>
      <w:sz w:val="13"/>
      <w:szCs w:val="13"/>
      <w:lang w:eastAsia="zh-CN" w:bidi="ar-SA"/>
    </w:rPr>
  </w:style>
  <w:style w:type="paragraph" w:styleId="af">
    <w:name w:val="Title"/>
    <w:basedOn w:val="a"/>
    <w:next w:val="a"/>
    <w:link w:val="Char8"/>
    <w:autoRedefine/>
    <w:uiPriority w:val="10"/>
    <w:qFormat/>
    <w:pPr>
      <w:spacing w:before="240" w:after="60"/>
      <w:jc w:val="center"/>
      <w:outlineLvl w:val="0"/>
    </w:pPr>
    <w:rPr>
      <w:rFonts w:asciiTheme="majorHAnsi" w:eastAsiaTheme="majorEastAsia" w:hAnsiTheme="majorHAnsi"/>
      <w:b/>
      <w:bCs/>
      <w:kern w:val="28"/>
      <w:sz w:val="32"/>
      <w:szCs w:val="32"/>
    </w:rPr>
  </w:style>
  <w:style w:type="paragraph" w:styleId="af0">
    <w:name w:val="annotation subject"/>
    <w:basedOn w:val="a5"/>
    <w:next w:val="a5"/>
    <w:link w:val="Char9"/>
    <w:autoRedefine/>
    <w:uiPriority w:val="99"/>
    <w:unhideWhenUsed/>
    <w:qFormat/>
    <w:rPr>
      <w:b/>
      <w:bCs/>
    </w:rPr>
  </w:style>
  <w:style w:type="table" w:styleId="af1">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4">
    <w:name w:val="Medium Shading 1 Accent 4"/>
    <w:basedOn w:val="a1"/>
    <w:autoRedefine/>
    <w:uiPriority w:val="63"/>
    <w:qFormat/>
    <w:rPr>
      <w:rFonts w:cstheme="minorBidi"/>
      <w:sz w:val="21"/>
    </w:rPr>
    <w:tblPr>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character" w:styleId="af2">
    <w:name w:val="Strong"/>
    <w:basedOn w:val="a0"/>
    <w:autoRedefine/>
    <w:uiPriority w:val="22"/>
    <w:qFormat/>
    <w:rPr>
      <w:rFonts w:eastAsia="楷体"/>
      <w:bCs/>
      <w:sz w:val="21"/>
    </w:rPr>
  </w:style>
  <w:style w:type="character" w:styleId="af3">
    <w:name w:val="page number"/>
    <w:basedOn w:val="a0"/>
    <w:autoRedefine/>
    <w:qFormat/>
  </w:style>
  <w:style w:type="character" w:styleId="af4">
    <w:name w:val="FollowedHyperlink"/>
    <w:basedOn w:val="a0"/>
    <w:uiPriority w:val="99"/>
    <w:unhideWhenUsed/>
    <w:qFormat/>
    <w:rPr>
      <w:color w:val="800080" w:themeColor="followedHyperlink"/>
      <w:u w:val="single"/>
    </w:rPr>
  </w:style>
  <w:style w:type="character" w:styleId="af5">
    <w:name w:val="Emphasis"/>
    <w:basedOn w:val="a0"/>
    <w:autoRedefine/>
    <w:uiPriority w:val="20"/>
    <w:qFormat/>
    <w:rPr>
      <w:rFonts w:asciiTheme="minorHAnsi" w:hAnsiTheme="minorHAnsi"/>
      <w:b/>
      <w:i/>
      <w:iCs/>
    </w:rPr>
  </w:style>
  <w:style w:type="character" w:styleId="af6">
    <w:name w:val="line number"/>
    <w:basedOn w:val="a0"/>
    <w:uiPriority w:val="99"/>
    <w:unhideWhenUsed/>
    <w:qFormat/>
  </w:style>
  <w:style w:type="character" w:styleId="af7">
    <w:name w:val="Hyperlink"/>
    <w:basedOn w:val="a0"/>
    <w:uiPriority w:val="99"/>
    <w:unhideWhenUsed/>
    <w:qFormat/>
    <w:rPr>
      <w:color w:val="0000FF" w:themeColor="hyperlink"/>
      <w:u w:val="single"/>
    </w:rPr>
  </w:style>
  <w:style w:type="character" w:styleId="af8">
    <w:name w:val="annotation reference"/>
    <w:basedOn w:val="a0"/>
    <w:uiPriority w:val="99"/>
    <w:unhideWhenUsed/>
    <w:qFormat/>
    <w:rPr>
      <w:sz w:val="21"/>
      <w:szCs w:val="21"/>
    </w:rPr>
  </w:style>
  <w:style w:type="character" w:styleId="af9">
    <w:name w:val="footnote reference"/>
    <w:basedOn w:val="a0"/>
    <w:autoRedefine/>
    <w:uiPriority w:val="99"/>
    <w:qFormat/>
    <w:rPr>
      <w:vertAlign w:val="superscript"/>
    </w:rPr>
  </w:style>
  <w:style w:type="character" w:customStyle="1" w:styleId="1Char">
    <w:name w:val="标题 1 Char"/>
    <w:basedOn w:val="a0"/>
    <w:link w:val="1"/>
    <w:autoRedefine/>
    <w:uiPriority w:val="9"/>
    <w:qFormat/>
    <w:rsid w:val="0097404B"/>
    <w:rPr>
      <w:rFonts w:eastAsia="楷体"/>
      <w:b/>
      <w:bCs/>
      <w:kern w:val="32"/>
      <w:sz w:val="32"/>
      <w:szCs w:val="32"/>
    </w:rPr>
  </w:style>
  <w:style w:type="character" w:customStyle="1" w:styleId="2Char">
    <w:name w:val="标题 2 Char"/>
    <w:basedOn w:val="a0"/>
    <w:link w:val="2"/>
    <w:autoRedefine/>
    <w:uiPriority w:val="9"/>
    <w:qFormat/>
    <w:rsid w:val="00622200"/>
    <w:rPr>
      <w:rFonts w:ascii="Times" w:eastAsia="楷体" w:hAnsi="Times"/>
      <w:bCs/>
      <w:iCs/>
      <w:kern w:val="2"/>
      <w:sz w:val="24"/>
      <w:szCs w:val="28"/>
      <w:lang w:eastAsia="en-US" w:bidi="en-US"/>
    </w:rPr>
  </w:style>
  <w:style w:type="character" w:customStyle="1" w:styleId="3Char">
    <w:name w:val="标题 3 Char"/>
    <w:basedOn w:val="a0"/>
    <w:link w:val="3"/>
    <w:autoRedefine/>
    <w:uiPriority w:val="9"/>
    <w:qFormat/>
    <w:rPr>
      <w:rFonts w:asciiTheme="majorHAnsi" w:eastAsiaTheme="majorEastAsia" w:hAnsiTheme="majorHAnsi"/>
      <w:b/>
      <w:bCs/>
      <w:sz w:val="26"/>
      <w:szCs w:val="26"/>
    </w:rPr>
  </w:style>
  <w:style w:type="character" w:customStyle="1" w:styleId="4Char">
    <w:name w:val="标题 4 Char"/>
    <w:basedOn w:val="a0"/>
    <w:link w:val="4"/>
    <w:autoRedefine/>
    <w:uiPriority w:val="9"/>
    <w:qFormat/>
    <w:rPr>
      <w:b/>
      <w:bCs/>
      <w:sz w:val="28"/>
      <w:szCs w:val="28"/>
    </w:rPr>
  </w:style>
  <w:style w:type="character" w:customStyle="1" w:styleId="5Char">
    <w:name w:val="标题 5 Char"/>
    <w:basedOn w:val="a0"/>
    <w:link w:val="5"/>
    <w:autoRedefine/>
    <w:uiPriority w:val="9"/>
    <w:qFormat/>
    <w:rPr>
      <w:b/>
      <w:bCs/>
      <w:i/>
      <w:iCs/>
      <w:sz w:val="26"/>
      <w:szCs w:val="26"/>
    </w:rPr>
  </w:style>
  <w:style w:type="character" w:customStyle="1" w:styleId="6Char">
    <w:name w:val="标题 6 Char"/>
    <w:basedOn w:val="a0"/>
    <w:link w:val="6"/>
    <w:autoRedefine/>
    <w:uiPriority w:val="9"/>
    <w:qFormat/>
    <w:rPr>
      <w:b/>
      <w:bCs/>
    </w:rPr>
  </w:style>
  <w:style w:type="character" w:customStyle="1" w:styleId="7Char">
    <w:name w:val="标题 7 Char"/>
    <w:basedOn w:val="a0"/>
    <w:link w:val="7"/>
    <w:autoRedefine/>
    <w:uiPriority w:val="9"/>
    <w:qFormat/>
    <w:rPr>
      <w:sz w:val="24"/>
      <w:szCs w:val="24"/>
    </w:rPr>
  </w:style>
  <w:style w:type="character" w:customStyle="1" w:styleId="8Char">
    <w:name w:val="标题 8 Char"/>
    <w:basedOn w:val="a0"/>
    <w:link w:val="8"/>
    <w:autoRedefine/>
    <w:uiPriority w:val="9"/>
    <w:qFormat/>
    <w:rPr>
      <w:i/>
      <w:iCs/>
      <w:sz w:val="24"/>
      <w:szCs w:val="24"/>
    </w:rPr>
  </w:style>
  <w:style w:type="character" w:customStyle="1" w:styleId="9Char">
    <w:name w:val="标题 9 Char"/>
    <w:basedOn w:val="a0"/>
    <w:link w:val="9"/>
    <w:autoRedefine/>
    <w:uiPriority w:val="9"/>
    <w:qFormat/>
    <w:rPr>
      <w:rFonts w:asciiTheme="majorHAnsi" w:eastAsiaTheme="majorEastAsia" w:hAnsiTheme="majorHAnsi"/>
    </w:rPr>
  </w:style>
  <w:style w:type="character" w:customStyle="1" w:styleId="Char0">
    <w:name w:val="批注文字 Char"/>
    <w:basedOn w:val="a0"/>
    <w:link w:val="a5"/>
    <w:autoRedefine/>
    <w:uiPriority w:val="99"/>
    <w:qFormat/>
    <w:rPr>
      <w:sz w:val="24"/>
      <w:szCs w:val="24"/>
    </w:rPr>
  </w:style>
  <w:style w:type="character" w:customStyle="1" w:styleId="Char1">
    <w:name w:val="正文文本 Char"/>
    <w:basedOn w:val="a0"/>
    <w:link w:val="a6"/>
    <w:autoRedefine/>
    <w:qFormat/>
    <w:rPr>
      <w:rFonts w:ascii="Garamond" w:eastAsia="宋体" w:hAnsi="Garamond"/>
      <w:szCs w:val="20"/>
      <w:lang w:bidi="ar-SA"/>
    </w:rPr>
  </w:style>
  <w:style w:type="character" w:customStyle="1" w:styleId="Char2">
    <w:name w:val="日期 Char"/>
    <w:basedOn w:val="a0"/>
    <w:link w:val="a7"/>
    <w:autoRedefine/>
    <w:uiPriority w:val="99"/>
    <w:qFormat/>
    <w:rPr>
      <w:sz w:val="24"/>
      <w:szCs w:val="24"/>
    </w:rPr>
  </w:style>
  <w:style w:type="character" w:customStyle="1" w:styleId="Char3">
    <w:name w:val="批注框文本 Char"/>
    <w:basedOn w:val="a0"/>
    <w:link w:val="a8"/>
    <w:autoRedefine/>
    <w:uiPriority w:val="99"/>
    <w:qFormat/>
    <w:rPr>
      <w:sz w:val="18"/>
      <w:szCs w:val="18"/>
    </w:rPr>
  </w:style>
  <w:style w:type="character" w:customStyle="1" w:styleId="Char4">
    <w:name w:val="页脚 Char"/>
    <w:basedOn w:val="a0"/>
    <w:link w:val="a9"/>
    <w:autoRedefine/>
    <w:uiPriority w:val="99"/>
    <w:qFormat/>
    <w:rPr>
      <w:sz w:val="18"/>
      <w:szCs w:val="18"/>
    </w:rPr>
  </w:style>
  <w:style w:type="character" w:customStyle="1" w:styleId="Char5">
    <w:name w:val="页眉 Char"/>
    <w:basedOn w:val="a0"/>
    <w:link w:val="aa"/>
    <w:autoRedefine/>
    <w:uiPriority w:val="99"/>
    <w:qFormat/>
    <w:rPr>
      <w:sz w:val="18"/>
      <w:szCs w:val="24"/>
    </w:rPr>
  </w:style>
  <w:style w:type="character" w:customStyle="1" w:styleId="Char6">
    <w:name w:val="副标题 Char"/>
    <w:basedOn w:val="a0"/>
    <w:link w:val="ab"/>
    <w:autoRedefine/>
    <w:uiPriority w:val="11"/>
    <w:qFormat/>
    <w:rPr>
      <w:rFonts w:asciiTheme="majorHAnsi" w:eastAsia="楷体" w:hAnsiTheme="majorHAnsi"/>
      <w:sz w:val="24"/>
      <w:szCs w:val="24"/>
      <w:lang w:eastAsia="zh-CN"/>
    </w:rPr>
  </w:style>
  <w:style w:type="character" w:customStyle="1" w:styleId="Char7">
    <w:name w:val="脚注文本 Char"/>
    <w:basedOn w:val="a0"/>
    <w:link w:val="ac"/>
    <w:autoRedefine/>
    <w:uiPriority w:val="99"/>
    <w:qFormat/>
    <w:rPr>
      <w:rFonts w:eastAsia="楷体"/>
      <w:kern w:val="2"/>
      <w:sz w:val="18"/>
      <w:szCs w:val="18"/>
    </w:rPr>
  </w:style>
  <w:style w:type="character" w:customStyle="1" w:styleId="Char8">
    <w:name w:val="标题 Char"/>
    <w:basedOn w:val="a0"/>
    <w:link w:val="af"/>
    <w:autoRedefine/>
    <w:uiPriority w:val="10"/>
    <w:qFormat/>
    <w:rPr>
      <w:rFonts w:asciiTheme="majorHAnsi" w:eastAsiaTheme="majorEastAsia" w:hAnsiTheme="majorHAnsi"/>
      <w:b/>
      <w:bCs/>
      <w:kern w:val="28"/>
      <w:sz w:val="32"/>
      <w:szCs w:val="32"/>
    </w:rPr>
  </w:style>
  <w:style w:type="character" w:customStyle="1" w:styleId="Char9">
    <w:name w:val="批注主题 Char"/>
    <w:basedOn w:val="Char0"/>
    <w:link w:val="af0"/>
    <w:autoRedefine/>
    <w:uiPriority w:val="99"/>
    <w:qFormat/>
    <w:rPr>
      <w:b/>
      <w:bCs/>
      <w:sz w:val="24"/>
      <w:szCs w:val="24"/>
    </w:rPr>
  </w:style>
  <w:style w:type="paragraph" w:customStyle="1" w:styleId="-0">
    <w:name w:val="要点-季度报告"/>
    <w:autoRedefine/>
    <w:qFormat/>
    <w:pPr>
      <w:spacing w:line="360" w:lineRule="auto"/>
      <w:jc w:val="both"/>
    </w:pPr>
    <w:rPr>
      <w:rFonts w:ascii="宋体" w:eastAsia="楷体" w:hAnsi="宋体" w:cs="宋体"/>
      <w:kern w:val="2"/>
      <w:sz w:val="21"/>
      <w:szCs w:val="24"/>
      <w:lang w:bidi="en-US"/>
    </w:rPr>
  </w:style>
  <w:style w:type="paragraph" w:customStyle="1" w:styleId="11">
    <w:name w:val="无间隔1"/>
    <w:basedOn w:val="a"/>
    <w:link w:val="afa"/>
    <w:autoRedefine/>
    <w:uiPriority w:val="1"/>
    <w:qFormat/>
    <w:rPr>
      <w:szCs w:val="32"/>
    </w:rPr>
  </w:style>
  <w:style w:type="character" w:customStyle="1" w:styleId="afa">
    <w:name w:val="无间隔 字符"/>
    <w:basedOn w:val="a0"/>
    <w:link w:val="11"/>
    <w:autoRedefine/>
    <w:uiPriority w:val="1"/>
    <w:qFormat/>
    <w:rPr>
      <w:sz w:val="24"/>
      <w:szCs w:val="32"/>
    </w:rPr>
  </w:style>
  <w:style w:type="paragraph" w:customStyle="1" w:styleId="12">
    <w:name w:val="列出段落1"/>
    <w:basedOn w:val="a"/>
    <w:autoRedefine/>
    <w:uiPriority w:val="34"/>
    <w:qFormat/>
    <w:pPr>
      <w:ind w:left="720"/>
      <w:contextualSpacing/>
    </w:pPr>
  </w:style>
  <w:style w:type="paragraph" w:customStyle="1" w:styleId="13">
    <w:name w:val="引用1"/>
    <w:basedOn w:val="a"/>
    <w:next w:val="a"/>
    <w:link w:val="afb"/>
    <w:autoRedefine/>
    <w:uiPriority w:val="29"/>
    <w:qFormat/>
    <w:rPr>
      <w:i/>
    </w:rPr>
  </w:style>
  <w:style w:type="character" w:customStyle="1" w:styleId="afb">
    <w:name w:val="引用 字符"/>
    <w:basedOn w:val="a0"/>
    <w:link w:val="13"/>
    <w:autoRedefine/>
    <w:uiPriority w:val="29"/>
    <w:qFormat/>
    <w:rPr>
      <w:i/>
      <w:sz w:val="24"/>
      <w:szCs w:val="24"/>
    </w:rPr>
  </w:style>
  <w:style w:type="paragraph" w:customStyle="1" w:styleId="14">
    <w:name w:val="明显引用1"/>
    <w:basedOn w:val="a"/>
    <w:next w:val="a"/>
    <w:link w:val="afc"/>
    <w:autoRedefine/>
    <w:uiPriority w:val="30"/>
    <w:qFormat/>
    <w:pPr>
      <w:ind w:left="720" w:right="720"/>
    </w:pPr>
    <w:rPr>
      <w:b/>
      <w:i/>
      <w:szCs w:val="22"/>
    </w:rPr>
  </w:style>
  <w:style w:type="character" w:customStyle="1" w:styleId="afc">
    <w:name w:val="明显引用 字符"/>
    <w:basedOn w:val="a0"/>
    <w:link w:val="14"/>
    <w:autoRedefine/>
    <w:uiPriority w:val="30"/>
    <w:qFormat/>
    <w:rPr>
      <w:b/>
      <w:i/>
      <w:sz w:val="24"/>
    </w:rPr>
  </w:style>
  <w:style w:type="character" w:customStyle="1" w:styleId="15">
    <w:name w:val="不明显强调1"/>
    <w:autoRedefine/>
    <w:uiPriority w:val="19"/>
    <w:qFormat/>
    <w:rPr>
      <w:i/>
      <w:color w:val="595959" w:themeColor="text1" w:themeTint="A6"/>
    </w:rPr>
  </w:style>
  <w:style w:type="character" w:customStyle="1" w:styleId="16">
    <w:name w:val="明显强调1"/>
    <w:basedOn w:val="a0"/>
    <w:autoRedefine/>
    <w:uiPriority w:val="21"/>
    <w:qFormat/>
    <w:rPr>
      <w:b/>
      <w:i/>
      <w:sz w:val="24"/>
      <w:szCs w:val="24"/>
      <w:u w:val="single"/>
    </w:rPr>
  </w:style>
  <w:style w:type="character" w:customStyle="1" w:styleId="17">
    <w:name w:val="不明显参考1"/>
    <w:basedOn w:val="a0"/>
    <w:autoRedefine/>
    <w:uiPriority w:val="31"/>
    <w:qFormat/>
    <w:rPr>
      <w:sz w:val="24"/>
      <w:szCs w:val="24"/>
      <w:u w:val="single"/>
    </w:rPr>
  </w:style>
  <w:style w:type="character" w:customStyle="1" w:styleId="18">
    <w:name w:val="明显参考1"/>
    <w:basedOn w:val="a0"/>
    <w:autoRedefine/>
    <w:uiPriority w:val="32"/>
    <w:qFormat/>
    <w:rPr>
      <w:b/>
      <w:sz w:val="24"/>
      <w:u w:val="single"/>
    </w:rPr>
  </w:style>
  <w:style w:type="character" w:customStyle="1" w:styleId="19">
    <w:name w:val="书籍标题1"/>
    <w:basedOn w:val="a0"/>
    <w:autoRedefine/>
    <w:uiPriority w:val="33"/>
    <w:qFormat/>
    <w:rPr>
      <w:rFonts w:asciiTheme="majorHAnsi" w:eastAsiaTheme="majorEastAsia" w:hAnsiTheme="majorHAnsi"/>
      <w:b/>
      <w:i/>
      <w:sz w:val="24"/>
      <w:szCs w:val="24"/>
    </w:rPr>
  </w:style>
  <w:style w:type="paragraph" w:customStyle="1" w:styleId="TOC1">
    <w:name w:val="TOC 标题1"/>
    <w:basedOn w:val="1"/>
    <w:next w:val="a"/>
    <w:uiPriority w:val="39"/>
    <w:unhideWhenUsed/>
    <w:qFormat/>
    <w:pPr>
      <w:outlineLvl w:val="9"/>
    </w:pPr>
  </w:style>
  <w:style w:type="paragraph" w:customStyle="1" w:styleId="1a">
    <w:name w:val="样式1"/>
    <w:basedOn w:val="a"/>
    <w:link w:val="1Char0"/>
    <w:autoRedefine/>
    <w:qFormat/>
    <w:pPr>
      <w:ind w:firstLine="360"/>
    </w:pPr>
    <w:rPr>
      <w:lang w:eastAsia="zh-CN" w:bidi="ar-SA"/>
    </w:rPr>
  </w:style>
  <w:style w:type="character" w:customStyle="1" w:styleId="1Char0">
    <w:name w:val="样式1 Char"/>
    <w:basedOn w:val="a0"/>
    <w:link w:val="1a"/>
    <w:autoRedefine/>
    <w:qFormat/>
    <w:rPr>
      <w:lang w:eastAsia="zh-CN" w:bidi="ar-SA"/>
    </w:rPr>
  </w:style>
  <w:style w:type="paragraph" w:customStyle="1" w:styleId="21">
    <w:name w:val="样式2"/>
    <w:basedOn w:val="1a"/>
    <w:link w:val="2Char0"/>
    <w:autoRedefine/>
    <w:qFormat/>
  </w:style>
  <w:style w:type="character" w:customStyle="1" w:styleId="2Char0">
    <w:name w:val="样式2 Char"/>
    <w:basedOn w:val="1Char0"/>
    <w:link w:val="21"/>
    <w:autoRedefine/>
    <w:qFormat/>
    <w:rPr>
      <w:szCs w:val="24"/>
      <w:lang w:eastAsia="zh-CN" w:bidi="ar-SA"/>
    </w:rPr>
  </w:style>
  <w:style w:type="paragraph" w:customStyle="1" w:styleId="31">
    <w:name w:val="样式3"/>
    <w:basedOn w:val="21"/>
    <w:link w:val="3Char0"/>
    <w:autoRedefine/>
    <w:uiPriority w:val="99"/>
    <w:qFormat/>
  </w:style>
  <w:style w:type="character" w:customStyle="1" w:styleId="3Char0">
    <w:name w:val="样式3 Char"/>
    <w:basedOn w:val="2Char0"/>
    <w:link w:val="31"/>
    <w:autoRedefine/>
    <w:uiPriority w:val="99"/>
    <w:qFormat/>
    <w:rPr>
      <w:szCs w:val="24"/>
      <w:lang w:eastAsia="zh-CN" w:bidi="ar-SA"/>
    </w:rPr>
  </w:style>
  <w:style w:type="paragraph" w:customStyle="1" w:styleId="40">
    <w:name w:val="样式4"/>
    <w:basedOn w:val="21"/>
    <w:link w:val="4Char0"/>
    <w:autoRedefine/>
    <w:qFormat/>
  </w:style>
  <w:style w:type="character" w:customStyle="1" w:styleId="4Char0">
    <w:name w:val="样式4 Char"/>
    <w:basedOn w:val="2Char0"/>
    <w:link w:val="40"/>
    <w:autoRedefine/>
    <w:qFormat/>
    <w:rPr>
      <w:szCs w:val="24"/>
      <w:lang w:eastAsia="zh-CN" w:bidi="ar-SA"/>
    </w:rPr>
  </w:style>
  <w:style w:type="paragraph" w:customStyle="1" w:styleId="50">
    <w:name w:val="样式5"/>
    <w:basedOn w:val="31"/>
    <w:link w:val="5Char0"/>
    <w:autoRedefine/>
    <w:qFormat/>
  </w:style>
  <w:style w:type="character" w:customStyle="1" w:styleId="5Char0">
    <w:name w:val="样式5 Char"/>
    <w:basedOn w:val="3Char0"/>
    <w:link w:val="50"/>
    <w:autoRedefine/>
    <w:qFormat/>
    <w:rPr>
      <w:szCs w:val="24"/>
      <w:lang w:eastAsia="zh-CN" w:bidi="ar-SA"/>
    </w:rPr>
  </w:style>
  <w:style w:type="table" w:customStyle="1" w:styleId="1b">
    <w:name w:val="网格型1"/>
    <w:basedOn w:val="a1"/>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网格型2"/>
    <w:basedOn w:val="a1"/>
    <w:autoRedefine/>
    <w:uiPriority w:val="59"/>
    <w:qFormat/>
    <w:rPr>
      <w:sz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网格型3"/>
    <w:basedOn w:val="a1"/>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文与编译"/>
    <w:basedOn w:val="a"/>
    <w:autoRedefine/>
    <w:qFormat/>
    <w:pPr>
      <w:widowControl w:val="0"/>
      <w:ind w:firstLineChars="0" w:firstLine="0"/>
    </w:pPr>
    <w:rPr>
      <w:rFonts w:ascii="华文楷体" w:eastAsia="华文楷体" w:hAnsi="华文楷体"/>
      <w:color w:val="244061" w:themeColor="accent1" w:themeShade="80"/>
      <w:sz w:val="21"/>
      <w:szCs w:val="20"/>
      <w:lang w:eastAsia="zh-CN" w:bidi="ar-SA"/>
    </w:rPr>
  </w:style>
  <w:style w:type="paragraph" w:customStyle="1" w:styleId="afe">
    <w:name w:val="文章与编译"/>
    <w:basedOn w:val="afd"/>
    <w:autoRedefine/>
    <w:qFormat/>
    <w:pPr>
      <w:jc w:val="center"/>
    </w:pPr>
    <w:rPr>
      <w:rFonts w:eastAsia="楷体"/>
    </w:rPr>
  </w:style>
  <w:style w:type="paragraph" w:customStyle="1" w:styleId="aff">
    <w:name w:val="导读"/>
    <w:basedOn w:val="afe"/>
    <w:autoRedefine/>
    <w:qFormat/>
    <w:pPr>
      <w:spacing w:before="50"/>
      <w:jc w:val="left"/>
    </w:pPr>
    <w:rPr>
      <w:rFonts w:ascii="黑体"/>
    </w:rPr>
  </w:style>
  <w:style w:type="paragraph" w:customStyle="1" w:styleId="60">
    <w:name w:val="样式6"/>
    <w:basedOn w:val="aa"/>
    <w:next w:val="21"/>
    <w:link w:val="6Char0"/>
    <w:autoRedefine/>
    <w:qFormat/>
    <w:pPr>
      <w:spacing w:before="120"/>
    </w:pPr>
  </w:style>
  <w:style w:type="character" w:customStyle="1" w:styleId="6Char0">
    <w:name w:val="样式6 Char"/>
    <w:basedOn w:val="Char5"/>
    <w:link w:val="60"/>
    <w:autoRedefine/>
    <w:qFormat/>
    <w:rPr>
      <w:rFonts w:eastAsiaTheme="minorEastAsia"/>
      <w:sz w:val="18"/>
      <w:szCs w:val="24"/>
    </w:rPr>
  </w:style>
  <w:style w:type="paragraph" w:customStyle="1" w:styleId="70">
    <w:name w:val="样式7"/>
    <w:basedOn w:val="1a"/>
    <w:next w:val="1a"/>
    <w:link w:val="7Char0"/>
    <w:autoRedefine/>
    <w:qFormat/>
  </w:style>
  <w:style w:type="character" w:customStyle="1" w:styleId="7Char0">
    <w:name w:val="样式7 Char"/>
    <w:basedOn w:val="1Char0"/>
    <w:link w:val="70"/>
    <w:autoRedefine/>
    <w:qFormat/>
    <w:rPr>
      <w:rFonts w:eastAsiaTheme="minorEastAsia"/>
      <w:sz w:val="24"/>
      <w:lang w:eastAsia="zh-CN" w:bidi="ar-SA"/>
    </w:rPr>
  </w:style>
  <w:style w:type="paragraph" w:customStyle="1" w:styleId="80">
    <w:name w:val="样式8"/>
    <w:basedOn w:val="1a"/>
    <w:next w:val="1a"/>
    <w:link w:val="8Char0"/>
    <w:autoRedefine/>
    <w:qFormat/>
    <w:pPr>
      <w:spacing w:before="120"/>
    </w:pPr>
  </w:style>
  <w:style w:type="character" w:customStyle="1" w:styleId="8Char0">
    <w:name w:val="样式8 Char"/>
    <w:basedOn w:val="1Char0"/>
    <w:link w:val="80"/>
    <w:autoRedefine/>
    <w:qFormat/>
    <w:rPr>
      <w:rFonts w:eastAsiaTheme="minorEastAsia"/>
      <w:sz w:val="24"/>
      <w:lang w:eastAsia="zh-CN" w:bidi="ar-SA"/>
    </w:rPr>
  </w:style>
  <w:style w:type="paragraph" w:customStyle="1" w:styleId="90">
    <w:name w:val="样式9"/>
    <w:basedOn w:val="aa"/>
    <w:next w:val="1a"/>
    <w:link w:val="9Char0"/>
    <w:autoRedefine/>
    <w:qFormat/>
    <w:pPr>
      <w:spacing w:before="120"/>
    </w:pPr>
  </w:style>
  <w:style w:type="character" w:customStyle="1" w:styleId="9Char0">
    <w:name w:val="样式9 Char"/>
    <w:basedOn w:val="Char5"/>
    <w:link w:val="90"/>
    <w:autoRedefine/>
    <w:qFormat/>
    <w:rPr>
      <w:rFonts w:eastAsiaTheme="minorEastAsia"/>
      <w:sz w:val="18"/>
      <w:szCs w:val="24"/>
    </w:rPr>
  </w:style>
  <w:style w:type="paragraph" w:customStyle="1" w:styleId="100">
    <w:name w:val="样式10"/>
    <w:basedOn w:val="1a"/>
    <w:next w:val="1a"/>
    <w:link w:val="10Char"/>
    <w:qFormat/>
  </w:style>
  <w:style w:type="character" w:customStyle="1" w:styleId="10Char">
    <w:name w:val="样式10 Char"/>
    <w:basedOn w:val="1Char0"/>
    <w:link w:val="100"/>
    <w:autoRedefine/>
    <w:qFormat/>
    <w:rPr>
      <w:rFonts w:eastAsiaTheme="minorEastAsia"/>
      <w:sz w:val="24"/>
      <w:lang w:eastAsia="zh-CN" w:bidi="ar-SA"/>
    </w:rPr>
  </w:style>
  <w:style w:type="table" w:customStyle="1" w:styleId="41">
    <w:name w:val="网格型4"/>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网格型5"/>
    <w:basedOn w:val="a1"/>
    <w:autoRedefine/>
    <w:uiPriority w:val="59"/>
    <w:qFormat/>
    <w:rPr>
      <w:sz w:val="2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网格型6"/>
    <w:basedOn w:val="a1"/>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网格型7"/>
    <w:basedOn w:val="a1"/>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网格型8"/>
    <w:basedOn w:val="a1"/>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网格型9"/>
    <w:basedOn w:val="a1"/>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网格型10"/>
    <w:basedOn w:val="a1"/>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网格型11"/>
    <w:basedOn w:val="a1"/>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网格型12"/>
    <w:basedOn w:val="a1"/>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网格型13"/>
    <w:basedOn w:val="a1"/>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0">
    <w:name w:val="注释（季度报告）"/>
    <w:basedOn w:val="a"/>
    <w:link w:val="Chara"/>
    <w:autoRedefine/>
    <w:qFormat/>
    <w:pPr>
      <w:keepNext/>
      <w:spacing w:afterLines="50" w:line="240" w:lineRule="auto"/>
    </w:pPr>
    <w:rPr>
      <w:rFonts w:ascii="Calibri" w:eastAsia="黑体" w:hAnsi="Calibri"/>
      <w:bCs/>
      <w:sz w:val="20"/>
      <w:szCs w:val="18"/>
      <w:lang w:eastAsia="zh-CN"/>
    </w:rPr>
  </w:style>
  <w:style w:type="character" w:customStyle="1" w:styleId="Chara">
    <w:name w:val="注释（季度报告） Char"/>
    <w:basedOn w:val="a0"/>
    <w:link w:val="aff0"/>
    <w:autoRedefine/>
    <w:qFormat/>
    <w:rPr>
      <w:rFonts w:ascii="Calibri" w:eastAsia="黑体" w:hAnsi="Calibri"/>
      <w:bCs/>
      <w:sz w:val="20"/>
      <w:szCs w:val="18"/>
      <w:lang w:eastAsia="zh-CN"/>
    </w:rPr>
  </w:style>
  <w:style w:type="paragraph" w:customStyle="1" w:styleId="aff1">
    <w:name w:val="专栏标题（季度报告）"/>
    <w:basedOn w:val="a"/>
    <w:link w:val="Charb"/>
    <w:autoRedefine/>
    <w:qFormat/>
    <w:pPr>
      <w:widowControl w:val="0"/>
      <w:spacing w:line="312" w:lineRule="auto"/>
      <w:ind w:firstLineChars="0" w:firstLine="0"/>
      <w:jc w:val="center"/>
    </w:pPr>
    <w:rPr>
      <w:rFonts w:ascii="华文细黑" w:eastAsia="华文细黑" w:hAnsi="华文细黑"/>
      <w:b/>
      <w:lang w:eastAsia="zh-CN" w:bidi="ar-SA"/>
    </w:rPr>
  </w:style>
  <w:style w:type="character" w:customStyle="1" w:styleId="Charb">
    <w:name w:val="专栏标题（季度报告） Char"/>
    <w:basedOn w:val="a0"/>
    <w:link w:val="aff1"/>
    <w:autoRedefine/>
    <w:qFormat/>
    <w:rPr>
      <w:rFonts w:ascii="华文细黑" w:eastAsia="华文细黑" w:hAnsi="华文细黑"/>
      <w:b/>
      <w:kern w:val="2"/>
      <w:sz w:val="24"/>
      <w:szCs w:val="24"/>
      <w:lang w:eastAsia="zh-CN" w:bidi="ar-SA"/>
    </w:rPr>
  </w:style>
  <w:style w:type="paragraph" w:customStyle="1" w:styleId="aff2">
    <w:name w:val="专栏正文（季度报告）"/>
    <w:basedOn w:val="a"/>
    <w:link w:val="Charc"/>
    <w:autoRedefine/>
    <w:qFormat/>
    <w:pPr>
      <w:widowControl w:val="0"/>
      <w:spacing w:line="312" w:lineRule="auto"/>
      <w:ind w:firstLine="420"/>
    </w:pPr>
    <w:rPr>
      <w:rFonts w:ascii="华文细黑" w:eastAsia="华文细黑" w:hAnsi="华文细黑"/>
      <w:sz w:val="21"/>
      <w:szCs w:val="21"/>
      <w:lang w:eastAsia="zh-CN" w:bidi="ar-SA"/>
    </w:rPr>
  </w:style>
  <w:style w:type="character" w:customStyle="1" w:styleId="Charc">
    <w:name w:val="专栏正文（季度报告） Char"/>
    <w:basedOn w:val="a0"/>
    <w:link w:val="aff2"/>
    <w:autoRedefine/>
    <w:qFormat/>
    <w:rPr>
      <w:rFonts w:ascii="华文细黑" w:eastAsia="华文细黑" w:hAnsi="华文细黑"/>
      <w:kern w:val="2"/>
      <w:sz w:val="21"/>
      <w:szCs w:val="21"/>
      <w:lang w:eastAsia="zh-CN" w:bidi="ar-SA"/>
    </w:rPr>
  </w:style>
  <w:style w:type="paragraph" w:customStyle="1" w:styleId="aff3">
    <w:name w:val="文中标题（季度报告）"/>
    <w:basedOn w:val="a"/>
    <w:link w:val="Chard"/>
    <w:autoRedefine/>
    <w:qFormat/>
    <w:pPr>
      <w:ind w:firstLineChars="0" w:firstLine="0"/>
    </w:pPr>
    <w:rPr>
      <w:b/>
      <w:sz w:val="28"/>
      <w:szCs w:val="28"/>
      <w:lang w:eastAsia="zh-CN" w:bidi="ar-SA"/>
    </w:rPr>
  </w:style>
  <w:style w:type="character" w:customStyle="1" w:styleId="Chard">
    <w:name w:val="文中标题（季度报告） Char"/>
    <w:basedOn w:val="a0"/>
    <w:link w:val="aff3"/>
    <w:autoRedefine/>
    <w:qFormat/>
    <w:rPr>
      <w:b/>
      <w:kern w:val="2"/>
      <w:sz w:val="28"/>
      <w:szCs w:val="28"/>
      <w:lang w:eastAsia="zh-CN" w:bidi="ar-SA"/>
    </w:rPr>
  </w:style>
  <w:style w:type="paragraph" w:customStyle="1" w:styleId="aff4">
    <w:name w:val="专栏标题"/>
    <w:basedOn w:val="aff1"/>
    <w:link w:val="Chare"/>
    <w:qFormat/>
  </w:style>
  <w:style w:type="character" w:customStyle="1" w:styleId="Chare">
    <w:name w:val="专栏标题 Char"/>
    <w:basedOn w:val="Charb"/>
    <w:link w:val="aff4"/>
    <w:autoRedefine/>
    <w:qFormat/>
    <w:rPr>
      <w:rFonts w:ascii="华文细黑" w:eastAsia="华文细黑" w:hAnsi="华文细黑"/>
      <w:b/>
      <w:kern w:val="2"/>
      <w:sz w:val="24"/>
      <w:szCs w:val="24"/>
      <w:lang w:eastAsia="zh-CN" w:bidi="ar-SA"/>
    </w:rPr>
  </w:style>
  <w:style w:type="paragraph" w:customStyle="1" w:styleId="aff5">
    <w:name w:val="专栏正文"/>
    <w:basedOn w:val="aff2"/>
    <w:link w:val="Charf"/>
    <w:autoRedefine/>
    <w:qFormat/>
    <w:pPr>
      <w:spacing w:line="360" w:lineRule="auto"/>
      <w:ind w:firstLine="200"/>
    </w:pPr>
  </w:style>
  <w:style w:type="character" w:customStyle="1" w:styleId="Charf">
    <w:name w:val="专栏正文 Char"/>
    <w:basedOn w:val="Charc"/>
    <w:link w:val="aff5"/>
    <w:autoRedefine/>
    <w:qFormat/>
    <w:rPr>
      <w:rFonts w:ascii="华文细黑" w:eastAsia="华文细黑" w:hAnsi="华文细黑"/>
      <w:kern w:val="2"/>
      <w:sz w:val="21"/>
      <w:szCs w:val="21"/>
      <w:lang w:eastAsia="zh-CN" w:bidi="ar-SA"/>
    </w:rPr>
  </w:style>
  <w:style w:type="paragraph" w:customStyle="1" w:styleId="-">
    <w:name w:val="题注-季度报告"/>
    <w:basedOn w:val="a"/>
    <w:link w:val="-Char"/>
    <w:autoRedefine/>
    <w:qFormat/>
    <w:pPr>
      <w:widowControl w:val="0"/>
      <w:ind w:firstLineChars="0" w:firstLine="0"/>
      <w:jc w:val="center"/>
    </w:pPr>
    <w:rPr>
      <w:rFonts w:ascii="Calibri" w:eastAsia="华文细黑" w:hAnsi="Calibri"/>
      <w:bCs/>
      <w:sz w:val="21"/>
      <w:szCs w:val="18"/>
      <w:lang w:eastAsia="zh-CN"/>
    </w:rPr>
  </w:style>
  <w:style w:type="character" w:customStyle="1" w:styleId="-Char">
    <w:name w:val="题注-季度报告 Char"/>
    <w:basedOn w:val="a0"/>
    <w:link w:val="-"/>
    <w:autoRedefine/>
    <w:qFormat/>
    <w:rPr>
      <w:rFonts w:ascii="Calibri" w:eastAsia="华文细黑" w:hAnsi="Calibri"/>
      <w:bCs/>
      <w:sz w:val="21"/>
      <w:szCs w:val="18"/>
      <w:lang w:eastAsia="zh-CN"/>
    </w:rPr>
  </w:style>
  <w:style w:type="paragraph" w:customStyle="1" w:styleId="aff6">
    <w:name w:val="专题：正文"/>
    <w:basedOn w:val="a"/>
    <w:link w:val="aff7"/>
    <w:autoRedefine/>
    <w:qFormat/>
    <w:pPr>
      <w:spacing w:beforeLines="50"/>
      <w:ind w:firstLineChars="0" w:firstLine="0"/>
    </w:pPr>
    <w:rPr>
      <w:b/>
      <w:sz w:val="28"/>
      <w:szCs w:val="28"/>
      <w:lang w:eastAsia="zh-CN" w:bidi="ar-SA"/>
    </w:rPr>
  </w:style>
  <w:style w:type="character" w:customStyle="1" w:styleId="aff7">
    <w:name w:val="专题：正文 字符"/>
    <w:basedOn w:val="a0"/>
    <w:link w:val="aff6"/>
    <w:autoRedefine/>
    <w:qFormat/>
    <w:rPr>
      <w:rFonts w:ascii="Times New Roman" w:eastAsiaTheme="minorEastAsia" w:hAnsi="Times New Roman" w:cs="Times New Roman"/>
      <w:b/>
      <w:kern w:val="2"/>
      <w:sz w:val="28"/>
      <w:szCs w:val="28"/>
    </w:rPr>
  </w:style>
  <w:style w:type="paragraph" w:customStyle="1" w:styleId="-1">
    <w:name w:val="专栏正文-季度报告"/>
    <w:basedOn w:val="aff2"/>
    <w:link w:val="-Char0"/>
    <w:autoRedefine/>
    <w:qFormat/>
    <w:pPr>
      <w:spacing w:line="360" w:lineRule="auto"/>
      <w:ind w:firstLine="200"/>
    </w:pPr>
  </w:style>
  <w:style w:type="character" w:customStyle="1" w:styleId="-Char0">
    <w:name w:val="专栏正文-季度报告 Char"/>
    <w:basedOn w:val="Charc"/>
    <w:link w:val="-1"/>
    <w:autoRedefine/>
    <w:qFormat/>
    <w:rPr>
      <w:rFonts w:ascii="华文细黑" w:eastAsia="华文细黑" w:hAnsi="华文细黑"/>
      <w:kern w:val="2"/>
      <w:sz w:val="21"/>
      <w:szCs w:val="21"/>
      <w:lang w:eastAsia="zh-CN" w:bidi="ar-SA"/>
    </w:rPr>
  </w:style>
  <w:style w:type="paragraph" w:customStyle="1" w:styleId="1c">
    <w:name w:val="批注文字1"/>
    <w:basedOn w:val="a"/>
    <w:next w:val="a5"/>
    <w:autoRedefine/>
    <w:uiPriority w:val="99"/>
    <w:unhideWhenUsed/>
    <w:qFormat/>
    <w:pPr>
      <w:widowControl w:val="0"/>
      <w:spacing w:line="240" w:lineRule="auto"/>
      <w:ind w:firstLineChars="0" w:firstLine="0"/>
    </w:pPr>
    <w:rPr>
      <w:sz w:val="21"/>
      <w:szCs w:val="22"/>
      <w:lang w:eastAsia="zh-CN" w:bidi="ar-SA"/>
    </w:rPr>
  </w:style>
  <w:style w:type="character" w:customStyle="1" w:styleId="1CharChar">
    <w:name w:val="样式1 Char Char"/>
    <w:basedOn w:val="a0"/>
    <w:autoRedefine/>
    <w:qFormat/>
    <w:rPr>
      <w:rFonts w:ascii="Times New Roman"/>
      <w:sz w:val="24"/>
      <w:szCs w:val="24"/>
      <w:lang w:bidi="en-US"/>
    </w:rPr>
  </w:style>
  <w:style w:type="character" w:customStyle="1" w:styleId="2CharChar">
    <w:name w:val="样式2 Char Char"/>
    <w:autoRedefine/>
    <w:qFormat/>
    <w:rPr>
      <w:rFonts w:ascii="宋体" w:hAnsi="宋体"/>
      <w:kern w:val="2"/>
      <w:sz w:val="24"/>
      <w:szCs w:val="24"/>
    </w:rPr>
  </w:style>
  <w:style w:type="paragraph" w:customStyle="1" w:styleId="140">
    <w:name w:val="样式14"/>
    <w:basedOn w:val="a"/>
    <w:autoRedefine/>
    <w:qFormat/>
    <w:pPr>
      <w:spacing w:after="200" w:line="276" w:lineRule="auto"/>
    </w:pPr>
    <w:rPr>
      <w:rFonts w:eastAsia="宋体"/>
      <w:sz w:val="21"/>
      <w:szCs w:val="22"/>
    </w:rPr>
  </w:style>
  <w:style w:type="paragraph" w:customStyle="1" w:styleId="p0">
    <w:name w:val="p0"/>
    <w:basedOn w:val="a"/>
    <w:qFormat/>
    <w:pPr>
      <w:spacing w:after="200" w:line="276" w:lineRule="auto"/>
    </w:pPr>
    <w:rPr>
      <w:rFonts w:ascii="Calibri" w:eastAsia="宋体" w:hAnsi="Calibri" w:cs="Calibri"/>
      <w:sz w:val="21"/>
      <w:szCs w:val="21"/>
    </w:rPr>
  </w:style>
  <w:style w:type="paragraph" w:customStyle="1" w:styleId="aff8">
    <w:name w:val="华文楷体要点"/>
    <w:basedOn w:val="a"/>
    <w:link w:val="Charf0"/>
    <w:autoRedefine/>
    <w:qFormat/>
    <w:pPr>
      <w:ind w:firstLineChars="0" w:firstLine="0"/>
    </w:pPr>
    <w:rPr>
      <w:rFonts w:ascii="华文楷体" w:eastAsia="华文楷体" w:hAnsi="华文楷体"/>
      <w:lang w:eastAsia="zh-CN"/>
    </w:rPr>
  </w:style>
  <w:style w:type="character" w:customStyle="1" w:styleId="Charf0">
    <w:name w:val="华文楷体要点 Char"/>
    <w:basedOn w:val="a0"/>
    <w:link w:val="aff8"/>
    <w:autoRedefine/>
    <w:qFormat/>
    <w:rPr>
      <w:rFonts w:ascii="华文楷体" w:eastAsia="华文楷体" w:hAnsi="华文楷体"/>
      <w:sz w:val="24"/>
      <w:szCs w:val="24"/>
      <w:lang w:eastAsia="zh-CN"/>
    </w:rPr>
  </w:style>
  <w:style w:type="paragraph" w:customStyle="1" w:styleId="111">
    <w:name w:val="样式11"/>
    <w:basedOn w:val="a"/>
    <w:link w:val="11Char"/>
    <w:autoRedefine/>
    <w:qFormat/>
    <w:pPr>
      <w:ind w:firstLineChars="0" w:firstLine="0"/>
    </w:pPr>
    <w:rPr>
      <w:rFonts w:ascii="华文楷体" w:eastAsia="华文楷体" w:hAnsi="华文楷体"/>
      <w:sz w:val="21"/>
      <w:szCs w:val="21"/>
      <w:lang w:eastAsia="zh-CN"/>
    </w:rPr>
  </w:style>
  <w:style w:type="character" w:customStyle="1" w:styleId="11Char">
    <w:name w:val="样式11 Char"/>
    <w:basedOn w:val="a0"/>
    <w:link w:val="111"/>
    <w:autoRedefine/>
    <w:qFormat/>
    <w:rPr>
      <w:rFonts w:ascii="华文楷体" w:eastAsia="华文楷体" w:hAnsi="华文楷体"/>
      <w:sz w:val="21"/>
      <w:szCs w:val="21"/>
      <w:lang w:eastAsia="zh-CN"/>
    </w:rPr>
  </w:style>
  <w:style w:type="character" w:customStyle="1" w:styleId="st1">
    <w:name w:val="st1"/>
    <w:basedOn w:val="a0"/>
    <w:autoRedefine/>
    <w:qFormat/>
  </w:style>
  <w:style w:type="paragraph" w:customStyle="1" w:styleId="1d">
    <w:name w:val="修订1"/>
    <w:hidden/>
    <w:uiPriority w:val="99"/>
    <w:semiHidden/>
    <w:qFormat/>
    <w:rPr>
      <w:rFonts w:asciiTheme="minorHAnsi" w:eastAsiaTheme="minorEastAsia" w:hAnsiTheme="minorHAnsi"/>
      <w:kern w:val="2"/>
      <w:sz w:val="24"/>
      <w:szCs w:val="24"/>
      <w:lang w:eastAsia="en-US" w:bidi="en-US"/>
    </w:rPr>
  </w:style>
  <w:style w:type="paragraph" w:customStyle="1" w:styleId="Default">
    <w:name w:val="Default"/>
    <w:autoRedefine/>
    <w:qFormat/>
    <w:pPr>
      <w:widowControl w:val="0"/>
      <w:autoSpaceDE w:val="0"/>
      <w:autoSpaceDN w:val="0"/>
      <w:adjustRightInd w:val="0"/>
    </w:pPr>
    <w:rPr>
      <w:rFonts w:ascii="宋体" w:eastAsiaTheme="minorEastAsia" w:hAnsi="宋体" w:cs="宋体"/>
      <w:color w:val="000000"/>
      <w:kern w:val="2"/>
      <w:sz w:val="24"/>
      <w:szCs w:val="24"/>
      <w:lang w:eastAsia="en-US"/>
    </w:rPr>
  </w:style>
  <w:style w:type="character" w:customStyle="1" w:styleId="inner6">
    <w:name w:val="inner6"/>
    <w:basedOn w:val="a0"/>
    <w:autoRedefine/>
    <w:qFormat/>
  </w:style>
  <w:style w:type="character" w:customStyle="1" w:styleId="count3">
    <w:name w:val="count3"/>
    <w:basedOn w:val="a0"/>
    <w:autoRedefine/>
    <w:qFormat/>
  </w:style>
  <w:style w:type="table" w:customStyle="1" w:styleId="210">
    <w:name w:val="无格式表格 21"/>
    <w:basedOn w:val="a1"/>
    <w:autoRedefine/>
    <w:uiPriority w:val="42"/>
    <w:qFormat/>
    <w:rPr>
      <w:rFonts w:eastAsia="Times New Roman" w:cstheme="minorBidi"/>
      <w:sz w:val="21"/>
    </w:rPr>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2">
    <w:name w:val="注释-季度报告"/>
    <w:basedOn w:val="a3"/>
    <w:autoRedefine/>
    <w:qFormat/>
    <w:pPr>
      <w:spacing w:afterLines="50" w:line="240" w:lineRule="auto"/>
      <w:ind w:firstLine="200"/>
    </w:pPr>
    <w:rPr>
      <w:rFonts w:ascii="黑体" w:eastAsia="黑体" w:hAnsi="黑体"/>
      <w:sz w:val="20"/>
      <w:szCs w:val="20"/>
      <w:lang w:bidi="ar-SA"/>
    </w:rPr>
  </w:style>
  <w:style w:type="paragraph" w:customStyle="1" w:styleId="-3">
    <w:name w:val="脚注-季报"/>
    <w:autoRedefine/>
    <w:qFormat/>
    <w:pPr>
      <w:ind w:left="150" w:hangingChars="150" w:hanging="150"/>
      <w:jc w:val="both"/>
    </w:pPr>
    <w:rPr>
      <w:rFonts w:eastAsia="Times New Roman"/>
      <w:kern w:val="2"/>
      <w:sz w:val="15"/>
      <w:szCs w:val="24"/>
      <w:lang w:bidi="en-US"/>
    </w:rPr>
  </w:style>
  <w:style w:type="paragraph" w:customStyle="1" w:styleId="aff9">
    <w:name w:val="注释"/>
    <w:basedOn w:val="a"/>
    <w:link w:val="Charf1"/>
    <w:autoRedefine/>
    <w:uiPriority w:val="99"/>
    <w:qFormat/>
    <w:pPr>
      <w:spacing w:line="240" w:lineRule="auto"/>
      <w:ind w:firstLineChars="0" w:firstLine="480"/>
      <w:jc w:val="left"/>
    </w:pPr>
    <w:rPr>
      <w:rFonts w:ascii="楷体_GB2312" w:eastAsia="楷体_GB2312"/>
      <w:sz w:val="20"/>
      <w:lang w:eastAsia="zh-CN"/>
    </w:rPr>
  </w:style>
  <w:style w:type="character" w:customStyle="1" w:styleId="Charf1">
    <w:name w:val="注释 Char"/>
    <w:basedOn w:val="a0"/>
    <w:link w:val="aff9"/>
    <w:autoRedefine/>
    <w:uiPriority w:val="99"/>
    <w:qFormat/>
    <w:rPr>
      <w:rFonts w:ascii="楷体_GB2312" w:eastAsia="楷体_GB2312"/>
      <w:sz w:val="20"/>
      <w:szCs w:val="24"/>
      <w:lang w:eastAsia="zh-CN"/>
    </w:rPr>
  </w:style>
  <w:style w:type="table" w:customStyle="1" w:styleId="141">
    <w:name w:val="网格型14"/>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网格型15"/>
    <w:basedOn w:val="a1"/>
    <w:autoRedefine/>
    <w:uiPriority w:val="59"/>
    <w:qFormat/>
    <w:rPr>
      <w:rFonts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无格式表格 211"/>
    <w:basedOn w:val="a1"/>
    <w:autoRedefine/>
    <w:uiPriority w:val="42"/>
    <w:qFormat/>
    <w:rPr>
      <w:sz w:val="21"/>
    </w:rPr>
    <w:tblPr>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10">
    <w:name w:val="无格式表格 31"/>
    <w:basedOn w:val="a1"/>
    <w:autoRedefine/>
    <w:uiPriority w:val="43"/>
    <w:qFormat/>
    <w:tblPr>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212">
    <w:name w:val="无格式表格 212"/>
    <w:basedOn w:val="a1"/>
    <w:autoRedefine/>
    <w:uiPriority w:val="42"/>
    <w:qFormat/>
    <w:rPr>
      <w:sz w:val="21"/>
    </w:rPr>
    <w:tblPr>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1e">
    <w:name w:val="未处理的提及1"/>
    <w:basedOn w:val="a0"/>
    <w:autoRedefine/>
    <w:uiPriority w:val="99"/>
    <w:semiHidden/>
    <w:unhideWhenUsed/>
    <w:qFormat/>
    <w:rPr>
      <w:color w:val="808080"/>
      <w:shd w:val="clear" w:color="auto" w:fill="E6E6E6"/>
    </w:rPr>
  </w:style>
  <w:style w:type="paragraph" w:styleId="affa">
    <w:name w:val="List Paragraph"/>
    <w:basedOn w:val="a"/>
    <w:uiPriority w:val="34"/>
    <w:qFormat/>
    <w:pPr>
      <w:ind w:left="720"/>
      <w:contextualSpacing/>
    </w:pPr>
    <w:rPr>
      <w:rFonts w:ascii="Calibri" w:hAnsi="Calibri" w:cstheme="majorBidi"/>
      <w:szCs w:val="22"/>
    </w:rPr>
  </w:style>
  <w:style w:type="table" w:customStyle="1" w:styleId="410">
    <w:name w:val="无格式表格 41"/>
    <w:basedOn w:val="a1"/>
    <w:autoRedefine/>
    <w:uiPriority w:val="44"/>
    <w:qFormat/>
    <w:rPr>
      <w:rFonts w:asciiTheme="minorHAnsi" w:eastAsiaTheme="minorEastAsia" w:hAnsiTheme="minorHAnsi" w:cstheme="minorBidi"/>
      <w:kern w:val="2"/>
      <w:sz w:val="21"/>
      <w:szCs w:val="22"/>
    </w:rPr>
    <w:tblPr>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OC2">
    <w:name w:val="TOC 标题2"/>
    <w:basedOn w:val="1"/>
    <w:next w:val="a"/>
    <w:autoRedefine/>
    <w:uiPriority w:val="39"/>
    <w:unhideWhenUsed/>
    <w:qFormat/>
    <w:pPr>
      <w:keepLines/>
      <w:spacing w:after="0" w:line="259" w:lineRule="auto"/>
      <w:jc w:val="left"/>
      <w:outlineLvl w:val="9"/>
    </w:pPr>
    <w:rPr>
      <w:rFonts w:eastAsiaTheme="majorEastAsia" w:cstheme="majorBidi"/>
      <w:b w:val="0"/>
      <w:bCs w:val="0"/>
      <w:color w:val="365F91" w:themeColor="accent1" w:themeShade="BF"/>
      <w:kern w:val="0"/>
    </w:rPr>
  </w:style>
  <w:style w:type="paragraph" w:customStyle="1" w:styleId="font5">
    <w:name w:val="font5"/>
    <w:basedOn w:val="a"/>
    <w:autoRedefine/>
    <w:qFormat/>
    <w:pPr>
      <w:spacing w:before="100" w:beforeAutospacing="1" w:after="100" w:afterAutospacing="1" w:line="240" w:lineRule="auto"/>
      <w:ind w:firstLineChars="0" w:firstLine="0"/>
      <w:jc w:val="left"/>
    </w:pPr>
    <w:rPr>
      <w:rFonts w:eastAsia="Times New Roman"/>
      <w:b/>
      <w:bCs/>
      <w:color w:val="000000"/>
      <w:kern w:val="0"/>
      <w:sz w:val="20"/>
      <w:szCs w:val="20"/>
      <w:lang w:eastAsia="zh-CN" w:bidi="ar-SA"/>
    </w:rPr>
  </w:style>
  <w:style w:type="paragraph" w:customStyle="1" w:styleId="font6">
    <w:name w:val="font6"/>
    <w:basedOn w:val="a"/>
    <w:autoRedefine/>
    <w:qFormat/>
    <w:pPr>
      <w:spacing w:before="100" w:beforeAutospacing="1" w:after="100" w:afterAutospacing="1" w:line="240" w:lineRule="auto"/>
      <w:ind w:firstLineChars="0" w:firstLine="0"/>
      <w:jc w:val="left"/>
    </w:pPr>
    <w:rPr>
      <w:rFonts w:ascii="楷体" w:eastAsia="楷体" w:hAnsi="楷体"/>
      <w:b/>
      <w:bCs/>
      <w:color w:val="000000"/>
      <w:kern w:val="0"/>
      <w:sz w:val="20"/>
      <w:szCs w:val="20"/>
      <w:lang w:eastAsia="zh-CN" w:bidi="ar-SA"/>
    </w:rPr>
  </w:style>
  <w:style w:type="paragraph" w:customStyle="1" w:styleId="font7">
    <w:name w:val="font7"/>
    <w:basedOn w:val="a"/>
    <w:qFormat/>
    <w:pPr>
      <w:spacing w:before="100" w:beforeAutospacing="1" w:after="100" w:afterAutospacing="1" w:line="240" w:lineRule="auto"/>
      <w:ind w:firstLineChars="0" w:firstLine="0"/>
      <w:jc w:val="left"/>
    </w:pPr>
    <w:rPr>
      <w:rFonts w:eastAsia="Times New Roman"/>
      <w:color w:val="000000"/>
      <w:kern w:val="0"/>
      <w:sz w:val="18"/>
      <w:szCs w:val="18"/>
      <w:lang w:eastAsia="zh-CN" w:bidi="ar-SA"/>
    </w:rPr>
  </w:style>
  <w:style w:type="paragraph" w:customStyle="1" w:styleId="font8">
    <w:name w:val="font8"/>
    <w:basedOn w:val="a"/>
    <w:autoRedefine/>
    <w:qFormat/>
    <w:pPr>
      <w:spacing w:before="100" w:beforeAutospacing="1" w:after="100" w:afterAutospacing="1" w:line="240" w:lineRule="auto"/>
      <w:ind w:firstLineChars="0" w:firstLine="0"/>
      <w:jc w:val="left"/>
    </w:pPr>
    <w:rPr>
      <w:rFonts w:eastAsia="Times New Roman"/>
      <w:b/>
      <w:bCs/>
      <w:color w:val="000000"/>
      <w:kern w:val="0"/>
      <w:sz w:val="20"/>
      <w:szCs w:val="20"/>
      <w:lang w:eastAsia="zh-CN" w:bidi="ar-SA"/>
    </w:rPr>
  </w:style>
  <w:style w:type="paragraph" w:customStyle="1" w:styleId="font9">
    <w:name w:val="font9"/>
    <w:basedOn w:val="a"/>
    <w:qFormat/>
    <w:pPr>
      <w:spacing w:before="100" w:beforeAutospacing="1" w:after="100" w:afterAutospacing="1" w:line="240" w:lineRule="auto"/>
      <w:ind w:firstLineChars="0" w:firstLine="0"/>
      <w:jc w:val="left"/>
    </w:pPr>
    <w:rPr>
      <w:rFonts w:ascii="宋体" w:eastAsia="宋体" w:hAnsi="宋体"/>
      <w:b/>
      <w:bCs/>
      <w:color w:val="000000"/>
      <w:kern w:val="0"/>
      <w:sz w:val="20"/>
      <w:szCs w:val="20"/>
      <w:lang w:eastAsia="zh-CN" w:bidi="ar-SA"/>
    </w:rPr>
  </w:style>
  <w:style w:type="paragraph" w:customStyle="1" w:styleId="font10">
    <w:name w:val="font10"/>
    <w:basedOn w:val="a"/>
    <w:autoRedefine/>
    <w:qFormat/>
    <w:pPr>
      <w:spacing w:before="100" w:beforeAutospacing="1" w:after="100" w:afterAutospacing="1" w:line="240" w:lineRule="auto"/>
      <w:ind w:firstLineChars="0" w:firstLine="0"/>
      <w:jc w:val="left"/>
    </w:pPr>
    <w:rPr>
      <w:rFonts w:ascii="楷体" w:eastAsia="楷体" w:hAnsi="楷体"/>
      <w:color w:val="000000"/>
      <w:kern w:val="0"/>
      <w:sz w:val="18"/>
      <w:szCs w:val="18"/>
      <w:lang w:eastAsia="zh-CN" w:bidi="ar-SA"/>
    </w:rPr>
  </w:style>
  <w:style w:type="paragraph" w:customStyle="1" w:styleId="font11">
    <w:name w:val="font11"/>
    <w:basedOn w:val="a"/>
    <w:autoRedefine/>
    <w:qFormat/>
    <w:pPr>
      <w:spacing w:before="100" w:beforeAutospacing="1" w:after="100" w:afterAutospacing="1" w:line="240" w:lineRule="auto"/>
      <w:ind w:firstLineChars="0" w:firstLine="0"/>
      <w:jc w:val="left"/>
    </w:pPr>
    <w:rPr>
      <w:rFonts w:eastAsia="Times New Roman"/>
      <w:color w:val="000000"/>
      <w:kern w:val="0"/>
      <w:sz w:val="18"/>
      <w:szCs w:val="18"/>
      <w:lang w:eastAsia="zh-CN" w:bidi="ar-SA"/>
    </w:rPr>
  </w:style>
  <w:style w:type="paragraph" w:customStyle="1" w:styleId="xl67">
    <w:name w:val="xl67"/>
    <w:basedOn w:val="a"/>
    <w:autoRedefine/>
    <w:qFormat/>
    <w:pPr>
      <w:shd w:val="clear" w:color="000000" w:fill="FFFFFF"/>
      <w:spacing w:before="100" w:beforeAutospacing="1" w:after="100" w:afterAutospacing="1" w:line="240" w:lineRule="auto"/>
      <w:ind w:firstLineChars="0" w:firstLine="0"/>
      <w:jc w:val="left"/>
    </w:pPr>
    <w:rPr>
      <w:rFonts w:ascii="楷体" w:eastAsia="楷体" w:hAnsi="楷体"/>
      <w:b/>
      <w:bCs/>
      <w:kern w:val="0"/>
      <w:sz w:val="20"/>
      <w:szCs w:val="20"/>
      <w:lang w:eastAsia="zh-CN" w:bidi="ar-SA"/>
    </w:rPr>
  </w:style>
  <w:style w:type="paragraph" w:customStyle="1" w:styleId="xl68">
    <w:name w:val="xl68"/>
    <w:basedOn w:val="a"/>
    <w:autoRedefine/>
    <w:qFormat/>
    <w:pPr>
      <w:shd w:val="clear" w:color="000000" w:fill="FFFFFF"/>
      <w:spacing w:before="100" w:beforeAutospacing="1" w:after="100" w:afterAutospacing="1" w:line="240" w:lineRule="auto"/>
      <w:ind w:firstLineChars="0" w:firstLine="0"/>
      <w:jc w:val="left"/>
    </w:pPr>
    <w:rPr>
      <w:rFonts w:eastAsia="Times New Roman"/>
      <w:b/>
      <w:bCs/>
      <w:kern w:val="0"/>
      <w:sz w:val="20"/>
      <w:szCs w:val="20"/>
      <w:lang w:eastAsia="zh-CN" w:bidi="ar-SA"/>
    </w:rPr>
  </w:style>
  <w:style w:type="paragraph" w:customStyle="1" w:styleId="xl69">
    <w:name w:val="xl69"/>
    <w:basedOn w:val="a"/>
    <w:autoRedefine/>
    <w:qFormat/>
    <w:pPr>
      <w:spacing w:before="100" w:beforeAutospacing="1" w:after="100" w:afterAutospacing="1" w:line="240" w:lineRule="auto"/>
      <w:ind w:firstLineChars="0" w:firstLine="0"/>
      <w:jc w:val="center"/>
    </w:pPr>
    <w:rPr>
      <w:rFonts w:eastAsia="Times New Roman"/>
      <w:kern w:val="0"/>
      <w:sz w:val="20"/>
      <w:szCs w:val="20"/>
      <w:lang w:eastAsia="zh-CN" w:bidi="ar-SA"/>
    </w:rPr>
  </w:style>
  <w:style w:type="paragraph" w:customStyle="1" w:styleId="xl70">
    <w:name w:val="xl70"/>
    <w:basedOn w:val="a"/>
    <w:autoRedefine/>
    <w:qFormat/>
    <w:pPr>
      <w:shd w:val="clear" w:color="000000" w:fill="FFFFFF"/>
      <w:spacing w:before="100" w:beforeAutospacing="1" w:after="100" w:afterAutospacing="1" w:line="240" w:lineRule="auto"/>
      <w:ind w:firstLineChars="0" w:firstLine="0"/>
    </w:pPr>
    <w:rPr>
      <w:rFonts w:ascii="楷体" w:eastAsia="楷体" w:hAnsi="楷体"/>
      <w:b/>
      <w:bCs/>
      <w:kern w:val="0"/>
      <w:sz w:val="20"/>
      <w:szCs w:val="20"/>
      <w:lang w:eastAsia="zh-CN" w:bidi="ar-SA"/>
    </w:rPr>
  </w:style>
  <w:style w:type="paragraph" w:customStyle="1" w:styleId="xl71">
    <w:name w:val="xl71"/>
    <w:basedOn w:val="a"/>
    <w:autoRedefine/>
    <w:qFormat/>
    <w:pPr>
      <w:spacing w:before="100" w:beforeAutospacing="1" w:after="100" w:afterAutospacing="1" w:line="240" w:lineRule="auto"/>
      <w:ind w:firstLineChars="0" w:firstLine="0"/>
      <w:jc w:val="center"/>
    </w:pPr>
    <w:rPr>
      <w:rFonts w:ascii="Calibri" w:eastAsia="Times New Roman" w:hAnsi="Calibri" w:cs="Calibri"/>
      <w:kern w:val="0"/>
      <w:sz w:val="20"/>
      <w:szCs w:val="20"/>
      <w:lang w:eastAsia="zh-CN" w:bidi="ar-SA"/>
    </w:rPr>
  </w:style>
  <w:style w:type="paragraph" w:customStyle="1" w:styleId="xl72">
    <w:name w:val="xl72"/>
    <w:basedOn w:val="a"/>
    <w:autoRedefine/>
    <w:qFormat/>
    <w:pPr>
      <w:shd w:val="clear" w:color="000000" w:fill="FFFFFF"/>
      <w:spacing w:before="100" w:beforeAutospacing="1" w:after="100" w:afterAutospacing="1" w:line="240" w:lineRule="auto"/>
      <w:ind w:firstLineChars="0" w:firstLine="0"/>
    </w:pPr>
    <w:rPr>
      <w:rFonts w:eastAsia="Times New Roman"/>
      <w:b/>
      <w:bCs/>
      <w:kern w:val="0"/>
      <w:sz w:val="20"/>
      <w:szCs w:val="20"/>
      <w:lang w:eastAsia="zh-CN" w:bidi="ar-SA"/>
    </w:rPr>
  </w:style>
  <w:style w:type="paragraph" w:customStyle="1" w:styleId="xl73">
    <w:name w:val="xl73"/>
    <w:basedOn w:val="a"/>
    <w:autoRedefine/>
    <w:qFormat/>
    <w:pPr>
      <w:pBdr>
        <w:top w:val="single" w:sz="4" w:space="0" w:color="auto"/>
        <w:bottom w:val="single" w:sz="4" w:space="0" w:color="auto"/>
      </w:pBdr>
      <w:shd w:val="clear" w:color="000000" w:fill="74A3BA"/>
      <w:spacing w:before="100" w:beforeAutospacing="1" w:after="100" w:afterAutospacing="1" w:line="240" w:lineRule="auto"/>
      <w:ind w:firstLineChars="0" w:firstLine="0"/>
    </w:pPr>
    <w:rPr>
      <w:rFonts w:ascii="楷体" w:eastAsia="楷体" w:hAnsi="楷体"/>
      <w:b/>
      <w:bCs/>
      <w:color w:val="000000"/>
      <w:kern w:val="0"/>
      <w:sz w:val="20"/>
      <w:szCs w:val="20"/>
      <w:lang w:eastAsia="zh-CN" w:bidi="ar-SA"/>
    </w:rPr>
  </w:style>
  <w:style w:type="paragraph" w:customStyle="1" w:styleId="xl74">
    <w:name w:val="xl74"/>
    <w:basedOn w:val="a"/>
    <w:autoRedefine/>
    <w:qFormat/>
    <w:pPr>
      <w:pBdr>
        <w:top w:val="single" w:sz="4" w:space="0" w:color="auto"/>
        <w:bottom w:val="single" w:sz="4" w:space="0" w:color="auto"/>
      </w:pBdr>
      <w:shd w:val="clear" w:color="000000" w:fill="74A3BA"/>
      <w:spacing w:before="100" w:beforeAutospacing="1" w:after="100" w:afterAutospacing="1" w:line="240" w:lineRule="auto"/>
      <w:ind w:firstLineChars="0" w:firstLine="0"/>
      <w:jc w:val="center"/>
    </w:pPr>
    <w:rPr>
      <w:rFonts w:eastAsia="Times New Roman"/>
      <w:b/>
      <w:bCs/>
      <w:kern w:val="0"/>
      <w:sz w:val="20"/>
      <w:szCs w:val="20"/>
      <w:lang w:eastAsia="zh-CN" w:bidi="ar-SA"/>
    </w:rPr>
  </w:style>
  <w:style w:type="paragraph" w:customStyle="1" w:styleId="xl75">
    <w:name w:val="xl75"/>
    <w:basedOn w:val="a"/>
    <w:autoRedefine/>
    <w:qFormat/>
    <w:pPr>
      <w:pBdr>
        <w:top w:val="single" w:sz="4" w:space="0" w:color="auto"/>
        <w:bottom w:val="single" w:sz="4" w:space="0" w:color="auto"/>
      </w:pBdr>
      <w:shd w:val="clear" w:color="000000" w:fill="74A3BA"/>
      <w:spacing w:before="100" w:beforeAutospacing="1" w:after="100" w:afterAutospacing="1" w:line="240" w:lineRule="auto"/>
      <w:ind w:firstLineChars="0" w:firstLine="0"/>
      <w:jc w:val="center"/>
    </w:pPr>
    <w:rPr>
      <w:rFonts w:eastAsia="Times New Roman"/>
      <w:b/>
      <w:bCs/>
      <w:kern w:val="0"/>
      <w:sz w:val="20"/>
      <w:szCs w:val="20"/>
      <w:lang w:eastAsia="zh-CN" w:bidi="ar-SA"/>
    </w:rPr>
  </w:style>
  <w:style w:type="paragraph" w:customStyle="1" w:styleId="xl76">
    <w:name w:val="xl76"/>
    <w:basedOn w:val="a"/>
    <w:autoRedefine/>
    <w:qFormat/>
    <w:pPr>
      <w:pBdr>
        <w:top w:val="single" w:sz="4" w:space="0" w:color="auto"/>
        <w:bottom w:val="single" w:sz="4" w:space="0" w:color="auto"/>
      </w:pBdr>
      <w:shd w:val="clear" w:color="000000" w:fill="74A3BA"/>
      <w:spacing w:before="100" w:beforeAutospacing="1" w:after="100" w:afterAutospacing="1" w:line="240" w:lineRule="auto"/>
      <w:ind w:firstLineChars="0" w:firstLine="0"/>
      <w:jc w:val="center"/>
    </w:pPr>
    <w:rPr>
      <w:rFonts w:eastAsia="Times New Roman"/>
      <w:b/>
      <w:bCs/>
      <w:kern w:val="0"/>
      <w:sz w:val="20"/>
      <w:szCs w:val="20"/>
      <w:lang w:eastAsia="zh-CN" w:bidi="ar-SA"/>
    </w:rPr>
  </w:style>
  <w:style w:type="paragraph" w:customStyle="1" w:styleId="xl77">
    <w:name w:val="xl77"/>
    <w:basedOn w:val="a"/>
    <w:autoRedefine/>
    <w:qFormat/>
    <w:pPr>
      <w:pBdr>
        <w:bottom w:val="single" w:sz="4" w:space="0" w:color="auto"/>
      </w:pBdr>
      <w:shd w:val="clear" w:color="000000" w:fill="FFFFFF"/>
      <w:spacing w:before="100" w:beforeAutospacing="1" w:after="100" w:afterAutospacing="1" w:line="240" w:lineRule="auto"/>
      <w:ind w:firstLineChars="0" w:firstLine="0"/>
      <w:jc w:val="left"/>
    </w:pPr>
    <w:rPr>
      <w:rFonts w:ascii="楷体" w:eastAsia="楷体" w:hAnsi="楷体"/>
      <w:b/>
      <w:bCs/>
      <w:kern w:val="0"/>
      <w:sz w:val="20"/>
      <w:szCs w:val="20"/>
      <w:lang w:eastAsia="zh-CN" w:bidi="ar-SA"/>
    </w:rPr>
  </w:style>
  <w:style w:type="paragraph" w:customStyle="1" w:styleId="xl78">
    <w:name w:val="xl78"/>
    <w:basedOn w:val="a"/>
    <w:autoRedefine/>
    <w:qFormat/>
    <w:pPr>
      <w:pBdr>
        <w:bottom w:val="single" w:sz="4" w:space="0" w:color="auto"/>
      </w:pBdr>
      <w:spacing w:before="100" w:beforeAutospacing="1" w:after="100" w:afterAutospacing="1" w:line="240" w:lineRule="auto"/>
      <w:ind w:firstLineChars="0" w:firstLine="0"/>
      <w:jc w:val="center"/>
    </w:pPr>
    <w:rPr>
      <w:rFonts w:eastAsia="Times New Roman"/>
      <w:kern w:val="0"/>
      <w:sz w:val="20"/>
      <w:szCs w:val="20"/>
      <w:lang w:eastAsia="zh-CN" w:bidi="ar-SA"/>
    </w:rPr>
  </w:style>
  <w:style w:type="paragraph" w:customStyle="1" w:styleId="xl79">
    <w:name w:val="xl79"/>
    <w:basedOn w:val="a"/>
    <w:autoRedefine/>
    <w:qFormat/>
    <w:pPr>
      <w:spacing w:before="100" w:beforeAutospacing="1" w:after="100" w:afterAutospacing="1" w:line="240" w:lineRule="auto"/>
      <w:ind w:firstLineChars="0" w:firstLine="0"/>
      <w:jc w:val="center"/>
    </w:pPr>
    <w:rPr>
      <w:rFonts w:eastAsia="Times New Roman"/>
      <w:kern w:val="0"/>
      <w:sz w:val="20"/>
      <w:szCs w:val="20"/>
      <w:lang w:eastAsia="zh-CN" w:bidi="ar-SA"/>
    </w:rPr>
  </w:style>
  <w:style w:type="paragraph" w:customStyle="1" w:styleId="xl80">
    <w:name w:val="xl80"/>
    <w:basedOn w:val="a"/>
    <w:autoRedefine/>
    <w:qFormat/>
    <w:pPr>
      <w:pBdr>
        <w:bottom w:val="single" w:sz="4" w:space="0" w:color="auto"/>
      </w:pBdr>
      <w:spacing w:before="100" w:beforeAutospacing="1" w:after="100" w:afterAutospacing="1" w:line="240" w:lineRule="auto"/>
      <w:ind w:firstLineChars="0" w:firstLine="0"/>
      <w:jc w:val="center"/>
    </w:pPr>
    <w:rPr>
      <w:rFonts w:eastAsia="Times New Roman"/>
      <w:kern w:val="0"/>
      <w:sz w:val="20"/>
      <w:szCs w:val="20"/>
      <w:lang w:eastAsia="zh-CN" w:bidi="ar-SA"/>
    </w:rPr>
  </w:style>
  <w:style w:type="paragraph" w:customStyle="1" w:styleId="xl81">
    <w:name w:val="xl81"/>
    <w:basedOn w:val="a"/>
    <w:autoRedefine/>
    <w:qFormat/>
    <w:pPr>
      <w:spacing w:before="100" w:beforeAutospacing="1" w:after="100" w:afterAutospacing="1" w:line="240" w:lineRule="auto"/>
      <w:ind w:firstLineChars="0" w:firstLine="0"/>
      <w:jc w:val="left"/>
    </w:pPr>
    <w:rPr>
      <w:rFonts w:ascii="楷体" w:eastAsia="楷体" w:hAnsi="楷体"/>
      <w:color w:val="000000"/>
      <w:kern w:val="0"/>
      <w:sz w:val="18"/>
      <w:szCs w:val="18"/>
      <w:lang w:eastAsia="zh-CN" w:bidi="ar-SA"/>
    </w:rPr>
  </w:style>
  <w:style w:type="paragraph" w:customStyle="1" w:styleId="xl82">
    <w:name w:val="xl82"/>
    <w:basedOn w:val="a"/>
    <w:autoRedefine/>
    <w:qFormat/>
    <w:pPr>
      <w:pBdr>
        <w:top w:val="single" w:sz="4" w:space="0" w:color="auto"/>
        <w:bottom w:val="single" w:sz="4" w:space="0" w:color="auto"/>
      </w:pBdr>
      <w:spacing w:before="100" w:beforeAutospacing="1" w:after="100" w:afterAutospacing="1" w:line="240" w:lineRule="auto"/>
      <w:ind w:firstLineChars="0" w:firstLine="0"/>
      <w:jc w:val="center"/>
    </w:pPr>
    <w:rPr>
      <w:rFonts w:eastAsia="Times New Roman"/>
      <w:kern w:val="0"/>
      <w:lang w:eastAsia="zh-CN" w:bidi="ar-SA"/>
    </w:rPr>
  </w:style>
  <w:style w:type="paragraph" w:customStyle="1" w:styleId="23">
    <w:name w:val="修订2"/>
    <w:autoRedefine/>
    <w:hidden/>
    <w:uiPriority w:val="99"/>
    <w:semiHidden/>
    <w:qFormat/>
    <w:rPr>
      <w:rFonts w:asciiTheme="minorHAnsi" w:hAnsiTheme="minorHAnsi" w:cstheme="minorBidi"/>
      <w:kern w:val="2"/>
      <w:sz w:val="21"/>
      <w:szCs w:val="22"/>
    </w:rPr>
  </w:style>
  <w:style w:type="paragraph" w:customStyle="1" w:styleId="33">
    <w:name w:val="修订3"/>
    <w:autoRedefine/>
    <w:hidden/>
    <w:uiPriority w:val="99"/>
    <w:semiHidden/>
    <w:qFormat/>
    <w:rPr>
      <w:rFonts w:asciiTheme="minorHAnsi" w:eastAsiaTheme="minorEastAsia" w:hAnsiTheme="minorHAnsi"/>
      <w:kern w:val="2"/>
      <w:sz w:val="24"/>
      <w:szCs w:val="24"/>
      <w:lang w:eastAsia="en-US" w:bidi="en-US"/>
    </w:rPr>
  </w:style>
  <w:style w:type="table" w:customStyle="1" w:styleId="6-11">
    <w:name w:val="清单表 6 彩色 - 着色 11"/>
    <w:basedOn w:val="a1"/>
    <w:autoRedefine/>
    <w:uiPriority w:val="51"/>
    <w:qFormat/>
    <w:rPr>
      <w:rFonts w:asciiTheme="minorHAnsi" w:eastAsiaTheme="minorEastAsia" w:hAnsiTheme="minorHAnsi" w:cstheme="minorBidi"/>
      <w:color w:val="365F91" w:themeColor="accent1" w:themeShade="BF"/>
      <w:kern w:val="2"/>
      <w:sz w:val="21"/>
      <w:szCs w:val="22"/>
    </w:rPr>
    <w:tblPr>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ffb">
    <w:name w:val="专题：摘要"/>
    <w:basedOn w:val="a"/>
    <w:autoRedefine/>
    <w:qFormat/>
    <w:pPr>
      <w:ind w:firstLine="480"/>
      <w:outlineLvl w:val="1"/>
    </w:pPr>
    <w:rPr>
      <w:rFonts w:eastAsia="楷体"/>
      <w:lang w:eastAsia="zh-CN"/>
    </w:rPr>
  </w:style>
  <w:style w:type="paragraph" w:customStyle="1" w:styleId="affc">
    <w:name w:val="专题大标题"/>
    <w:basedOn w:val="1"/>
    <w:autoRedefine/>
    <w:qFormat/>
    <w:pPr>
      <w:framePr w:hSpace="180" w:wrap="around" w:vAnchor="text" w:hAnchor="margin" w:xAlign="center" w:y="34"/>
    </w:pPr>
  </w:style>
  <w:style w:type="paragraph" w:customStyle="1" w:styleId="-4">
    <w:name w:val="文中标题-季度报告"/>
    <w:basedOn w:val="a"/>
    <w:link w:val="-Char1"/>
    <w:autoRedefine/>
    <w:qFormat/>
    <w:rsid w:val="000E0157"/>
    <w:pPr>
      <w:ind w:firstLineChars="0" w:firstLine="0"/>
    </w:pPr>
    <w:rPr>
      <w:rFonts w:asciiTheme="minorEastAsia" w:hAnsiTheme="minorEastAsia"/>
      <w:b/>
      <w:bCs/>
      <w:lang w:eastAsia="zh-CN" w:bidi="ar-SA"/>
    </w:rPr>
  </w:style>
  <w:style w:type="character" w:customStyle="1" w:styleId="-Char1">
    <w:name w:val="文中标题-季度报告 Char"/>
    <w:basedOn w:val="a0"/>
    <w:link w:val="-4"/>
    <w:autoRedefine/>
    <w:qFormat/>
    <w:rsid w:val="000E0157"/>
    <w:rPr>
      <w:rFonts w:asciiTheme="minorEastAsia" w:eastAsiaTheme="minorEastAsia" w:hAnsiTheme="minorEastAsia"/>
      <w:b/>
      <w:bCs/>
      <w:kern w:val="2"/>
      <w:sz w:val="24"/>
      <w:szCs w:val="24"/>
    </w:rPr>
  </w:style>
  <w:style w:type="character" w:customStyle="1" w:styleId="Char">
    <w:name w:val="题注 Char"/>
    <w:link w:val="a4"/>
    <w:autoRedefine/>
    <w:uiPriority w:val="35"/>
    <w:qFormat/>
    <w:rsid w:val="00D37774"/>
    <w:rPr>
      <w:rFonts w:ascii="宋体" w:hAnsi="宋体" w:cs="宋体"/>
      <w:b/>
      <w:bCs/>
      <w:color w:val="000000"/>
      <w:kern w:val="2"/>
      <w:sz w:val="24"/>
      <w:szCs w:val="24"/>
    </w:rPr>
  </w:style>
  <w:style w:type="character" w:customStyle="1" w:styleId="151">
    <w:name w:val="15"/>
    <w:basedOn w:val="a0"/>
    <w:autoRedefine/>
    <w:qFormat/>
    <w:rPr>
      <w:vertAlign w:val="superscript"/>
    </w:rPr>
  </w:style>
  <w:style w:type="paragraph" w:customStyle="1" w:styleId="1f">
    <w:name w:val="正文1"/>
    <w:autoRedefine/>
    <w:qFormat/>
    <w:pPr>
      <w:jc w:val="both"/>
    </w:pPr>
    <w:rPr>
      <w:rFonts w:ascii="等线" w:hAnsi="等线" w:cs="宋体"/>
      <w:kern w:val="2"/>
      <w:sz w:val="21"/>
      <w:szCs w:val="21"/>
    </w:rPr>
  </w:style>
  <w:style w:type="paragraph" w:customStyle="1" w:styleId="42">
    <w:name w:val="修订4"/>
    <w:autoRedefine/>
    <w:hidden/>
    <w:uiPriority w:val="99"/>
    <w:semiHidden/>
    <w:qFormat/>
    <w:rPr>
      <w:rFonts w:eastAsiaTheme="minorEastAsia"/>
      <w:kern w:val="2"/>
      <w:sz w:val="24"/>
      <w:szCs w:val="24"/>
      <w:lang w:eastAsia="en-US" w:bidi="en-US"/>
    </w:rPr>
  </w:style>
  <w:style w:type="paragraph" w:customStyle="1" w:styleId="affd">
    <w:name w:val="正文_博士论文"/>
    <w:basedOn w:val="a"/>
    <w:link w:val="Charf2"/>
    <w:autoRedefine/>
    <w:qFormat/>
    <w:pPr>
      <w:widowControl w:val="0"/>
      <w:spacing w:line="400" w:lineRule="exact"/>
      <w:textAlignment w:val="center"/>
    </w:pPr>
    <w:rPr>
      <w:rFonts w:eastAsia="宋体" w:cs="宋体"/>
      <w:color w:val="000000"/>
      <w:kern w:val="0"/>
      <w:szCs w:val="22"/>
      <w:lang w:eastAsia="zh-CN" w:bidi="ar-SA"/>
    </w:rPr>
  </w:style>
  <w:style w:type="character" w:customStyle="1" w:styleId="Charf2">
    <w:name w:val="正文_博士论文 Char"/>
    <w:basedOn w:val="a0"/>
    <w:link w:val="affd"/>
    <w:autoRedefine/>
    <w:qFormat/>
    <w:rPr>
      <w:rFonts w:cs="宋体"/>
      <w:color w:val="000000"/>
      <w:sz w:val="24"/>
      <w:szCs w:val="22"/>
    </w:rPr>
  </w:style>
  <w:style w:type="character" w:customStyle="1" w:styleId="24">
    <w:name w:val="未处理的提及2"/>
    <w:basedOn w:val="a0"/>
    <w:autoRedefine/>
    <w:uiPriority w:val="99"/>
    <w:semiHidden/>
    <w:unhideWhenUsed/>
    <w:qFormat/>
    <w:rPr>
      <w:color w:val="605E5C"/>
      <w:shd w:val="clear" w:color="auto" w:fill="E1DFDD"/>
    </w:rPr>
  </w:style>
  <w:style w:type="character" w:customStyle="1" w:styleId="bjh-p">
    <w:name w:val="bjh-p"/>
    <w:basedOn w:val="a0"/>
    <w:autoRedefine/>
    <w:qFormat/>
  </w:style>
  <w:style w:type="character" w:customStyle="1" w:styleId="bjh-strong3">
    <w:name w:val="bjh-strong3"/>
    <w:basedOn w:val="a0"/>
    <w:autoRedefine/>
    <w:qFormat/>
  </w:style>
  <w:style w:type="paragraph" w:customStyle="1" w:styleId="52">
    <w:name w:val="修订5"/>
    <w:autoRedefine/>
    <w:hidden/>
    <w:uiPriority w:val="99"/>
    <w:semiHidden/>
    <w:qFormat/>
    <w:rPr>
      <w:rFonts w:eastAsiaTheme="minorEastAsia"/>
      <w:kern w:val="2"/>
      <w:sz w:val="24"/>
      <w:szCs w:val="24"/>
      <w:lang w:eastAsia="en-US" w:bidi="en-US"/>
    </w:rPr>
  </w:style>
  <w:style w:type="paragraph" w:customStyle="1" w:styleId="affe">
    <w:name w:val="目录第二级"/>
    <w:basedOn w:val="a"/>
    <w:link w:val="afff"/>
    <w:autoRedefine/>
    <w:qFormat/>
    <w:pPr>
      <w:spacing w:beforeLines="50" w:before="156"/>
      <w:ind w:firstLine="480"/>
      <w:outlineLvl w:val="1"/>
    </w:pPr>
    <w:rPr>
      <w:rFonts w:eastAsia="楷体"/>
      <w:lang w:eastAsia="zh-CN"/>
    </w:rPr>
  </w:style>
  <w:style w:type="character" w:customStyle="1" w:styleId="afff">
    <w:name w:val="目录第二级 字符"/>
    <w:basedOn w:val="a0"/>
    <w:link w:val="affe"/>
    <w:autoRedefine/>
    <w:qFormat/>
    <w:rPr>
      <w:rFonts w:eastAsia="楷体"/>
      <w:kern w:val="2"/>
      <w:sz w:val="24"/>
      <w:szCs w:val="24"/>
      <w:lang w:bidi="en-US"/>
    </w:rPr>
  </w:style>
  <w:style w:type="paragraph" w:customStyle="1" w:styleId="afff0">
    <w:name w:val="季报一级标题"/>
    <w:basedOn w:val="a"/>
    <w:link w:val="afff1"/>
    <w:autoRedefine/>
    <w:qFormat/>
    <w:pPr>
      <w:spacing w:beforeLines="100" w:before="312"/>
      <w:ind w:firstLineChars="0" w:firstLine="0"/>
    </w:pPr>
    <w:rPr>
      <w:b/>
      <w:sz w:val="28"/>
      <w:szCs w:val="28"/>
      <w:lang w:eastAsia="zh-CN"/>
    </w:rPr>
  </w:style>
  <w:style w:type="character" w:customStyle="1" w:styleId="afff1">
    <w:name w:val="季报一级标题 字符"/>
    <w:basedOn w:val="a0"/>
    <w:link w:val="afff0"/>
    <w:autoRedefine/>
    <w:qFormat/>
    <w:rPr>
      <w:rFonts w:eastAsiaTheme="minorEastAsia"/>
      <w:b/>
      <w:kern w:val="2"/>
      <w:sz w:val="28"/>
      <w:szCs w:val="28"/>
      <w:lang w:bidi="en-US"/>
    </w:rPr>
  </w:style>
  <w:style w:type="paragraph" w:customStyle="1" w:styleId="62">
    <w:name w:val="修订6"/>
    <w:hidden/>
    <w:uiPriority w:val="99"/>
    <w:unhideWhenUsed/>
    <w:qFormat/>
    <w:rPr>
      <w:rFonts w:eastAsiaTheme="minorEastAsia"/>
      <w:kern w:val="2"/>
      <w:sz w:val="24"/>
      <w:szCs w:val="24"/>
      <w:lang w:eastAsia="en-US" w:bidi="en-US"/>
    </w:rPr>
  </w:style>
  <w:style w:type="table" w:customStyle="1" w:styleId="311">
    <w:name w:val="网格型31"/>
    <w:basedOn w:val="a1"/>
    <w:uiPriority w:val="59"/>
    <w:qFormat/>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3">
    <w:name w:val="TOC 标题3"/>
    <w:basedOn w:val="1"/>
    <w:next w:val="a"/>
    <w:uiPriority w:val="39"/>
    <w:unhideWhenUsed/>
    <w:qFormat/>
    <w:pPr>
      <w:keepLines/>
      <w:spacing w:after="0" w:line="259" w:lineRule="auto"/>
      <w:jc w:val="left"/>
      <w:outlineLvl w:val="9"/>
    </w:pPr>
    <w:rPr>
      <w:rFonts w:asciiTheme="majorHAnsi" w:eastAsiaTheme="majorEastAsia" w:hAnsiTheme="majorHAnsi" w:cstheme="majorBidi"/>
      <w:b w:val="0"/>
      <w:bCs w:val="0"/>
      <w:color w:val="365F91" w:themeColor="accent1" w:themeShade="BF"/>
      <w:kern w:val="0"/>
    </w:rPr>
  </w:style>
  <w:style w:type="paragraph" w:styleId="afff2">
    <w:name w:val="Revision"/>
    <w:hidden/>
    <w:uiPriority w:val="99"/>
    <w:unhideWhenUsed/>
    <w:rsid w:val="00244427"/>
    <w:rPr>
      <w:rFonts w:eastAsiaTheme="minorEastAsia"/>
      <w:kern w:val="2"/>
      <w:sz w:val="24"/>
      <w:szCs w:val="24"/>
      <w:lang w:eastAsia="en-US" w:bidi="en-US"/>
    </w:rPr>
  </w:style>
  <w:style w:type="paragraph" w:customStyle="1" w:styleId="1f0">
    <w:name w:val="列表段落1"/>
    <w:basedOn w:val="a"/>
    <w:uiPriority w:val="34"/>
    <w:qFormat/>
    <w:rsid w:val="006432F3"/>
    <w:pPr>
      <w:spacing w:after="160"/>
      <w:ind w:left="720"/>
      <w:contextualSpacing/>
    </w:pPr>
    <w:rPr>
      <w:rFonts w:ascii="Calibri" w:hAnsi="Calibri" w:cstheme="majorBidi"/>
      <w:szCs w:val="22"/>
    </w:rPr>
  </w:style>
  <w:style w:type="table" w:customStyle="1" w:styleId="2-51">
    <w:name w:val="网格表 2 - 着色 51"/>
    <w:basedOn w:val="a1"/>
    <w:next w:val="GridTable2Accent5"/>
    <w:uiPriority w:val="47"/>
    <w:rsid w:val="00D45CDB"/>
    <w:rPr>
      <w:rFonts w:ascii="Calibri" w:hAnsi="Calibri"/>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5">
    <w:name w:val="Grid Table 2 Accent 5"/>
    <w:basedOn w:val="a1"/>
    <w:uiPriority w:val="47"/>
    <w:rsid w:val="00D45CDB"/>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320">
    <w:name w:val="网格型32"/>
    <w:basedOn w:val="a1"/>
    <w:uiPriority w:val="59"/>
    <w:qFormat/>
    <w:rsid w:val="00CD310D"/>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30074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1" w:defQFormat="0" w:count="267">
    <w:lsdException w:name="Normal" w:uiPriority="0" w:unhideWhenUsed="0" w:qFormat="1"/>
    <w:lsdException w:name="heading 1"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uiPriority="39"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qFormat="1"/>
    <w:lsdException w:name="footnote text" w:unhideWhenUsed="0" w:qFormat="1"/>
    <w:lsdException w:name="annotation text" w:qFormat="1"/>
    <w:lsdException w:name="header" w:qFormat="1"/>
    <w:lsdException w:name="footer" w:qFormat="1"/>
    <w:lsdException w:name="index heading" w:semiHidden="1"/>
    <w:lsdException w:name="caption" w:uiPriority="35" w:qFormat="1"/>
    <w:lsdException w:name="table of figures" w:qFormat="1"/>
    <w:lsdException w:name="envelope address" w:semiHidden="1"/>
    <w:lsdException w:name="envelope return" w:semiHidden="1"/>
    <w:lsdException w:name="footnote reference" w:unhideWhenUsed="0" w:qFormat="1"/>
    <w:lsdException w:name="annotation reference" w:qFormat="1"/>
    <w:lsdException w:name="line number" w:qFormat="1"/>
    <w:lsdException w:name="page number" w:uiPriority="0" w:unhideWhenUsed="0" w:qFormat="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unhideWhenUsed="0" w:qFormat="1"/>
    <w:lsdException w:name="Closing" w:semiHidden="1"/>
    <w:lsdException w:name="Signature" w:semiHidden="1"/>
    <w:lsdException w:name="Default Paragraph Font" w:uiPriority="1" w:qFormat="1"/>
    <w:lsdException w:name="Body Text" w:uiPriority="0" w:unhideWhenUsed="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unhideWhenUsed="0" w:qFormat="1"/>
    <w:lsdException w:name="Salutation" w:semiHidden="1"/>
    <w:lsdException w:name="Date" w:qFormat="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qFormat="1"/>
    <w:lsdException w:name="Strong" w:uiPriority="22" w:unhideWhenUsed="0" w:qFormat="1"/>
    <w:lsdException w:name="Emphasis" w:uiPriority="20" w:unhideWhenUsed="0" w:qFormat="1"/>
    <w:lsdException w:name="Document Map" w:semiHidden="1"/>
    <w:lsdException w:name="Plain Text" w:semiHidden="1"/>
    <w:lsdException w:name="E-mail Signature" w:semiHidden="1"/>
    <w:lsdException w:name="HTML Top of Form" w:semiHidden="1"/>
    <w:lsdException w:name="HTML Bottom of Form" w:semiHidden="1"/>
    <w:lsdException w:name="Normal (Web)"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qFormat="1"/>
    <w:lsdException w:name="annotation subject" w:qFormat="1"/>
    <w:lsdException w:name="No List" w:semiHidden="1"/>
    <w:lsdException w:name="Outline List 1" w:semiHidden="1"/>
    <w:lsdException w:name="Outline List 2" w:semiHidden="1"/>
    <w:lsdException w:name="Outline List 3" w:semiHidden="1"/>
    <w:lsdException w:name="Table Simple 1" w:semiHidden="1"/>
    <w:lsdException w:name="Table Simple 2" w:semiHidden="1"/>
    <w:lsdException w:name="Table Simple 3" w:semiHidden="1"/>
    <w:lsdException w:name="Table Classic 1" w:semiHidden="1"/>
    <w:lsdException w:name="Table Classic 2" w:semiHidden="1"/>
    <w:lsdException w:name="Table Classic 3" w:semiHidden="1"/>
    <w:lsdException w:name="Table Classic 4" w:semiHidden="1"/>
    <w:lsdException w:name="Table Colorful 1" w:semiHidden="1"/>
    <w:lsdException w:name="Table Colorful 2" w:semiHidden="1"/>
    <w:lsdException w:name="Table Colorful 3" w:semiHidden="1"/>
    <w:lsdException w:name="Table Columns 1" w:semiHidden="1"/>
    <w:lsdException w:name="Table Columns 2" w:semiHidden="1"/>
    <w:lsdException w:name="Table Columns 3" w:semiHidden="1"/>
    <w:lsdException w:name="Table Columns 4" w:semiHidden="1"/>
    <w:lsdException w:name="Table Columns 5" w:semiHidden="1"/>
    <w:lsdException w:name="Table Grid 1" w:semiHidden="1"/>
    <w:lsdException w:name="Table Grid 2" w:semiHidden="1"/>
    <w:lsdException w:name="Table Grid 3" w:semiHidden="1"/>
    <w:lsdException w:name="Table Grid 4" w:semiHidden="1"/>
    <w:lsdException w:name="Table Grid 5" w:semiHidden="1"/>
    <w:lsdException w:name="Table Grid 6" w:semiHidden="1"/>
    <w:lsdException w:name="Table Grid 7" w:semiHidden="1"/>
    <w:lsdException w:name="Table Grid 8" w:semiHidden="1"/>
    <w:lsdException w:name="Table List 1" w:semiHidden="1"/>
    <w:lsdException w:name="Table List 2" w:semiHidden="1"/>
    <w:lsdException w:name="Table List 3" w:semiHidden="1"/>
    <w:lsdException w:name="Table List 4" w:semiHidden="1"/>
    <w:lsdException w:name="Table List 5" w:semiHidden="1"/>
    <w:lsdException w:name="Table List 6" w:semiHidden="1"/>
    <w:lsdException w:name="Table List 7" w:semiHidden="1"/>
    <w:lsdException w:name="Table List 8" w:semiHidden="1"/>
    <w:lsdException w:name="Table 3D effects 1" w:semiHidden="1"/>
    <w:lsdException w:name="Table 3D effects 2" w:semiHidden="1"/>
    <w:lsdException w:name="Table 3D effects 3" w:semiHidden="1"/>
    <w:lsdException w:name="Table Contemporary" w:semiHidden="1"/>
    <w:lsdException w:name="Table Elegant" w:semiHidden="1"/>
    <w:lsdException w:name="Table Professional" w:semiHidden="1"/>
    <w:lsdException w:name="Table Subtle 1" w:semiHidden="1"/>
    <w:lsdException w:name="Table Subtle 2" w:semiHidden="1"/>
    <w:lsdException w:name="Table Web 1" w:semiHidden="1"/>
    <w:lsdException w:name="Table Web 2" w:semiHidden="1"/>
    <w:lsdException w:name="Table Web 3" w:semiHidden="1"/>
    <w:lsdException w:name="Balloon Text" w:qFormat="1"/>
    <w:lsdException w:name="Table Grid" w:uiPriority="59" w:unhideWhenUsed="0" w:qFormat="1"/>
    <w:lsdException w:name="Table Theme" w:semiHidden="1"/>
    <w:lsdException w:name="Placeholder Text" w:semiHidden="1"/>
    <w:lsdException w:name="No Spacing" w:semiHidden="1"/>
    <w:lsdException w:name="Light Shading" w:uiPriority="60" w:unhideWhenUsed="0"/>
    <w:lsdException w:name="Light List" w:uiPriority="61" w:unhideWhenUsed="0"/>
    <w:lsdException w:name="Light Grid" w:uiPriority="62" w:unhideWhenUsed="0"/>
    <w:lsdException w:name="Medium Shading 1" w:uiPriority="63" w:unhideWhenUsed="0"/>
    <w:lsdException w:name="Medium Shading 2" w:uiPriority="64" w:unhideWhenUsed="0"/>
    <w:lsdException w:name="Medium List 1" w:uiPriority="65" w:unhideWhenUsed="0"/>
    <w:lsdException w:name="Medium List 2" w:uiPriority="66" w:unhideWhenUsed="0"/>
    <w:lsdException w:name="Medium Grid 1" w:uiPriority="67" w:unhideWhenUsed="0"/>
    <w:lsdException w:name="Medium Grid 2" w:uiPriority="68" w:unhideWhenUsed="0"/>
    <w:lsdException w:name="Medium Grid 3" w:uiPriority="69" w:unhideWhenUsed="0"/>
    <w:lsdException w:name="Dark List" w:uiPriority="70" w:unhideWhenUsed="0"/>
    <w:lsdException w:name="Colorful Shading" w:uiPriority="71" w:unhideWhenUsed="0"/>
    <w:lsdException w:name="Colorful List" w:uiPriority="72" w:unhideWhenUsed="0"/>
    <w:lsdException w:name="Colorful Grid" w:uiPriority="73" w:unhideWhenUsed="0"/>
    <w:lsdException w:name="Light Shading Accent 1" w:uiPriority="60" w:unhideWhenUsed="0"/>
    <w:lsdException w:name="Light List Accent 1" w:uiPriority="61" w:unhideWhenUsed="0"/>
    <w:lsdException w:name="Light Grid Accent 1" w:uiPriority="62" w:unhideWhenUsed="0"/>
    <w:lsdException w:name="Medium Shading 1 Accent 1" w:uiPriority="63" w:unhideWhenUsed="0"/>
    <w:lsdException w:name="Medium Shading 2 Accent 1" w:uiPriority="64" w:unhideWhenUsed="0"/>
    <w:lsdException w:name="Medium List 1 Accent 1" w:uiPriority="65" w:unhideWhenUsed="0"/>
    <w:lsdException w:name="Revision" w:semiHidden="1"/>
    <w:lsdException w:name="List Paragraph" w:uiPriority="34" w:unhideWhenUsed="0" w:qFormat="1"/>
    <w:lsdException w:name="Quote" w:semiHidden="1"/>
    <w:lsdException w:name="Intense Quote" w:semiHidden="1"/>
    <w:lsdException w:name="Medium List 2 Accent 1" w:uiPriority="66" w:unhideWhenUsed="0"/>
    <w:lsdException w:name="Medium Grid 1 Accent 1" w:uiPriority="67" w:unhideWhenUsed="0"/>
    <w:lsdException w:name="Medium Grid 2 Accent 1" w:uiPriority="68" w:unhideWhenUsed="0"/>
    <w:lsdException w:name="Medium Grid 3 Accent 1" w:uiPriority="69" w:unhideWhenUsed="0"/>
    <w:lsdException w:name="Dark List Accent 1" w:uiPriority="70" w:unhideWhenUsed="0"/>
    <w:lsdException w:name="Colorful Shading Accent 1" w:uiPriority="71" w:unhideWhenUsed="0"/>
    <w:lsdException w:name="Colorful List Accent 1" w:uiPriority="72" w:unhideWhenUsed="0"/>
    <w:lsdException w:name="Colorful Grid Accent 1" w:uiPriority="73" w:unhideWhenUsed="0"/>
    <w:lsdException w:name="Light Shading Accent 2" w:uiPriority="60" w:unhideWhenUsed="0"/>
    <w:lsdException w:name="Light List Accent 2" w:uiPriority="61" w:unhideWhenUsed="0"/>
    <w:lsdException w:name="Light Grid Accent 2" w:uiPriority="62" w:unhideWhenUsed="0"/>
    <w:lsdException w:name="Medium Shading 1 Accent 2" w:uiPriority="63" w:unhideWhenUsed="0"/>
    <w:lsdException w:name="Medium Shading 2 Accent 2" w:uiPriority="64" w:unhideWhenUsed="0"/>
    <w:lsdException w:name="Medium List 1 Accent 2" w:uiPriority="65" w:unhideWhenUsed="0"/>
    <w:lsdException w:name="Medium List 2 Accent 2" w:uiPriority="66" w:unhideWhenUsed="0"/>
    <w:lsdException w:name="Medium Grid 1 Accent 2" w:uiPriority="67" w:unhideWhenUsed="0"/>
    <w:lsdException w:name="Medium Grid 2 Accent 2" w:uiPriority="68" w:unhideWhenUsed="0"/>
    <w:lsdException w:name="Medium Grid 3 Accent 2" w:uiPriority="69" w:unhideWhenUsed="0"/>
    <w:lsdException w:name="Dark List Accent 2" w:uiPriority="70" w:unhideWhenUsed="0"/>
    <w:lsdException w:name="Colorful Shading Accent 2" w:uiPriority="71" w:unhideWhenUsed="0"/>
    <w:lsdException w:name="Colorful List Accent 2" w:uiPriority="72" w:unhideWhenUsed="0"/>
    <w:lsdException w:name="Colorful Grid Accent 2" w:uiPriority="73" w:unhideWhenUsed="0"/>
    <w:lsdException w:name="Light Shading Accent 3" w:uiPriority="60" w:unhideWhenUsed="0"/>
    <w:lsdException w:name="Light List Accent 3" w:uiPriority="61" w:unhideWhenUsed="0"/>
    <w:lsdException w:name="Light Grid Accent 3" w:uiPriority="62" w:unhideWhenUsed="0"/>
    <w:lsdException w:name="Medium Shading 1 Accent 3" w:uiPriority="63" w:unhideWhenUsed="0"/>
    <w:lsdException w:name="Medium Shading 2 Accent 3" w:uiPriority="64" w:unhideWhenUsed="0"/>
    <w:lsdException w:name="Medium List 1 Accent 3" w:uiPriority="65" w:unhideWhenUsed="0"/>
    <w:lsdException w:name="Medium List 2 Accent 3" w:uiPriority="66" w:unhideWhenUsed="0"/>
    <w:lsdException w:name="Medium Grid 1 Accent 3" w:uiPriority="67" w:unhideWhenUsed="0"/>
    <w:lsdException w:name="Medium Grid 2 Accent 3" w:uiPriority="68" w:unhideWhenUsed="0"/>
    <w:lsdException w:name="Medium Grid 3 Accent 3" w:uiPriority="69" w:unhideWhenUsed="0"/>
    <w:lsdException w:name="Dark List Accent 3" w:uiPriority="70" w:unhideWhenUsed="0"/>
    <w:lsdException w:name="Colorful Shading Accent 3" w:uiPriority="71" w:unhideWhenUsed="0"/>
    <w:lsdException w:name="Colorful List Accent 3" w:uiPriority="72" w:unhideWhenUsed="0"/>
    <w:lsdException w:name="Colorful Grid Accent 3" w:uiPriority="73" w:unhideWhenUsed="0"/>
    <w:lsdException w:name="Light Shading Accent 4" w:uiPriority="60" w:unhideWhenUsed="0"/>
    <w:lsdException w:name="Light List Accent 4" w:uiPriority="61" w:unhideWhenUsed="0"/>
    <w:lsdException w:name="Light Grid Accent 4" w:uiPriority="62" w:unhideWhenUsed="0"/>
    <w:lsdException w:name="Medium Shading 1 Accent 4" w:uiPriority="63" w:unhideWhenUsed="0" w:qFormat="1"/>
    <w:lsdException w:name="Medium Shading 2 Accent 4" w:uiPriority="64" w:unhideWhenUsed="0"/>
    <w:lsdException w:name="Medium List 1 Accent 4" w:uiPriority="65" w:unhideWhenUsed="0"/>
    <w:lsdException w:name="Medium List 2 Accent 4" w:uiPriority="66" w:unhideWhenUsed="0"/>
    <w:lsdException w:name="Medium Grid 1 Accent 4" w:uiPriority="67" w:unhideWhenUsed="0"/>
    <w:lsdException w:name="Medium Grid 2 Accent 4" w:uiPriority="68" w:unhideWhenUsed="0"/>
    <w:lsdException w:name="Medium Grid 3 Accent 4" w:uiPriority="69" w:unhideWhenUsed="0"/>
    <w:lsdException w:name="Dark List Accent 4" w:uiPriority="70" w:unhideWhenUsed="0"/>
    <w:lsdException w:name="Colorful Shading Accent 4" w:uiPriority="71" w:unhideWhenUsed="0"/>
    <w:lsdException w:name="Colorful List Accent 4" w:uiPriority="72" w:unhideWhenUsed="0"/>
    <w:lsdException w:name="Colorful Grid Accent 4" w:uiPriority="73" w:unhideWhenUsed="0"/>
    <w:lsdException w:name="Light Shading Accent 5" w:uiPriority="60" w:unhideWhenUsed="0"/>
    <w:lsdException w:name="Light List Accent 5" w:uiPriority="61" w:unhideWhenUsed="0"/>
    <w:lsdException w:name="Light Grid Accent 5" w:uiPriority="62" w:unhideWhenUsed="0"/>
    <w:lsdException w:name="Medium Shading 1 Accent 5" w:uiPriority="63" w:unhideWhenUsed="0"/>
    <w:lsdException w:name="Medium Shading 2 Accent 5" w:uiPriority="64" w:unhideWhenUsed="0"/>
    <w:lsdException w:name="Medium List 1 Accent 5" w:uiPriority="65" w:unhideWhenUsed="0"/>
    <w:lsdException w:name="Medium List 2 Accent 5" w:uiPriority="66" w:unhideWhenUsed="0"/>
    <w:lsdException w:name="Medium Grid 1 Accent 5" w:uiPriority="67" w:unhideWhenUsed="0"/>
    <w:lsdException w:name="Medium Grid 2 Accent 5" w:uiPriority="68" w:unhideWhenUsed="0"/>
    <w:lsdException w:name="Medium Grid 3 Accent 5" w:uiPriority="69" w:unhideWhenUsed="0"/>
    <w:lsdException w:name="Dark List Accent 5" w:uiPriority="70" w:unhideWhenUsed="0"/>
    <w:lsdException w:name="Colorful Shading Accent 5" w:uiPriority="71" w:unhideWhenUsed="0"/>
    <w:lsdException w:name="Colorful List Accent 5" w:uiPriority="72" w:unhideWhenUsed="0"/>
    <w:lsdException w:name="Colorful Grid Accent 5" w:uiPriority="73" w:unhideWhenUsed="0"/>
    <w:lsdException w:name="Light Shading Accent 6" w:uiPriority="60" w:unhideWhenUsed="0"/>
    <w:lsdException w:name="Light List Accent 6" w:uiPriority="61" w:unhideWhenUsed="0"/>
    <w:lsdException w:name="Light Grid Accent 6" w:uiPriority="62" w:unhideWhenUsed="0"/>
    <w:lsdException w:name="Medium Shading 1 Accent 6" w:uiPriority="63" w:unhideWhenUsed="0"/>
    <w:lsdException w:name="Medium Shading 2 Accent 6" w:uiPriority="64" w:unhideWhenUsed="0"/>
    <w:lsdException w:name="Medium List 1 Accent 6" w:uiPriority="65" w:unhideWhenUsed="0"/>
    <w:lsdException w:name="Medium List 2 Accent 6" w:uiPriority="66" w:unhideWhenUsed="0"/>
    <w:lsdException w:name="Medium Grid 1 Accent 6" w:uiPriority="67" w:unhideWhenUsed="0"/>
    <w:lsdException w:name="Medium Grid 2 Accent 6" w:uiPriority="68" w:unhideWhenUsed="0"/>
    <w:lsdException w:name="Medium Grid 3 Accent 6" w:uiPriority="69" w:unhideWhenUsed="0"/>
    <w:lsdException w:name="Dark List Accent 6" w:uiPriority="70" w:unhideWhenUsed="0"/>
    <w:lsdException w:name="Colorful Shading Accent 6" w:uiPriority="71" w:unhideWhenUsed="0"/>
    <w:lsdException w:name="Colorful List Accent 6" w:uiPriority="72" w:unhideWhenUsed="0"/>
    <w:lsdException w:name="Colorful Grid Accent 6"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semiHidden="1" w:uiPriority="37"/>
    <w:lsdException w:name="TOC Heading" w:semiHidden="1" w:uiPriority="39" w:qFormat="1"/>
  </w:latentStyles>
  <w:style w:type="paragraph" w:default="1" w:styleId="a">
    <w:name w:val="Normal"/>
    <w:qFormat/>
    <w:pPr>
      <w:spacing w:line="360" w:lineRule="auto"/>
      <w:ind w:firstLineChars="200" w:firstLine="200"/>
      <w:jc w:val="both"/>
    </w:pPr>
    <w:rPr>
      <w:rFonts w:eastAsiaTheme="minorEastAsia"/>
      <w:kern w:val="2"/>
      <w:sz w:val="24"/>
      <w:szCs w:val="24"/>
      <w:lang w:eastAsia="en-US" w:bidi="en-US"/>
    </w:rPr>
  </w:style>
  <w:style w:type="paragraph" w:styleId="1">
    <w:name w:val="heading 1"/>
    <w:basedOn w:val="a"/>
    <w:next w:val="a"/>
    <w:link w:val="1Char"/>
    <w:autoRedefine/>
    <w:uiPriority w:val="9"/>
    <w:qFormat/>
    <w:rsid w:val="0097404B"/>
    <w:pPr>
      <w:keepNext/>
      <w:spacing w:before="240" w:after="60"/>
      <w:ind w:firstLineChars="0" w:firstLine="0"/>
      <w:jc w:val="center"/>
      <w:outlineLvl w:val="0"/>
    </w:pPr>
    <w:rPr>
      <w:rFonts w:eastAsia="楷体"/>
      <w:b/>
      <w:bCs/>
      <w:kern w:val="32"/>
      <w:sz w:val="32"/>
      <w:szCs w:val="32"/>
      <w:lang w:eastAsia="zh-CN" w:bidi="ar-SA"/>
    </w:rPr>
  </w:style>
  <w:style w:type="paragraph" w:styleId="2">
    <w:name w:val="heading 2"/>
    <w:basedOn w:val="a"/>
    <w:next w:val="a"/>
    <w:link w:val="2Char"/>
    <w:uiPriority w:val="9"/>
    <w:unhideWhenUsed/>
    <w:qFormat/>
    <w:rsid w:val="00622200"/>
    <w:pPr>
      <w:keepNext/>
      <w:outlineLvl w:val="1"/>
    </w:pPr>
    <w:rPr>
      <w:rFonts w:ascii="Times" w:eastAsia="楷体" w:hAnsi="Times"/>
      <w:bCs/>
      <w:iCs/>
      <w:szCs w:val="28"/>
    </w:rPr>
  </w:style>
  <w:style w:type="paragraph" w:styleId="3">
    <w:name w:val="heading 3"/>
    <w:basedOn w:val="a"/>
    <w:next w:val="a"/>
    <w:link w:val="3Char"/>
    <w:uiPriority w:val="9"/>
    <w:unhideWhenUsed/>
    <w:qFormat/>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Char"/>
    <w:uiPriority w:val="9"/>
    <w:unhideWhenUsed/>
    <w:qFormat/>
    <w:pPr>
      <w:keepNext/>
      <w:spacing w:before="240" w:after="60"/>
      <w:outlineLvl w:val="3"/>
    </w:pPr>
    <w:rPr>
      <w:b/>
      <w:bCs/>
      <w:sz w:val="28"/>
      <w:szCs w:val="28"/>
    </w:rPr>
  </w:style>
  <w:style w:type="paragraph" w:styleId="5">
    <w:name w:val="heading 5"/>
    <w:basedOn w:val="a"/>
    <w:next w:val="a"/>
    <w:link w:val="5Char"/>
    <w:uiPriority w:val="9"/>
    <w:unhideWhenUsed/>
    <w:qFormat/>
    <w:pPr>
      <w:spacing w:before="240" w:after="60"/>
      <w:outlineLvl w:val="4"/>
    </w:pPr>
    <w:rPr>
      <w:b/>
      <w:bCs/>
      <w:i/>
      <w:iCs/>
      <w:sz w:val="26"/>
      <w:szCs w:val="26"/>
    </w:rPr>
  </w:style>
  <w:style w:type="paragraph" w:styleId="6">
    <w:name w:val="heading 6"/>
    <w:basedOn w:val="a"/>
    <w:next w:val="a"/>
    <w:link w:val="6Char"/>
    <w:uiPriority w:val="9"/>
    <w:unhideWhenUsed/>
    <w:qFormat/>
    <w:pPr>
      <w:spacing w:before="240" w:after="60"/>
      <w:outlineLvl w:val="5"/>
    </w:pPr>
    <w:rPr>
      <w:b/>
      <w:bCs/>
      <w:sz w:val="22"/>
      <w:szCs w:val="22"/>
    </w:rPr>
  </w:style>
  <w:style w:type="paragraph" w:styleId="7">
    <w:name w:val="heading 7"/>
    <w:basedOn w:val="a"/>
    <w:next w:val="a"/>
    <w:link w:val="7Char"/>
    <w:uiPriority w:val="9"/>
    <w:unhideWhenUsed/>
    <w:qFormat/>
    <w:pPr>
      <w:spacing w:before="240" w:after="60"/>
      <w:outlineLvl w:val="6"/>
    </w:pPr>
  </w:style>
  <w:style w:type="paragraph" w:styleId="8">
    <w:name w:val="heading 8"/>
    <w:basedOn w:val="a"/>
    <w:next w:val="a"/>
    <w:link w:val="8Char"/>
    <w:uiPriority w:val="9"/>
    <w:unhideWhenUsed/>
    <w:qFormat/>
    <w:pPr>
      <w:spacing w:before="240" w:after="60"/>
      <w:outlineLvl w:val="7"/>
    </w:pPr>
    <w:rPr>
      <w:i/>
      <w:iCs/>
    </w:rPr>
  </w:style>
  <w:style w:type="paragraph" w:styleId="9">
    <w:name w:val="heading 9"/>
    <w:basedOn w:val="a"/>
    <w:next w:val="a"/>
    <w:link w:val="9Char"/>
    <w:uiPriority w:val="9"/>
    <w:unhideWhenUsed/>
    <w:qFormat/>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autoRedefine/>
    <w:uiPriority w:val="99"/>
    <w:unhideWhenUsed/>
    <w:qFormat/>
    <w:pPr>
      <w:ind w:firstLine="420"/>
    </w:pPr>
  </w:style>
  <w:style w:type="paragraph" w:styleId="a4">
    <w:name w:val="caption"/>
    <w:basedOn w:val="-"/>
    <w:next w:val="a"/>
    <w:link w:val="Char"/>
    <w:autoRedefine/>
    <w:uiPriority w:val="35"/>
    <w:unhideWhenUsed/>
    <w:qFormat/>
    <w:rsid w:val="00D37774"/>
    <w:pPr>
      <w:keepNext/>
      <w:spacing w:before="120"/>
    </w:pPr>
    <w:rPr>
      <w:rFonts w:ascii="宋体" w:eastAsia="宋体" w:hAnsi="宋体" w:cs="宋体"/>
      <w:b/>
      <w:color w:val="000000"/>
      <w:sz w:val="24"/>
      <w:szCs w:val="24"/>
      <w:lang w:bidi="ar-SA"/>
    </w:rPr>
  </w:style>
  <w:style w:type="paragraph" w:styleId="a5">
    <w:name w:val="annotation text"/>
    <w:basedOn w:val="a"/>
    <w:link w:val="Char0"/>
    <w:autoRedefine/>
    <w:uiPriority w:val="99"/>
    <w:unhideWhenUsed/>
    <w:qFormat/>
  </w:style>
  <w:style w:type="paragraph" w:styleId="a6">
    <w:name w:val="Body Text"/>
    <w:basedOn w:val="a"/>
    <w:link w:val="Char1"/>
    <w:qFormat/>
    <w:pPr>
      <w:spacing w:after="180"/>
    </w:pPr>
    <w:rPr>
      <w:rFonts w:ascii="Garamond" w:eastAsia="宋体" w:hAnsi="Garamond"/>
      <w:szCs w:val="20"/>
      <w:lang w:bidi="ar-SA"/>
    </w:rPr>
  </w:style>
  <w:style w:type="paragraph" w:styleId="30">
    <w:name w:val="toc 3"/>
    <w:basedOn w:val="a"/>
    <w:next w:val="a"/>
    <w:uiPriority w:val="39"/>
    <w:unhideWhenUsed/>
    <w:qFormat/>
    <w:pPr>
      <w:spacing w:after="100" w:line="276" w:lineRule="auto"/>
      <w:ind w:left="440"/>
    </w:pPr>
    <w:rPr>
      <w:rFonts w:cstheme="minorBidi"/>
      <w:lang w:eastAsia="zh-CN" w:bidi="ar-SA"/>
    </w:rPr>
  </w:style>
  <w:style w:type="paragraph" w:styleId="a7">
    <w:name w:val="Date"/>
    <w:basedOn w:val="a"/>
    <w:next w:val="a"/>
    <w:link w:val="Char2"/>
    <w:uiPriority w:val="99"/>
    <w:unhideWhenUsed/>
    <w:qFormat/>
    <w:pPr>
      <w:ind w:leftChars="2500" w:left="100"/>
    </w:pPr>
  </w:style>
  <w:style w:type="paragraph" w:styleId="a8">
    <w:name w:val="Balloon Text"/>
    <w:basedOn w:val="a"/>
    <w:link w:val="Char3"/>
    <w:uiPriority w:val="99"/>
    <w:unhideWhenUsed/>
    <w:qFormat/>
    <w:rPr>
      <w:sz w:val="18"/>
      <w:szCs w:val="18"/>
    </w:rPr>
  </w:style>
  <w:style w:type="paragraph" w:styleId="a9">
    <w:name w:val="footer"/>
    <w:basedOn w:val="a"/>
    <w:link w:val="Char4"/>
    <w:uiPriority w:val="99"/>
    <w:unhideWhenUsed/>
    <w:qFormat/>
    <w:pPr>
      <w:tabs>
        <w:tab w:val="center" w:pos="4153"/>
        <w:tab w:val="right" w:pos="8306"/>
      </w:tabs>
      <w:snapToGrid w:val="0"/>
    </w:pPr>
    <w:rPr>
      <w:sz w:val="18"/>
      <w:szCs w:val="18"/>
    </w:rPr>
  </w:style>
  <w:style w:type="paragraph" w:styleId="aa">
    <w:name w:val="header"/>
    <w:basedOn w:val="a"/>
    <w:link w:val="Char5"/>
    <w:uiPriority w:val="99"/>
    <w:unhideWhenUsed/>
    <w:qFormat/>
    <w:pPr>
      <w:pBdr>
        <w:bottom w:val="single" w:sz="6" w:space="1" w:color="auto"/>
      </w:pBdr>
      <w:tabs>
        <w:tab w:val="center" w:pos="4153"/>
        <w:tab w:val="right" w:pos="8306"/>
      </w:tabs>
      <w:snapToGrid w:val="0"/>
      <w:ind w:firstLine="360"/>
      <w:jc w:val="center"/>
    </w:pPr>
    <w:rPr>
      <w:sz w:val="18"/>
    </w:rPr>
  </w:style>
  <w:style w:type="paragraph" w:styleId="10">
    <w:name w:val="toc 1"/>
    <w:basedOn w:val="a"/>
    <w:next w:val="a"/>
    <w:uiPriority w:val="39"/>
    <w:unhideWhenUsed/>
    <w:qFormat/>
    <w:rsid w:val="000725D1"/>
    <w:pPr>
      <w:tabs>
        <w:tab w:val="right" w:leader="dot" w:pos="9792"/>
      </w:tabs>
      <w:spacing w:before="163" w:after="100" w:line="276" w:lineRule="auto"/>
      <w:ind w:firstLineChars="0" w:firstLine="0"/>
    </w:pPr>
    <w:rPr>
      <w:rFonts w:eastAsia="楷体"/>
      <w:b/>
      <w:spacing w:val="20"/>
      <w:sz w:val="28"/>
      <w:lang w:eastAsia="zh-CN"/>
    </w:rPr>
  </w:style>
  <w:style w:type="paragraph" w:styleId="ab">
    <w:name w:val="Subtitle"/>
    <w:basedOn w:val="a"/>
    <w:next w:val="a"/>
    <w:link w:val="Char6"/>
    <w:autoRedefine/>
    <w:uiPriority w:val="11"/>
    <w:qFormat/>
    <w:pPr>
      <w:spacing w:beforeLines="50"/>
      <w:ind w:firstLine="480"/>
      <w:outlineLvl w:val="1"/>
    </w:pPr>
    <w:rPr>
      <w:rFonts w:asciiTheme="majorHAnsi" w:eastAsia="楷体" w:hAnsiTheme="majorHAnsi"/>
      <w:lang w:eastAsia="zh-CN"/>
    </w:rPr>
  </w:style>
  <w:style w:type="paragraph" w:styleId="ac">
    <w:name w:val="footnote text"/>
    <w:basedOn w:val="a"/>
    <w:link w:val="Char7"/>
    <w:autoRedefine/>
    <w:uiPriority w:val="99"/>
    <w:qFormat/>
    <w:pPr>
      <w:widowControl w:val="0"/>
      <w:snapToGrid w:val="0"/>
      <w:ind w:leftChars="-337" w:left="-809" w:rightChars="-337" w:right="-809" w:firstLine="360"/>
    </w:pPr>
    <w:rPr>
      <w:rFonts w:eastAsia="楷体"/>
      <w:sz w:val="18"/>
      <w:szCs w:val="18"/>
      <w:lang w:eastAsia="zh-CN" w:bidi="ar-SA"/>
    </w:rPr>
  </w:style>
  <w:style w:type="paragraph" w:styleId="ad">
    <w:name w:val="table of figures"/>
    <w:basedOn w:val="a"/>
    <w:next w:val="a"/>
    <w:uiPriority w:val="99"/>
    <w:unhideWhenUsed/>
    <w:qFormat/>
    <w:pPr>
      <w:tabs>
        <w:tab w:val="right" w:leader="dot" w:pos="9792"/>
      </w:tabs>
      <w:ind w:firstLineChars="0" w:firstLine="0"/>
    </w:pPr>
    <w:rPr>
      <w:rFonts w:eastAsia="楷体"/>
    </w:rPr>
  </w:style>
  <w:style w:type="paragraph" w:styleId="20">
    <w:name w:val="toc 2"/>
    <w:basedOn w:val="a"/>
    <w:next w:val="a"/>
    <w:autoRedefine/>
    <w:uiPriority w:val="39"/>
    <w:unhideWhenUsed/>
    <w:qFormat/>
    <w:rsid w:val="008349AA"/>
    <w:pPr>
      <w:tabs>
        <w:tab w:val="right" w:pos="8296"/>
      </w:tabs>
      <w:spacing w:line="300" w:lineRule="auto"/>
      <w:ind w:firstLineChars="173" w:firstLine="415"/>
    </w:pPr>
    <w:rPr>
      <w:rFonts w:ascii="Times" w:eastAsia="宋体" w:hAnsi="Times" w:cstheme="minorBidi"/>
      <w:noProof/>
      <w:szCs w:val="28"/>
      <w:lang w:eastAsia="zh-CN" w:bidi="ar-SA"/>
    </w:rPr>
  </w:style>
  <w:style w:type="paragraph" w:styleId="ae">
    <w:name w:val="Normal (Web)"/>
    <w:basedOn w:val="a"/>
    <w:autoRedefine/>
    <w:uiPriority w:val="99"/>
    <w:unhideWhenUsed/>
    <w:qFormat/>
    <w:pPr>
      <w:spacing w:before="187" w:after="187" w:line="240" w:lineRule="auto"/>
      <w:ind w:firstLineChars="0" w:firstLine="0"/>
    </w:pPr>
    <w:rPr>
      <w:rFonts w:ascii="宋体" w:eastAsia="宋体" w:hAnsi="宋体" w:cs="宋体"/>
      <w:sz w:val="13"/>
      <w:szCs w:val="13"/>
      <w:lang w:eastAsia="zh-CN" w:bidi="ar-SA"/>
    </w:rPr>
  </w:style>
  <w:style w:type="paragraph" w:styleId="af">
    <w:name w:val="Title"/>
    <w:basedOn w:val="a"/>
    <w:next w:val="a"/>
    <w:link w:val="Char8"/>
    <w:autoRedefine/>
    <w:uiPriority w:val="10"/>
    <w:qFormat/>
    <w:pPr>
      <w:spacing w:before="240" w:after="60"/>
      <w:jc w:val="center"/>
      <w:outlineLvl w:val="0"/>
    </w:pPr>
    <w:rPr>
      <w:rFonts w:asciiTheme="majorHAnsi" w:eastAsiaTheme="majorEastAsia" w:hAnsiTheme="majorHAnsi"/>
      <w:b/>
      <w:bCs/>
      <w:kern w:val="28"/>
      <w:sz w:val="32"/>
      <w:szCs w:val="32"/>
    </w:rPr>
  </w:style>
  <w:style w:type="paragraph" w:styleId="af0">
    <w:name w:val="annotation subject"/>
    <w:basedOn w:val="a5"/>
    <w:next w:val="a5"/>
    <w:link w:val="Char9"/>
    <w:autoRedefine/>
    <w:uiPriority w:val="99"/>
    <w:unhideWhenUsed/>
    <w:qFormat/>
    <w:rPr>
      <w:b/>
      <w:bCs/>
    </w:rPr>
  </w:style>
  <w:style w:type="table" w:styleId="af1">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4">
    <w:name w:val="Medium Shading 1 Accent 4"/>
    <w:basedOn w:val="a1"/>
    <w:autoRedefine/>
    <w:uiPriority w:val="63"/>
    <w:qFormat/>
    <w:rPr>
      <w:rFonts w:cstheme="minorBidi"/>
      <w:sz w:val="21"/>
    </w:rPr>
    <w:tblPr>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character" w:styleId="af2">
    <w:name w:val="Strong"/>
    <w:basedOn w:val="a0"/>
    <w:autoRedefine/>
    <w:uiPriority w:val="22"/>
    <w:qFormat/>
    <w:rPr>
      <w:rFonts w:eastAsia="楷体"/>
      <w:bCs/>
      <w:sz w:val="21"/>
    </w:rPr>
  </w:style>
  <w:style w:type="character" w:styleId="af3">
    <w:name w:val="page number"/>
    <w:basedOn w:val="a0"/>
    <w:autoRedefine/>
    <w:qFormat/>
  </w:style>
  <w:style w:type="character" w:styleId="af4">
    <w:name w:val="FollowedHyperlink"/>
    <w:basedOn w:val="a0"/>
    <w:uiPriority w:val="99"/>
    <w:unhideWhenUsed/>
    <w:qFormat/>
    <w:rPr>
      <w:color w:val="800080" w:themeColor="followedHyperlink"/>
      <w:u w:val="single"/>
    </w:rPr>
  </w:style>
  <w:style w:type="character" w:styleId="af5">
    <w:name w:val="Emphasis"/>
    <w:basedOn w:val="a0"/>
    <w:autoRedefine/>
    <w:uiPriority w:val="20"/>
    <w:qFormat/>
    <w:rPr>
      <w:rFonts w:asciiTheme="minorHAnsi" w:hAnsiTheme="minorHAnsi"/>
      <w:b/>
      <w:i/>
      <w:iCs/>
    </w:rPr>
  </w:style>
  <w:style w:type="character" w:styleId="af6">
    <w:name w:val="line number"/>
    <w:basedOn w:val="a0"/>
    <w:uiPriority w:val="99"/>
    <w:unhideWhenUsed/>
    <w:qFormat/>
  </w:style>
  <w:style w:type="character" w:styleId="af7">
    <w:name w:val="Hyperlink"/>
    <w:basedOn w:val="a0"/>
    <w:uiPriority w:val="99"/>
    <w:unhideWhenUsed/>
    <w:qFormat/>
    <w:rPr>
      <w:color w:val="0000FF" w:themeColor="hyperlink"/>
      <w:u w:val="single"/>
    </w:rPr>
  </w:style>
  <w:style w:type="character" w:styleId="af8">
    <w:name w:val="annotation reference"/>
    <w:basedOn w:val="a0"/>
    <w:uiPriority w:val="99"/>
    <w:unhideWhenUsed/>
    <w:qFormat/>
    <w:rPr>
      <w:sz w:val="21"/>
      <w:szCs w:val="21"/>
    </w:rPr>
  </w:style>
  <w:style w:type="character" w:styleId="af9">
    <w:name w:val="footnote reference"/>
    <w:basedOn w:val="a0"/>
    <w:autoRedefine/>
    <w:uiPriority w:val="99"/>
    <w:qFormat/>
    <w:rPr>
      <w:vertAlign w:val="superscript"/>
    </w:rPr>
  </w:style>
  <w:style w:type="character" w:customStyle="1" w:styleId="1Char">
    <w:name w:val="标题 1 Char"/>
    <w:basedOn w:val="a0"/>
    <w:link w:val="1"/>
    <w:autoRedefine/>
    <w:uiPriority w:val="9"/>
    <w:qFormat/>
    <w:rsid w:val="0097404B"/>
    <w:rPr>
      <w:rFonts w:eastAsia="楷体"/>
      <w:b/>
      <w:bCs/>
      <w:kern w:val="32"/>
      <w:sz w:val="32"/>
      <w:szCs w:val="32"/>
    </w:rPr>
  </w:style>
  <w:style w:type="character" w:customStyle="1" w:styleId="2Char">
    <w:name w:val="标题 2 Char"/>
    <w:basedOn w:val="a0"/>
    <w:link w:val="2"/>
    <w:autoRedefine/>
    <w:uiPriority w:val="9"/>
    <w:qFormat/>
    <w:rsid w:val="00622200"/>
    <w:rPr>
      <w:rFonts w:ascii="Times" w:eastAsia="楷体" w:hAnsi="Times"/>
      <w:bCs/>
      <w:iCs/>
      <w:kern w:val="2"/>
      <w:sz w:val="24"/>
      <w:szCs w:val="28"/>
      <w:lang w:eastAsia="en-US" w:bidi="en-US"/>
    </w:rPr>
  </w:style>
  <w:style w:type="character" w:customStyle="1" w:styleId="3Char">
    <w:name w:val="标题 3 Char"/>
    <w:basedOn w:val="a0"/>
    <w:link w:val="3"/>
    <w:autoRedefine/>
    <w:uiPriority w:val="9"/>
    <w:qFormat/>
    <w:rPr>
      <w:rFonts w:asciiTheme="majorHAnsi" w:eastAsiaTheme="majorEastAsia" w:hAnsiTheme="majorHAnsi"/>
      <w:b/>
      <w:bCs/>
      <w:sz w:val="26"/>
      <w:szCs w:val="26"/>
    </w:rPr>
  </w:style>
  <w:style w:type="character" w:customStyle="1" w:styleId="4Char">
    <w:name w:val="标题 4 Char"/>
    <w:basedOn w:val="a0"/>
    <w:link w:val="4"/>
    <w:autoRedefine/>
    <w:uiPriority w:val="9"/>
    <w:qFormat/>
    <w:rPr>
      <w:b/>
      <w:bCs/>
      <w:sz w:val="28"/>
      <w:szCs w:val="28"/>
    </w:rPr>
  </w:style>
  <w:style w:type="character" w:customStyle="1" w:styleId="5Char">
    <w:name w:val="标题 5 Char"/>
    <w:basedOn w:val="a0"/>
    <w:link w:val="5"/>
    <w:autoRedefine/>
    <w:uiPriority w:val="9"/>
    <w:qFormat/>
    <w:rPr>
      <w:b/>
      <w:bCs/>
      <w:i/>
      <w:iCs/>
      <w:sz w:val="26"/>
      <w:szCs w:val="26"/>
    </w:rPr>
  </w:style>
  <w:style w:type="character" w:customStyle="1" w:styleId="6Char">
    <w:name w:val="标题 6 Char"/>
    <w:basedOn w:val="a0"/>
    <w:link w:val="6"/>
    <w:autoRedefine/>
    <w:uiPriority w:val="9"/>
    <w:qFormat/>
    <w:rPr>
      <w:b/>
      <w:bCs/>
    </w:rPr>
  </w:style>
  <w:style w:type="character" w:customStyle="1" w:styleId="7Char">
    <w:name w:val="标题 7 Char"/>
    <w:basedOn w:val="a0"/>
    <w:link w:val="7"/>
    <w:autoRedefine/>
    <w:uiPriority w:val="9"/>
    <w:qFormat/>
    <w:rPr>
      <w:sz w:val="24"/>
      <w:szCs w:val="24"/>
    </w:rPr>
  </w:style>
  <w:style w:type="character" w:customStyle="1" w:styleId="8Char">
    <w:name w:val="标题 8 Char"/>
    <w:basedOn w:val="a0"/>
    <w:link w:val="8"/>
    <w:autoRedefine/>
    <w:uiPriority w:val="9"/>
    <w:qFormat/>
    <w:rPr>
      <w:i/>
      <w:iCs/>
      <w:sz w:val="24"/>
      <w:szCs w:val="24"/>
    </w:rPr>
  </w:style>
  <w:style w:type="character" w:customStyle="1" w:styleId="9Char">
    <w:name w:val="标题 9 Char"/>
    <w:basedOn w:val="a0"/>
    <w:link w:val="9"/>
    <w:autoRedefine/>
    <w:uiPriority w:val="9"/>
    <w:qFormat/>
    <w:rPr>
      <w:rFonts w:asciiTheme="majorHAnsi" w:eastAsiaTheme="majorEastAsia" w:hAnsiTheme="majorHAnsi"/>
    </w:rPr>
  </w:style>
  <w:style w:type="character" w:customStyle="1" w:styleId="Char0">
    <w:name w:val="批注文字 Char"/>
    <w:basedOn w:val="a0"/>
    <w:link w:val="a5"/>
    <w:autoRedefine/>
    <w:uiPriority w:val="99"/>
    <w:qFormat/>
    <w:rPr>
      <w:sz w:val="24"/>
      <w:szCs w:val="24"/>
    </w:rPr>
  </w:style>
  <w:style w:type="character" w:customStyle="1" w:styleId="Char1">
    <w:name w:val="正文文本 Char"/>
    <w:basedOn w:val="a0"/>
    <w:link w:val="a6"/>
    <w:autoRedefine/>
    <w:qFormat/>
    <w:rPr>
      <w:rFonts w:ascii="Garamond" w:eastAsia="宋体" w:hAnsi="Garamond"/>
      <w:szCs w:val="20"/>
      <w:lang w:bidi="ar-SA"/>
    </w:rPr>
  </w:style>
  <w:style w:type="character" w:customStyle="1" w:styleId="Char2">
    <w:name w:val="日期 Char"/>
    <w:basedOn w:val="a0"/>
    <w:link w:val="a7"/>
    <w:autoRedefine/>
    <w:uiPriority w:val="99"/>
    <w:qFormat/>
    <w:rPr>
      <w:sz w:val="24"/>
      <w:szCs w:val="24"/>
    </w:rPr>
  </w:style>
  <w:style w:type="character" w:customStyle="1" w:styleId="Char3">
    <w:name w:val="批注框文本 Char"/>
    <w:basedOn w:val="a0"/>
    <w:link w:val="a8"/>
    <w:autoRedefine/>
    <w:uiPriority w:val="99"/>
    <w:qFormat/>
    <w:rPr>
      <w:sz w:val="18"/>
      <w:szCs w:val="18"/>
    </w:rPr>
  </w:style>
  <w:style w:type="character" w:customStyle="1" w:styleId="Char4">
    <w:name w:val="页脚 Char"/>
    <w:basedOn w:val="a0"/>
    <w:link w:val="a9"/>
    <w:autoRedefine/>
    <w:uiPriority w:val="99"/>
    <w:qFormat/>
    <w:rPr>
      <w:sz w:val="18"/>
      <w:szCs w:val="18"/>
    </w:rPr>
  </w:style>
  <w:style w:type="character" w:customStyle="1" w:styleId="Char5">
    <w:name w:val="页眉 Char"/>
    <w:basedOn w:val="a0"/>
    <w:link w:val="aa"/>
    <w:autoRedefine/>
    <w:uiPriority w:val="99"/>
    <w:qFormat/>
    <w:rPr>
      <w:sz w:val="18"/>
      <w:szCs w:val="24"/>
    </w:rPr>
  </w:style>
  <w:style w:type="character" w:customStyle="1" w:styleId="Char6">
    <w:name w:val="副标题 Char"/>
    <w:basedOn w:val="a0"/>
    <w:link w:val="ab"/>
    <w:autoRedefine/>
    <w:uiPriority w:val="11"/>
    <w:qFormat/>
    <w:rPr>
      <w:rFonts w:asciiTheme="majorHAnsi" w:eastAsia="楷体" w:hAnsiTheme="majorHAnsi"/>
      <w:sz w:val="24"/>
      <w:szCs w:val="24"/>
      <w:lang w:eastAsia="zh-CN"/>
    </w:rPr>
  </w:style>
  <w:style w:type="character" w:customStyle="1" w:styleId="Char7">
    <w:name w:val="脚注文本 Char"/>
    <w:basedOn w:val="a0"/>
    <w:link w:val="ac"/>
    <w:autoRedefine/>
    <w:uiPriority w:val="99"/>
    <w:qFormat/>
    <w:rPr>
      <w:rFonts w:eastAsia="楷体"/>
      <w:kern w:val="2"/>
      <w:sz w:val="18"/>
      <w:szCs w:val="18"/>
    </w:rPr>
  </w:style>
  <w:style w:type="character" w:customStyle="1" w:styleId="Char8">
    <w:name w:val="标题 Char"/>
    <w:basedOn w:val="a0"/>
    <w:link w:val="af"/>
    <w:autoRedefine/>
    <w:uiPriority w:val="10"/>
    <w:qFormat/>
    <w:rPr>
      <w:rFonts w:asciiTheme="majorHAnsi" w:eastAsiaTheme="majorEastAsia" w:hAnsiTheme="majorHAnsi"/>
      <w:b/>
      <w:bCs/>
      <w:kern w:val="28"/>
      <w:sz w:val="32"/>
      <w:szCs w:val="32"/>
    </w:rPr>
  </w:style>
  <w:style w:type="character" w:customStyle="1" w:styleId="Char9">
    <w:name w:val="批注主题 Char"/>
    <w:basedOn w:val="Char0"/>
    <w:link w:val="af0"/>
    <w:autoRedefine/>
    <w:uiPriority w:val="99"/>
    <w:qFormat/>
    <w:rPr>
      <w:b/>
      <w:bCs/>
      <w:sz w:val="24"/>
      <w:szCs w:val="24"/>
    </w:rPr>
  </w:style>
  <w:style w:type="paragraph" w:customStyle="1" w:styleId="-0">
    <w:name w:val="要点-季度报告"/>
    <w:autoRedefine/>
    <w:qFormat/>
    <w:pPr>
      <w:spacing w:line="360" w:lineRule="auto"/>
      <w:jc w:val="both"/>
    </w:pPr>
    <w:rPr>
      <w:rFonts w:ascii="宋体" w:eastAsia="楷体" w:hAnsi="宋体" w:cs="宋体"/>
      <w:kern w:val="2"/>
      <w:sz w:val="21"/>
      <w:szCs w:val="24"/>
      <w:lang w:bidi="en-US"/>
    </w:rPr>
  </w:style>
  <w:style w:type="paragraph" w:customStyle="1" w:styleId="11">
    <w:name w:val="无间隔1"/>
    <w:basedOn w:val="a"/>
    <w:link w:val="afa"/>
    <w:autoRedefine/>
    <w:uiPriority w:val="1"/>
    <w:qFormat/>
    <w:rPr>
      <w:szCs w:val="32"/>
    </w:rPr>
  </w:style>
  <w:style w:type="character" w:customStyle="1" w:styleId="afa">
    <w:name w:val="无间隔 字符"/>
    <w:basedOn w:val="a0"/>
    <w:link w:val="11"/>
    <w:autoRedefine/>
    <w:uiPriority w:val="1"/>
    <w:qFormat/>
    <w:rPr>
      <w:sz w:val="24"/>
      <w:szCs w:val="32"/>
    </w:rPr>
  </w:style>
  <w:style w:type="paragraph" w:customStyle="1" w:styleId="12">
    <w:name w:val="列出段落1"/>
    <w:basedOn w:val="a"/>
    <w:autoRedefine/>
    <w:uiPriority w:val="34"/>
    <w:qFormat/>
    <w:pPr>
      <w:ind w:left="720"/>
      <w:contextualSpacing/>
    </w:pPr>
  </w:style>
  <w:style w:type="paragraph" w:customStyle="1" w:styleId="13">
    <w:name w:val="引用1"/>
    <w:basedOn w:val="a"/>
    <w:next w:val="a"/>
    <w:link w:val="afb"/>
    <w:autoRedefine/>
    <w:uiPriority w:val="29"/>
    <w:qFormat/>
    <w:rPr>
      <w:i/>
    </w:rPr>
  </w:style>
  <w:style w:type="character" w:customStyle="1" w:styleId="afb">
    <w:name w:val="引用 字符"/>
    <w:basedOn w:val="a0"/>
    <w:link w:val="13"/>
    <w:autoRedefine/>
    <w:uiPriority w:val="29"/>
    <w:qFormat/>
    <w:rPr>
      <w:i/>
      <w:sz w:val="24"/>
      <w:szCs w:val="24"/>
    </w:rPr>
  </w:style>
  <w:style w:type="paragraph" w:customStyle="1" w:styleId="14">
    <w:name w:val="明显引用1"/>
    <w:basedOn w:val="a"/>
    <w:next w:val="a"/>
    <w:link w:val="afc"/>
    <w:autoRedefine/>
    <w:uiPriority w:val="30"/>
    <w:qFormat/>
    <w:pPr>
      <w:ind w:left="720" w:right="720"/>
    </w:pPr>
    <w:rPr>
      <w:b/>
      <w:i/>
      <w:szCs w:val="22"/>
    </w:rPr>
  </w:style>
  <w:style w:type="character" w:customStyle="1" w:styleId="afc">
    <w:name w:val="明显引用 字符"/>
    <w:basedOn w:val="a0"/>
    <w:link w:val="14"/>
    <w:autoRedefine/>
    <w:uiPriority w:val="30"/>
    <w:qFormat/>
    <w:rPr>
      <w:b/>
      <w:i/>
      <w:sz w:val="24"/>
    </w:rPr>
  </w:style>
  <w:style w:type="character" w:customStyle="1" w:styleId="15">
    <w:name w:val="不明显强调1"/>
    <w:autoRedefine/>
    <w:uiPriority w:val="19"/>
    <w:qFormat/>
    <w:rPr>
      <w:i/>
      <w:color w:val="595959" w:themeColor="text1" w:themeTint="A6"/>
    </w:rPr>
  </w:style>
  <w:style w:type="character" w:customStyle="1" w:styleId="16">
    <w:name w:val="明显强调1"/>
    <w:basedOn w:val="a0"/>
    <w:autoRedefine/>
    <w:uiPriority w:val="21"/>
    <w:qFormat/>
    <w:rPr>
      <w:b/>
      <w:i/>
      <w:sz w:val="24"/>
      <w:szCs w:val="24"/>
      <w:u w:val="single"/>
    </w:rPr>
  </w:style>
  <w:style w:type="character" w:customStyle="1" w:styleId="17">
    <w:name w:val="不明显参考1"/>
    <w:basedOn w:val="a0"/>
    <w:autoRedefine/>
    <w:uiPriority w:val="31"/>
    <w:qFormat/>
    <w:rPr>
      <w:sz w:val="24"/>
      <w:szCs w:val="24"/>
      <w:u w:val="single"/>
    </w:rPr>
  </w:style>
  <w:style w:type="character" w:customStyle="1" w:styleId="18">
    <w:name w:val="明显参考1"/>
    <w:basedOn w:val="a0"/>
    <w:autoRedefine/>
    <w:uiPriority w:val="32"/>
    <w:qFormat/>
    <w:rPr>
      <w:b/>
      <w:sz w:val="24"/>
      <w:u w:val="single"/>
    </w:rPr>
  </w:style>
  <w:style w:type="character" w:customStyle="1" w:styleId="19">
    <w:name w:val="书籍标题1"/>
    <w:basedOn w:val="a0"/>
    <w:autoRedefine/>
    <w:uiPriority w:val="33"/>
    <w:qFormat/>
    <w:rPr>
      <w:rFonts w:asciiTheme="majorHAnsi" w:eastAsiaTheme="majorEastAsia" w:hAnsiTheme="majorHAnsi"/>
      <w:b/>
      <w:i/>
      <w:sz w:val="24"/>
      <w:szCs w:val="24"/>
    </w:rPr>
  </w:style>
  <w:style w:type="paragraph" w:customStyle="1" w:styleId="TOC1">
    <w:name w:val="TOC 标题1"/>
    <w:basedOn w:val="1"/>
    <w:next w:val="a"/>
    <w:uiPriority w:val="39"/>
    <w:unhideWhenUsed/>
    <w:qFormat/>
    <w:pPr>
      <w:outlineLvl w:val="9"/>
    </w:pPr>
  </w:style>
  <w:style w:type="paragraph" w:customStyle="1" w:styleId="1a">
    <w:name w:val="样式1"/>
    <w:basedOn w:val="a"/>
    <w:link w:val="1Char0"/>
    <w:autoRedefine/>
    <w:qFormat/>
    <w:pPr>
      <w:ind w:firstLine="360"/>
    </w:pPr>
    <w:rPr>
      <w:lang w:eastAsia="zh-CN" w:bidi="ar-SA"/>
    </w:rPr>
  </w:style>
  <w:style w:type="character" w:customStyle="1" w:styleId="1Char0">
    <w:name w:val="样式1 Char"/>
    <w:basedOn w:val="a0"/>
    <w:link w:val="1a"/>
    <w:autoRedefine/>
    <w:qFormat/>
    <w:rPr>
      <w:lang w:eastAsia="zh-CN" w:bidi="ar-SA"/>
    </w:rPr>
  </w:style>
  <w:style w:type="paragraph" w:customStyle="1" w:styleId="21">
    <w:name w:val="样式2"/>
    <w:basedOn w:val="1a"/>
    <w:link w:val="2Char0"/>
    <w:autoRedefine/>
    <w:qFormat/>
  </w:style>
  <w:style w:type="character" w:customStyle="1" w:styleId="2Char0">
    <w:name w:val="样式2 Char"/>
    <w:basedOn w:val="1Char0"/>
    <w:link w:val="21"/>
    <w:autoRedefine/>
    <w:qFormat/>
    <w:rPr>
      <w:szCs w:val="24"/>
      <w:lang w:eastAsia="zh-CN" w:bidi="ar-SA"/>
    </w:rPr>
  </w:style>
  <w:style w:type="paragraph" w:customStyle="1" w:styleId="31">
    <w:name w:val="样式3"/>
    <w:basedOn w:val="21"/>
    <w:link w:val="3Char0"/>
    <w:autoRedefine/>
    <w:uiPriority w:val="99"/>
    <w:qFormat/>
  </w:style>
  <w:style w:type="character" w:customStyle="1" w:styleId="3Char0">
    <w:name w:val="样式3 Char"/>
    <w:basedOn w:val="2Char0"/>
    <w:link w:val="31"/>
    <w:autoRedefine/>
    <w:uiPriority w:val="99"/>
    <w:qFormat/>
    <w:rPr>
      <w:szCs w:val="24"/>
      <w:lang w:eastAsia="zh-CN" w:bidi="ar-SA"/>
    </w:rPr>
  </w:style>
  <w:style w:type="paragraph" w:customStyle="1" w:styleId="40">
    <w:name w:val="样式4"/>
    <w:basedOn w:val="21"/>
    <w:link w:val="4Char0"/>
    <w:autoRedefine/>
    <w:qFormat/>
  </w:style>
  <w:style w:type="character" w:customStyle="1" w:styleId="4Char0">
    <w:name w:val="样式4 Char"/>
    <w:basedOn w:val="2Char0"/>
    <w:link w:val="40"/>
    <w:autoRedefine/>
    <w:qFormat/>
    <w:rPr>
      <w:szCs w:val="24"/>
      <w:lang w:eastAsia="zh-CN" w:bidi="ar-SA"/>
    </w:rPr>
  </w:style>
  <w:style w:type="paragraph" w:customStyle="1" w:styleId="50">
    <w:name w:val="样式5"/>
    <w:basedOn w:val="31"/>
    <w:link w:val="5Char0"/>
    <w:autoRedefine/>
    <w:qFormat/>
  </w:style>
  <w:style w:type="character" w:customStyle="1" w:styleId="5Char0">
    <w:name w:val="样式5 Char"/>
    <w:basedOn w:val="3Char0"/>
    <w:link w:val="50"/>
    <w:autoRedefine/>
    <w:qFormat/>
    <w:rPr>
      <w:szCs w:val="24"/>
      <w:lang w:eastAsia="zh-CN" w:bidi="ar-SA"/>
    </w:rPr>
  </w:style>
  <w:style w:type="table" w:customStyle="1" w:styleId="1b">
    <w:name w:val="网格型1"/>
    <w:basedOn w:val="a1"/>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网格型2"/>
    <w:basedOn w:val="a1"/>
    <w:autoRedefine/>
    <w:uiPriority w:val="59"/>
    <w:qFormat/>
    <w:rPr>
      <w:sz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网格型3"/>
    <w:basedOn w:val="a1"/>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文与编译"/>
    <w:basedOn w:val="a"/>
    <w:autoRedefine/>
    <w:qFormat/>
    <w:pPr>
      <w:widowControl w:val="0"/>
      <w:ind w:firstLineChars="0" w:firstLine="0"/>
    </w:pPr>
    <w:rPr>
      <w:rFonts w:ascii="华文楷体" w:eastAsia="华文楷体" w:hAnsi="华文楷体"/>
      <w:color w:val="244061" w:themeColor="accent1" w:themeShade="80"/>
      <w:sz w:val="21"/>
      <w:szCs w:val="20"/>
      <w:lang w:eastAsia="zh-CN" w:bidi="ar-SA"/>
    </w:rPr>
  </w:style>
  <w:style w:type="paragraph" w:customStyle="1" w:styleId="afe">
    <w:name w:val="文章与编译"/>
    <w:basedOn w:val="afd"/>
    <w:autoRedefine/>
    <w:qFormat/>
    <w:pPr>
      <w:jc w:val="center"/>
    </w:pPr>
    <w:rPr>
      <w:rFonts w:eastAsia="楷体"/>
    </w:rPr>
  </w:style>
  <w:style w:type="paragraph" w:customStyle="1" w:styleId="aff">
    <w:name w:val="导读"/>
    <w:basedOn w:val="afe"/>
    <w:autoRedefine/>
    <w:qFormat/>
    <w:pPr>
      <w:spacing w:before="50"/>
      <w:jc w:val="left"/>
    </w:pPr>
    <w:rPr>
      <w:rFonts w:ascii="黑体"/>
    </w:rPr>
  </w:style>
  <w:style w:type="paragraph" w:customStyle="1" w:styleId="60">
    <w:name w:val="样式6"/>
    <w:basedOn w:val="aa"/>
    <w:next w:val="21"/>
    <w:link w:val="6Char0"/>
    <w:autoRedefine/>
    <w:qFormat/>
    <w:pPr>
      <w:spacing w:before="120"/>
    </w:pPr>
  </w:style>
  <w:style w:type="character" w:customStyle="1" w:styleId="6Char0">
    <w:name w:val="样式6 Char"/>
    <w:basedOn w:val="Char5"/>
    <w:link w:val="60"/>
    <w:autoRedefine/>
    <w:qFormat/>
    <w:rPr>
      <w:rFonts w:eastAsiaTheme="minorEastAsia"/>
      <w:sz w:val="18"/>
      <w:szCs w:val="24"/>
    </w:rPr>
  </w:style>
  <w:style w:type="paragraph" w:customStyle="1" w:styleId="70">
    <w:name w:val="样式7"/>
    <w:basedOn w:val="1a"/>
    <w:next w:val="1a"/>
    <w:link w:val="7Char0"/>
    <w:autoRedefine/>
    <w:qFormat/>
  </w:style>
  <w:style w:type="character" w:customStyle="1" w:styleId="7Char0">
    <w:name w:val="样式7 Char"/>
    <w:basedOn w:val="1Char0"/>
    <w:link w:val="70"/>
    <w:autoRedefine/>
    <w:qFormat/>
    <w:rPr>
      <w:rFonts w:eastAsiaTheme="minorEastAsia"/>
      <w:sz w:val="24"/>
      <w:lang w:eastAsia="zh-CN" w:bidi="ar-SA"/>
    </w:rPr>
  </w:style>
  <w:style w:type="paragraph" w:customStyle="1" w:styleId="80">
    <w:name w:val="样式8"/>
    <w:basedOn w:val="1a"/>
    <w:next w:val="1a"/>
    <w:link w:val="8Char0"/>
    <w:autoRedefine/>
    <w:qFormat/>
    <w:pPr>
      <w:spacing w:before="120"/>
    </w:pPr>
  </w:style>
  <w:style w:type="character" w:customStyle="1" w:styleId="8Char0">
    <w:name w:val="样式8 Char"/>
    <w:basedOn w:val="1Char0"/>
    <w:link w:val="80"/>
    <w:autoRedefine/>
    <w:qFormat/>
    <w:rPr>
      <w:rFonts w:eastAsiaTheme="minorEastAsia"/>
      <w:sz w:val="24"/>
      <w:lang w:eastAsia="zh-CN" w:bidi="ar-SA"/>
    </w:rPr>
  </w:style>
  <w:style w:type="paragraph" w:customStyle="1" w:styleId="90">
    <w:name w:val="样式9"/>
    <w:basedOn w:val="aa"/>
    <w:next w:val="1a"/>
    <w:link w:val="9Char0"/>
    <w:autoRedefine/>
    <w:qFormat/>
    <w:pPr>
      <w:spacing w:before="120"/>
    </w:pPr>
  </w:style>
  <w:style w:type="character" w:customStyle="1" w:styleId="9Char0">
    <w:name w:val="样式9 Char"/>
    <w:basedOn w:val="Char5"/>
    <w:link w:val="90"/>
    <w:autoRedefine/>
    <w:qFormat/>
    <w:rPr>
      <w:rFonts w:eastAsiaTheme="minorEastAsia"/>
      <w:sz w:val="18"/>
      <w:szCs w:val="24"/>
    </w:rPr>
  </w:style>
  <w:style w:type="paragraph" w:customStyle="1" w:styleId="100">
    <w:name w:val="样式10"/>
    <w:basedOn w:val="1a"/>
    <w:next w:val="1a"/>
    <w:link w:val="10Char"/>
    <w:qFormat/>
  </w:style>
  <w:style w:type="character" w:customStyle="1" w:styleId="10Char">
    <w:name w:val="样式10 Char"/>
    <w:basedOn w:val="1Char0"/>
    <w:link w:val="100"/>
    <w:autoRedefine/>
    <w:qFormat/>
    <w:rPr>
      <w:rFonts w:eastAsiaTheme="minorEastAsia"/>
      <w:sz w:val="24"/>
      <w:lang w:eastAsia="zh-CN" w:bidi="ar-SA"/>
    </w:rPr>
  </w:style>
  <w:style w:type="table" w:customStyle="1" w:styleId="41">
    <w:name w:val="网格型4"/>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网格型5"/>
    <w:basedOn w:val="a1"/>
    <w:autoRedefine/>
    <w:uiPriority w:val="59"/>
    <w:qFormat/>
    <w:rPr>
      <w:sz w:val="21"/>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
    <w:name w:val="网格型6"/>
    <w:basedOn w:val="a1"/>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网格型7"/>
    <w:basedOn w:val="a1"/>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网格型8"/>
    <w:basedOn w:val="a1"/>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网格型9"/>
    <w:basedOn w:val="a1"/>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网格型10"/>
    <w:basedOn w:val="a1"/>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网格型11"/>
    <w:basedOn w:val="a1"/>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网格型12"/>
    <w:basedOn w:val="a1"/>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网格型13"/>
    <w:basedOn w:val="a1"/>
    <w:autoRedefine/>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0">
    <w:name w:val="注释（季度报告）"/>
    <w:basedOn w:val="a"/>
    <w:link w:val="Chara"/>
    <w:autoRedefine/>
    <w:qFormat/>
    <w:pPr>
      <w:keepNext/>
      <w:spacing w:afterLines="50" w:line="240" w:lineRule="auto"/>
    </w:pPr>
    <w:rPr>
      <w:rFonts w:ascii="Calibri" w:eastAsia="黑体" w:hAnsi="Calibri"/>
      <w:bCs/>
      <w:sz w:val="20"/>
      <w:szCs w:val="18"/>
      <w:lang w:eastAsia="zh-CN"/>
    </w:rPr>
  </w:style>
  <w:style w:type="character" w:customStyle="1" w:styleId="Chara">
    <w:name w:val="注释（季度报告） Char"/>
    <w:basedOn w:val="a0"/>
    <w:link w:val="aff0"/>
    <w:autoRedefine/>
    <w:qFormat/>
    <w:rPr>
      <w:rFonts w:ascii="Calibri" w:eastAsia="黑体" w:hAnsi="Calibri"/>
      <w:bCs/>
      <w:sz w:val="20"/>
      <w:szCs w:val="18"/>
      <w:lang w:eastAsia="zh-CN"/>
    </w:rPr>
  </w:style>
  <w:style w:type="paragraph" w:customStyle="1" w:styleId="aff1">
    <w:name w:val="专栏标题（季度报告）"/>
    <w:basedOn w:val="a"/>
    <w:link w:val="Charb"/>
    <w:autoRedefine/>
    <w:qFormat/>
    <w:pPr>
      <w:widowControl w:val="0"/>
      <w:spacing w:line="312" w:lineRule="auto"/>
      <w:ind w:firstLineChars="0" w:firstLine="0"/>
      <w:jc w:val="center"/>
    </w:pPr>
    <w:rPr>
      <w:rFonts w:ascii="华文细黑" w:eastAsia="华文细黑" w:hAnsi="华文细黑"/>
      <w:b/>
      <w:lang w:eastAsia="zh-CN" w:bidi="ar-SA"/>
    </w:rPr>
  </w:style>
  <w:style w:type="character" w:customStyle="1" w:styleId="Charb">
    <w:name w:val="专栏标题（季度报告） Char"/>
    <w:basedOn w:val="a0"/>
    <w:link w:val="aff1"/>
    <w:autoRedefine/>
    <w:qFormat/>
    <w:rPr>
      <w:rFonts w:ascii="华文细黑" w:eastAsia="华文细黑" w:hAnsi="华文细黑"/>
      <w:b/>
      <w:kern w:val="2"/>
      <w:sz w:val="24"/>
      <w:szCs w:val="24"/>
      <w:lang w:eastAsia="zh-CN" w:bidi="ar-SA"/>
    </w:rPr>
  </w:style>
  <w:style w:type="paragraph" w:customStyle="1" w:styleId="aff2">
    <w:name w:val="专栏正文（季度报告）"/>
    <w:basedOn w:val="a"/>
    <w:link w:val="Charc"/>
    <w:autoRedefine/>
    <w:qFormat/>
    <w:pPr>
      <w:widowControl w:val="0"/>
      <w:spacing w:line="312" w:lineRule="auto"/>
      <w:ind w:firstLine="420"/>
    </w:pPr>
    <w:rPr>
      <w:rFonts w:ascii="华文细黑" w:eastAsia="华文细黑" w:hAnsi="华文细黑"/>
      <w:sz w:val="21"/>
      <w:szCs w:val="21"/>
      <w:lang w:eastAsia="zh-CN" w:bidi="ar-SA"/>
    </w:rPr>
  </w:style>
  <w:style w:type="character" w:customStyle="1" w:styleId="Charc">
    <w:name w:val="专栏正文（季度报告） Char"/>
    <w:basedOn w:val="a0"/>
    <w:link w:val="aff2"/>
    <w:autoRedefine/>
    <w:qFormat/>
    <w:rPr>
      <w:rFonts w:ascii="华文细黑" w:eastAsia="华文细黑" w:hAnsi="华文细黑"/>
      <w:kern w:val="2"/>
      <w:sz w:val="21"/>
      <w:szCs w:val="21"/>
      <w:lang w:eastAsia="zh-CN" w:bidi="ar-SA"/>
    </w:rPr>
  </w:style>
  <w:style w:type="paragraph" w:customStyle="1" w:styleId="aff3">
    <w:name w:val="文中标题（季度报告）"/>
    <w:basedOn w:val="a"/>
    <w:link w:val="Chard"/>
    <w:autoRedefine/>
    <w:qFormat/>
    <w:pPr>
      <w:ind w:firstLineChars="0" w:firstLine="0"/>
    </w:pPr>
    <w:rPr>
      <w:b/>
      <w:sz w:val="28"/>
      <w:szCs w:val="28"/>
      <w:lang w:eastAsia="zh-CN" w:bidi="ar-SA"/>
    </w:rPr>
  </w:style>
  <w:style w:type="character" w:customStyle="1" w:styleId="Chard">
    <w:name w:val="文中标题（季度报告） Char"/>
    <w:basedOn w:val="a0"/>
    <w:link w:val="aff3"/>
    <w:autoRedefine/>
    <w:qFormat/>
    <w:rPr>
      <w:b/>
      <w:kern w:val="2"/>
      <w:sz w:val="28"/>
      <w:szCs w:val="28"/>
      <w:lang w:eastAsia="zh-CN" w:bidi="ar-SA"/>
    </w:rPr>
  </w:style>
  <w:style w:type="paragraph" w:customStyle="1" w:styleId="aff4">
    <w:name w:val="专栏标题"/>
    <w:basedOn w:val="aff1"/>
    <w:link w:val="Chare"/>
    <w:qFormat/>
  </w:style>
  <w:style w:type="character" w:customStyle="1" w:styleId="Chare">
    <w:name w:val="专栏标题 Char"/>
    <w:basedOn w:val="Charb"/>
    <w:link w:val="aff4"/>
    <w:autoRedefine/>
    <w:qFormat/>
    <w:rPr>
      <w:rFonts w:ascii="华文细黑" w:eastAsia="华文细黑" w:hAnsi="华文细黑"/>
      <w:b/>
      <w:kern w:val="2"/>
      <w:sz w:val="24"/>
      <w:szCs w:val="24"/>
      <w:lang w:eastAsia="zh-CN" w:bidi="ar-SA"/>
    </w:rPr>
  </w:style>
  <w:style w:type="paragraph" w:customStyle="1" w:styleId="aff5">
    <w:name w:val="专栏正文"/>
    <w:basedOn w:val="aff2"/>
    <w:link w:val="Charf"/>
    <w:autoRedefine/>
    <w:qFormat/>
    <w:pPr>
      <w:spacing w:line="360" w:lineRule="auto"/>
      <w:ind w:firstLine="200"/>
    </w:pPr>
  </w:style>
  <w:style w:type="character" w:customStyle="1" w:styleId="Charf">
    <w:name w:val="专栏正文 Char"/>
    <w:basedOn w:val="Charc"/>
    <w:link w:val="aff5"/>
    <w:autoRedefine/>
    <w:qFormat/>
    <w:rPr>
      <w:rFonts w:ascii="华文细黑" w:eastAsia="华文细黑" w:hAnsi="华文细黑"/>
      <w:kern w:val="2"/>
      <w:sz w:val="21"/>
      <w:szCs w:val="21"/>
      <w:lang w:eastAsia="zh-CN" w:bidi="ar-SA"/>
    </w:rPr>
  </w:style>
  <w:style w:type="paragraph" w:customStyle="1" w:styleId="-">
    <w:name w:val="题注-季度报告"/>
    <w:basedOn w:val="a"/>
    <w:link w:val="-Char"/>
    <w:autoRedefine/>
    <w:qFormat/>
    <w:pPr>
      <w:widowControl w:val="0"/>
      <w:ind w:firstLineChars="0" w:firstLine="0"/>
      <w:jc w:val="center"/>
    </w:pPr>
    <w:rPr>
      <w:rFonts w:ascii="Calibri" w:eastAsia="华文细黑" w:hAnsi="Calibri"/>
      <w:bCs/>
      <w:sz w:val="21"/>
      <w:szCs w:val="18"/>
      <w:lang w:eastAsia="zh-CN"/>
    </w:rPr>
  </w:style>
  <w:style w:type="character" w:customStyle="1" w:styleId="-Char">
    <w:name w:val="题注-季度报告 Char"/>
    <w:basedOn w:val="a0"/>
    <w:link w:val="-"/>
    <w:autoRedefine/>
    <w:qFormat/>
    <w:rPr>
      <w:rFonts w:ascii="Calibri" w:eastAsia="华文细黑" w:hAnsi="Calibri"/>
      <w:bCs/>
      <w:sz w:val="21"/>
      <w:szCs w:val="18"/>
      <w:lang w:eastAsia="zh-CN"/>
    </w:rPr>
  </w:style>
  <w:style w:type="paragraph" w:customStyle="1" w:styleId="aff6">
    <w:name w:val="专题：正文"/>
    <w:basedOn w:val="a"/>
    <w:link w:val="aff7"/>
    <w:autoRedefine/>
    <w:qFormat/>
    <w:pPr>
      <w:spacing w:beforeLines="50"/>
      <w:ind w:firstLineChars="0" w:firstLine="0"/>
    </w:pPr>
    <w:rPr>
      <w:b/>
      <w:sz w:val="28"/>
      <w:szCs w:val="28"/>
      <w:lang w:eastAsia="zh-CN" w:bidi="ar-SA"/>
    </w:rPr>
  </w:style>
  <w:style w:type="character" w:customStyle="1" w:styleId="aff7">
    <w:name w:val="专题：正文 字符"/>
    <w:basedOn w:val="a0"/>
    <w:link w:val="aff6"/>
    <w:autoRedefine/>
    <w:qFormat/>
    <w:rPr>
      <w:rFonts w:ascii="Times New Roman" w:eastAsiaTheme="minorEastAsia" w:hAnsi="Times New Roman" w:cs="Times New Roman"/>
      <w:b/>
      <w:kern w:val="2"/>
      <w:sz w:val="28"/>
      <w:szCs w:val="28"/>
    </w:rPr>
  </w:style>
  <w:style w:type="paragraph" w:customStyle="1" w:styleId="-1">
    <w:name w:val="专栏正文-季度报告"/>
    <w:basedOn w:val="aff2"/>
    <w:link w:val="-Char0"/>
    <w:autoRedefine/>
    <w:qFormat/>
    <w:pPr>
      <w:spacing w:line="360" w:lineRule="auto"/>
      <w:ind w:firstLine="200"/>
    </w:pPr>
  </w:style>
  <w:style w:type="character" w:customStyle="1" w:styleId="-Char0">
    <w:name w:val="专栏正文-季度报告 Char"/>
    <w:basedOn w:val="Charc"/>
    <w:link w:val="-1"/>
    <w:autoRedefine/>
    <w:qFormat/>
    <w:rPr>
      <w:rFonts w:ascii="华文细黑" w:eastAsia="华文细黑" w:hAnsi="华文细黑"/>
      <w:kern w:val="2"/>
      <w:sz w:val="21"/>
      <w:szCs w:val="21"/>
      <w:lang w:eastAsia="zh-CN" w:bidi="ar-SA"/>
    </w:rPr>
  </w:style>
  <w:style w:type="paragraph" w:customStyle="1" w:styleId="1c">
    <w:name w:val="批注文字1"/>
    <w:basedOn w:val="a"/>
    <w:next w:val="a5"/>
    <w:autoRedefine/>
    <w:uiPriority w:val="99"/>
    <w:unhideWhenUsed/>
    <w:qFormat/>
    <w:pPr>
      <w:widowControl w:val="0"/>
      <w:spacing w:line="240" w:lineRule="auto"/>
      <w:ind w:firstLineChars="0" w:firstLine="0"/>
    </w:pPr>
    <w:rPr>
      <w:sz w:val="21"/>
      <w:szCs w:val="22"/>
      <w:lang w:eastAsia="zh-CN" w:bidi="ar-SA"/>
    </w:rPr>
  </w:style>
  <w:style w:type="character" w:customStyle="1" w:styleId="1CharChar">
    <w:name w:val="样式1 Char Char"/>
    <w:basedOn w:val="a0"/>
    <w:autoRedefine/>
    <w:qFormat/>
    <w:rPr>
      <w:rFonts w:ascii="Times New Roman"/>
      <w:sz w:val="24"/>
      <w:szCs w:val="24"/>
      <w:lang w:bidi="en-US"/>
    </w:rPr>
  </w:style>
  <w:style w:type="character" w:customStyle="1" w:styleId="2CharChar">
    <w:name w:val="样式2 Char Char"/>
    <w:autoRedefine/>
    <w:qFormat/>
    <w:rPr>
      <w:rFonts w:ascii="宋体" w:hAnsi="宋体"/>
      <w:kern w:val="2"/>
      <w:sz w:val="24"/>
      <w:szCs w:val="24"/>
    </w:rPr>
  </w:style>
  <w:style w:type="paragraph" w:customStyle="1" w:styleId="140">
    <w:name w:val="样式14"/>
    <w:basedOn w:val="a"/>
    <w:autoRedefine/>
    <w:qFormat/>
    <w:pPr>
      <w:spacing w:after="200" w:line="276" w:lineRule="auto"/>
    </w:pPr>
    <w:rPr>
      <w:rFonts w:eastAsia="宋体"/>
      <w:sz w:val="21"/>
      <w:szCs w:val="22"/>
    </w:rPr>
  </w:style>
  <w:style w:type="paragraph" w:customStyle="1" w:styleId="p0">
    <w:name w:val="p0"/>
    <w:basedOn w:val="a"/>
    <w:qFormat/>
    <w:pPr>
      <w:spacing w:after="200" w:line="276" w:lineRule="auto"/>
    </w:pPr>
    <w:rPr>
      <w:rFonts w:ascii="Calibri" w:eastAsia="宋体" w:hAnsi="Calibri" w:cs="Calibri"/>
      <w:sz w:val="21"/>
      <w:szCs w:val="21"/>
    </w:rPr>
  </w:style>
  <w:style w:type="paragraph" w:customStyle="1" w:styleId="aff8">
    <w:name w:val="华文楷体要点"/>
    <w:basedOn w:val="a"/>
    <w:link w:val="Charf0"/>
    <w:autoRedefine/>
    <w:qFormat/>
    <w:pPr>
      <w:ind w:firstLineChars="0" w:firstLine="0"/>
    </w:pPr>
    <w:rPr>
      <w:rFonts w:ascii="华文楷体" w:eastAsia="华文楷体" w:hAnsi="华文楷体"/>
      <w:lang w:eastAsia="zh-CN"/>
    </w:rPr>
  </w:style>
  <w:style w:type="character" w:customStyle="1" w:styleId="Charf0">
    <w:name w:val="华文楷体要点 Char"/>
    <w:basedOn w:val="a0"/>
    <w:link w:val="aff8"/>
    <w:autoRedefine/>
    <w:qFormat/>
    <w:rPr>
      <w:rFonts w:ascii="华文楷体" w:eastAsia="华文楷体" w:hAnsi="华文楷体"/>
      <w:sz w:val="24"/>
      <w:szCs w:val="24"/>
      <w:lang w:eastAsia="zh-CN"/>
    </w:rPr>
  </w:style>
  <w:style w:type="paragraph" w:customStyle="1" w:styleId="111">
    <w:name w:val="样式11"/>
    <w:basedOn w:val="a"/>
    <w:link w:val="11Char"/>
    <w:autoRedefine/>
    <w:qFormat/>
    <w:pPr>
      <w:ind w:firstLineChars="0" w:firstLine="0"/>
    </w:pPr>
    <w:rPr>
      <w:rFonts w:ascii="华文楷体" w:eastAsia="华文楷体" w:hAnsi="华文楷体"/>
      <w:sz w:val="21"/>
      <w:szCs w:val="21"/>
      <w:lang w:eastAsia="zh-CN"/>
    </w:rPr>
  </w:style>
  <w:style w:type="character" w:customStyle="1" w:styleId="11Char">
    <w:name w:val="样式11 Char"/>
    <w:basedOn w:val="a0"/>
    <w:link w:val="111"/>
    <w:autoRedefine/>
    <w:qFormat/>
    <w:rPr>
      <w:rFonts w:ascii="华文楷体" w:eastAsia="华文楷体" w:hAnsi="华文楷体"/>
      <w:sz w:val="21"/>
      <w:szCs w:val="21"/>
      <w:lang w:eastAsia="zh-CN"/>
    </w:rPr>
  </w:style>
  <w:style w:type="character" w:customStyle="1" w:styleId="st1">
    <w:name w:val="st1"/>
    <w:basedOn w:val="a0"/>
    <w:autoRedefine/>
    <w:qFormat/>
  </w:style>
  <w:style w:type="paragraph" w:customStyle="1" w:styleId="1d">
    <w:name w:val="修订1"/>
    <w:hidden/>
    <w:uiPriority w:val="99"/>
    <w:semiHidden/>
    <w:qFormat/>
    <w:rPr>
      <w:rFonts w:asciiTheme="minorHAnsi" w:eastAsiaTheme="minorEastAsia" w:hAnsiTheme="minorHAnsi"/>
      <w:kern w:val="2"/>
      <w:sz w:val="24"/>
      <w:szCs w:val="24"/>
      <w:lang w:eastAsia="en-US" w:bidi="en-US"/>
    </w:rPr>
  </w:style>
  <w:style w:type="paragraph" w:customStyle="1" w:styleId="Default">
    <w:name w:val="Default"/>
    <w:autoRedefine/>
    <w:qFormat/>
    <w:pPr>
      <w:widowControl w:val="0"/>
      <w:autoSpaceDE w:val="0"/>
      <w:autoSpaceDN w:val="0"/>
      <w:adjustRightInd w:val="0"/>
    </w:pPr>
    <w:rPr>
      <w:rFonts w:ascii="宋体" w:eastAsiaTheme="minorEastAsia" w:hAnsi="宋体" w:cs="宋体"/>
      <w:color w:val="000000"/>
      <w:kern w:val="2"/>
      <w:sz w:val="24"/>
      <w:szCs w:val="24"/>
      <w:lang w:eastAsia="en-US"/>
    </w:rPr>
  </w:style>
  <w:style w:type="character" w:customStyle="1" w:styleId="inner6">
    <w:name w:val="inner6"/>
    <w:basedOn w:val="a0"/>
    <w:autoRedefine/>
    <w:qFormat/>
  </w:style>
  <w:style w:type="character" w:customStyle="1" w:styleId="count3">
    <w:name w:val="count3"/>
    <w:basedOn w:val="a0"/>
    <w:autoRedefine/>
    <w:qFormat/>
  </w:style>
  <w:style w:type="table" w:customStyle="1" w:styleId="210">
    <w:name w:val="无格式表格 21"/>
    <w:basedOn w:val="a1"/>
    <w:autoRedefine/>
    <w:uiPriority w:val="42"/>
    <w:qFormat/>
    <w:rPr>
      <w:rFonts w:eastAsia="Times New Roman" w:cstheme="minorBidi"/>
      <w:sz w:val="21"/>
    </w:rPr>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2">
    <w:name w:val="注释-季度报告"/>
    <w:basedOn w:val="a3"/>
    <w:autoRedefine/>
    <w:qFormat/>
    <w:pPr>
      <w:spacing w:afterLines="50" w:line="240" w:lineRule="auto"/>
      <w:ind w:firstLine="200"/>
    </w:pPr>
    <w:rPr>
      <w:rFonts w:ascii="黑体" w:eastAsia="黑体" w:hAnsi="黑体"/>
      <w:sz w:val="20"/>
      <w:szCs w:val="20"/>
      <w:lang w:bidi="ar-SA"/>
    </w:rPr>
  </w:style>
  <w:style w:type="paragraph" w:customStyle="1" w:styleId="-3">
    <w:name w:val="脚注-季报"/>
    <w:autoRedefine/>
    <w:qFormat/>
    <w:pPr>
      <w:ind w:left="150" w:hangingChars="150" w:hanging="150"/>
      <w:jc w:val="both"/>
    </w:pPr>
    <w:rPr>
      <w:rFonts w:eastAsia="Times New Roman"/>
      <w:kern w:val="2"/>
      <w:sz w:val="15"/>
      <w:szCs w:val="24"/>
      <w:lang w:bidi="en-US"/>
    </w:rPr>
  </w:style>
  <w:style w:type="paragraph" w:customStyle="1" w:styleId="aff9">
    <w:name w:val="注释"/>
    <w:basedOn w:val="a"/>
    <w:link w:val="Charf1"/>
    <w:autoRedefine/>
    <w:uiPriority w:val="99"/>
    <w:qFormat/>
    <w:pPr>
      <w:spacing w:line="240" w:lineRule="auto"/>
      <w:ind w:firstLineChars="0" w:firstLine="480"/>
      <w:jc w:val="left"/>
    </w:pPr>
    <w:rPr>
      <w:rFonts w:ascii="楷体_GB2312" w:eastAsia="楷体_GB2312"/>
      <w:sz w:val="20"/>
      <w:lang w:eastAsia="zh-CN"/>
    </w:rPr>
  </w:style>
  <w:style w:type="character" w:customStyle="1" w:styleId="Charf1">
    <w:name w:val="注释 Char"/>
    <w:basedOn w:val="a0"/>
    <w:link w:val="aff9"/>
    <w:autoRedefine/>
    <w:uiPriority w:val="99"/>
    <w:qFormat/>
    <w:rPr>
      <w:rFonts w:ascii="楷体_GB2312" w:eastAsia="楷体_GB2312"/>
      <w:sz w:val="20"/>
      <w:szCs w:val="24"/>
      <w:lang w:eastAsia="zh-CN"/>
    </w:rPr>
  </w:style>
  <w:style w:type="table" w:customStyle="1" w:styleId="141">
    <w:name w:val="网格型14"/>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网格型15"/>
    <w:basedOn w:val="a1"/>
    <w:autoRedefine/>
    <w:uiPriority w:val="59"/>
    <w:qFormat/>
    <w:rPr>
      <w:rFonts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无格式表格 211"/>
    <w:basedOn w:val="a1"/>
    <w:autoRedefine/>
    <w:uiPriority w:val="42"/>
    <w:qFormat/>
    <w:rPr>
      <w:sz w:val="21"/>
    </w:rPr>
    <w:tblPr>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10">
    <w:name w:val="无格式表格 31"/>
    <w:basedOn w:val="a1"/>
    <w:autoRedefine/>
    <w:uiPriority w:val="43"/>
    <w:qFormat/>
    <w:tblPr>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212">
    <w:name w:val="无格式表格 212"/>
    <w:basedOn w:val="a1"/>
    <w:autoRedefine/>
    <w:uiPriority w:val="42"/>
    <w:qFormat/>
    <w:rPr>
      <w:sz w:val="21"/>
    </w:rPr>
    <w:tblPr>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1e">
    <w:name w:val="未处理的提及1"/>
    <w:basedOn w:val="a0"/>
    <w:autoRedefine/>
    <w:uiPriority w:val="99"/>
    <w:semiHidden/>
    <w:unhideWhenUsed/>
    <w:qFormat/>
    <w:rPr>
      <w:color w:val="808080"/>
      <w:shd w:val="clear" w:color="auto" w:fill="E6E6E6"/>
    </w:rPr>
  </w:style>
  <w:style w:type="paragraph" w:styleId="affa">
    <w:name w:val="List Paragraph"/>
    <w:basedOn w:val="a"/>
    <w:uiPriority w:val="34"/>
    <w:qFormat/>
    <w:pPr>
      <w:ind w:left="720"/>
      <w:contextualSpacing/>
    </w:pPr>
    <w:rPr>
      <w:rFonts w:ascii="Calibri" w:hAnsi="Calibri" w:cstheme="majorBidi"/>
      <w:szCs w:val="22"/>
    </w:rPr>
  </w:style>
  <w:style w:type="table" w:customStyle="1" w:styleId="410">
    <w:name w:val="无格式表格 41"/>
    <w:basedOn w:val="a1"/>
    <w:autoRedefine/>
    <w:uiPriority w:val="44"/>
    <w:qFormat/>
    <w:rPr>
      <w:rFonts w:asciiTheme="minorHAnsi" w:eastAsiaTheme="minorEastAsia" w:hAnsiTheme="minorHAnsi" w:cstheme="minorBidi"/>
      <w:kern w:val="2"/>
      <w:sz w:val="21"/>
      <w:szCs w:val="22"/>
    </w:rPr>
    <w:tblPr>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OC2">
    <w:name w:val="TOC 标题2"/>
    <w:basedOn w:val="1"/>
    <w:next w:val="a"/>
    <w:autoRedefine/>
    <w:uiPriority w:val="39"/>
    <w:unhideWhenUsed/>
    <w:qFormat/>
    <w:pPr>
      <w:keepLines/>
      <w:spacing w:after="0" w:line="259" w:lineRule="auto"/>
      <w:jc w:val="left"/>
      <w:outlineLvl w:val="9"/>
    </w:pPr>
    <w:rPr>
      <w:rFonts w:eastAsiaTheme="majorEastAsia" w:cstheme="majorBidi"/>
      <w:b w:val="0"/>
      <w:bCs w:val="0"/>
      <w:color w:val="365F91" w:themeColor="accent1" w:themeShade="BF"/>
      <w:kern w:val="0"/>
    </w:rPr>
  </w:style>
  <w:style w:type="paragraph" w:customStyle="1" w:styleId="font5">
    <w:name w:val="font5"/>
    <w:basedOn w:val="a"/>
    <w:autoRedefine/>
    <w:qFormat/>
    <w:pPr>
      <w:spacing w:before="100" w:beforeAutospacing="1" w:after="100" w:afterAutospacing="1" w:line="240" w:lineRule="auto"/>
      <w:ind w:firstLineChars="0" w:firstLine="0"/>
      <w:jc w:val="left"/>
    </w:pPr>
    <w:rPr>
      <w:rFonts w:eastAsia="Times New Roman"/>
      <w:b/>
      <w:bCs/>
      <w:color w:val="000000"/>
      <w:kern w:val="0"/>
      <w:sz w:val="20"/>
      <w:szCs w:val="20"/>
      <w:lang w:eastAsia="zh-CN" w:bidi="ar-SA"/>
    </w:rPr>
  </w:style>
  <w:style w:type="paragraph" w:customStyle="1" w:styleId="font6">
    <w:name w:val="font6"/>
    <w:basedOn w:val="a"/>
    <w:autoRedefine/>
    <w:qFormat/>
    <w:pPr>
      <w:spacing w:before="100" w:beforeAutospacing="1" w:after="100" w:afterAutospacing="1" w:line="240" w:lineRule="auto"/>
      <w:ind w:firstLineChars="0" w:firstLine="0"/>
      <w:jc w:val="left"/>
    </w:pPr>
    <w:rPr>
      <w:rFonts w:ascii="楷体" w:eastAsia="楷体" w:hAnsi="楷体"/>
      <w:b/>
      <w:bCs/>
      <w:color w:val="000000"/>
      <w:kern w:val="0"/>
      <w:sz w:val="20"/>
      <w:szCs w:val="20"/>
      <w:lang w:eastAsia="zh-CN" w:bidi="ar-SA"/>
    </w:rPr>
  </w:style>
  <w:style w:type="paragraph" w:customStyle="1" w:styleId="font7">
    <w:name w:val="font7"/>
    <w:basedOn w:val="a"/>
    <w:qFormat/>
    <w:pPr>
      <w:spacing w:before="100" w:beforeAutospacing="1" w:after="100" w:afterAutospacing="1" w:line="240" w:lineRule="auto"/>
      <w:ind w:firstLineChars="0" w:firstLine="0"/>
      <w:jc w:val="left"/>
    </w:pPr>
    <w:rPr>
      <w:rFonts w:eastAsia="Times New Roman"/>
      <w:color w:val="000000"/>
      <w:kern w:val="0"/>
      <w:sz w:val="18"/>
      <w:szCs w:val="18"/>
      <w:lang w:eastAsia="zh-CN" w:bidi="ar-SA"/>
    </w:rPr>
  </w:style>
  <w:style w:type="paragraph" w:customStyle="1" w:styleId="font8">
    <w:name w:val="font8"/>
    <w:basedOn w:val="a"/>
    <w:autoRedefine/>
    <w:qFormat/>
    <w:pPr>
      <w:spacing w:before="100" w:beforeAutospacing="1" w:after="100" w:afterAutospacing="1" w:line="240" w:lineRule="auto"/>
      <w:ind w:firstLineChars="0" w:firstLine="0"/>
      <w:jc w:val="left"/>
    </w:pPr>
    <w:rPr>
      <w:rFonts w:eastAsia="Times New Roman"/>
      <w:b/>
      <w:bCs/>
      <w:color w:val="000000"/>
      <w:kern w:val="0"/>
      <w:sz w:val="20"/>
      <w:szCs w:val="20"/>
      <w:lang w:eastAsia="zh-CN" w:bidi="ar-SA"/>
    </w:rPr>
  </w:style>
  <w:style w:type="paragraph" w:customStyle="1" w:styleId="font9">
    <w:name w:val="font9"/>
    <w:basedOn w:val="a"/>
    <w:qFormat/>
    <w:pPr>
      <w:spacing w:before="100" w:beforeAutospacing="1" w:after="100" w:afterAutospacing="1" w:line="240" w:lineRule="auto"/>
      <w:ind w:firstLineChars="0" w:firstLine="0"/>
      <w:jc w:val="left"/>
    </w:pPr>
    <w:rPr>
      <w:rFonts w:ascii="宋体" w:eastAsia="宋体" w:hAnsi="宋体"/>
      <w:b/>
      <w:bCs/>
      <w:color w:val="000000"/>
      <w:kern w:val="0"/>
      <w:sz w:val="20"/>
      <w:szCs w:val="20"/>
      <w:lang w:eastAsia="zh-CN" w:bidi="ar-SA"/>
    </w:rPr>
  </w:style>
  <w:style w:type="paragraph" w:customStyle="1" w:styleId="font10">
    <w:name w:val="font10"/>
    <w:basedOn w:val="a"/>
    <w:autoRedefine/>
    <w:qFormat/>
    <w:pPr>
      <w:spacing w:before="100" w:beforeAutospacing="1" w:after="100" w:afterAutospacing="1" w:line="240" w:lineRule="auto"/>
      <w:ind w:firstLineChars="0" w:firstLine="0"/>
      <w:jc w:val="left"/>
    </w:pPr>
    <w:rPr>
      <w:rFonts w:ascii="楷体" w:eastAsia="楷体" w:hAnsi="楷体"/>
      <w:color w:val="000000"/>
      <w:kern w:val="0"/>
      <w:sz w:val="18"/>
      <w:szCs w:val="18"/>
      <w:lang w:eastAsia="zh-CN" w:bidi="ar-SA"/>
    </w:rPr>
  </w:style>
  <w:style w:type="paragraph" w:customStyle="1" w:styleId="font11">
    <w:name w:val="font11"/>
    <w:basedOn w:val="a"/>
    <w:autoRedefine/>
    <w:qFormat/>
    <w:pPr>
      <w:spacing w:before="100" w:beforeAutospacing="1" w:after="100" w:afterAutospacing="1" w:line="240" w:lineRule="auto"/>
      <w:ind w:firstLineChars="0" w:firstLine="0"/>
      <w:jc w:val="left"/>
    </w:pPr>
    <w:rPr>
      <w:rFonts w:eastAsia="Times New Roman"/>
      <w:color w:val="000000"/>
      <w:kern w:val="0"/>
      <w:sz w:val="18"/>
      <w:szCs w:val="18"/>
      <w:lang w:eastAsia="zh-CN" w:bidi="ar-SA"/>
    </w:rPr>
  </w:style>
  <w:style w:type="paragraph" w:customStyle="1" w:styleId="xl67">
    <w:name w:val="xl67"/>
    <w:basedOn w:val="a"/>
    <w:autoRedefine/>
    <w:qFormat/>
    <w:pPr>
      <w:shd w:val="clear" w:color="000000" w:fill="FFFFFF"/>
      <w:spacing w:before="100" w:beforeAutospacing="1" w:after="100" w:afterAutospacing="1" w:line="240" w:lineRule="auto"/>
      <w:ind w:firstLineChars="0" w:firstLine="0"/>
      <w:jc w:val="left"/>
    </w:pPr>
    <w:rPr>
      <w:rFonts w:ascii="楷体" w:eastAsia="楷体" w:hAnsi="楷体"/>
      <w:b/>
      <w:bCs/>
      <w:kern w:val="0"/>
      <w:sz w:val="20"/>
      <w:szCs w:val="20"/>
      <w:lang w:eastAsia="zh-CN" w:bidi="ar-SA"/>
    </w:rPr>
  </w:style>
  <w:style w:type="paragraph" w:customStyle="1" w:styleId="xl68">
    <w:name w:val="xl68"/>
    <w:basedOn w:val="a"/>
    <w:autoRedefine/>
    <w:qFormat/>
    <w:pPr>
      <w:shd w:val="clear" w:color="000000" w:fill="FFFFFF"/>
      <w:spacing w:before="100" w:beforeAutospacing="1" w:after="100" w:afterAutospacing="1" w:line="240" w:lineRule="auto"/>
      <w:ind w:firstLineChars="0" w:firstLine="0"/>
      <w:jc w:val="left"/>
    </w:pPr>
    <w:rPr>
      <w:rFonts w:eastAsia="Times New Roman"/>
      <w:b/>
      <w:bCs/>
      <w:kern w:val="0"/>
      <w:sz w:val="20"/>
      <w:szCs w:val="20"/>
      <w:lang w:eastAsia="zh-CN" w:bidi="ar-SA"/>
    </w:rPr>
  </w:style>
  <w:style w:type="paragraph" w:customStyle="1" w:styleId="xl69">
    <w:name w:val="xl69"/>
    <w:basedOn w:val="a"/>
    <w:autoRedefine/>
    <w:qFormat/>
    <w:pPr>
      <w:spacing w:before="100" w:beforeAutospacing="1" w:after="100" w:afterAutospacing="1" w:line="240" w:lineRule="auto"/>
      <w:ind w:firstLineChars="0" w:firstLine="0"/>
      <w:jc w:val="center"/>
    </w:pPr>
    <w:rPr>
      <w:rFonts w:eastAsia="Times New Roman"/>
      <w:kern w:val="0"/>
      <w:sz w:val="20"/>
      <w:szCs w:val="20"/>
      <w:lang w:eastAsia="zh-CN" w:bidi="ar-SA"/>
    </w:rPr>
  </w:style>
  <w:style w:type="paragraph" w:customStyle="1" w:styleId="xl70">
    <w:name w:val="xl70"/>
    <w:basedOn w:val="a"/>
    <w:autoRedefine/>
    <w:qFormat/>
    <w:pPr>
      <w:shd w:val="clear" w:color="000000" w:fill="FFFFFF"/>
      <w:spacing w:before="100" w:beforeAutospacing="1" w:after="100" w:afterAutospacing="1" w:line="240" w:lineRule="auto"/>
      <w:ind w:firstLineChars="0" w:firstLine="0"/>
    </w:pPr>
    <w:rPr>
      <w:rFonts w:ascii="楷体" w:eastAsia="楷体" w:hAnsi="楷体"/>
      <w:b/>
      <w:bCs/>
      <w:kern w:val="0"/>
      <w:sz w:val="20"/>
      <w:szCs w:val="20"/>
      <w:lang w:eastAsia="zh-CN" w:bidi="ar-SA"/>
    </w:rPr>
  </w:style>
  <w:style w:type="paragraph" w:customStyle="1" w:styleId="xl71">
    <w:name w:val="xl71"/>
    <w:basedOn w:val="a"/>
    <w:autoRedefine/>
    <w:qFormat/>
    <w:pPr>
      <w:spacing w:before="100" w:beforeAutospacing="1" w:after="100" w:afterAutospacing="1" w:line="240" w:lineRule="auto"/>
      <w:ind w:firstLineChars="0" w:firstLine="0"/>
      <w:jc w:val="center"/>
    </w:pPr>
    <w:rPr>
      <w:rFonts w:ascii="Calibri" w:eastAsia="Times New Roman" w:hAnsi="Calibri" w:cs="Calibri"/>
      <w:kern w:val="0"/>
      <w:sz w:val="20"/>
      <w:szCs w:val="20"/>
      <w:lang w:eastAsia="zh-CN" w:bidi="ar-SA"/>
    </w:rPr>
  </w:style>
  <w:style w:type="paragraph" w:customStyle="1" w:styleId="xl72">
    <w:name w:val="xl72"/>
    <w:basedOn w:val="a"/>
    <w:autoRedefine/>
    <w:qFormat/>
    <w:pPr>
      <w:shd w:val="clear" w:color="000000" w:fill="FFFFFF"/>
      <w:spacing w:before="100" w:beforeAutospacing="1" w:after="100" w:afterAutospacing="1" w:line="240" w:lineRule="auto"/>
      <w:ind w:firstLineChars="0" w:firstLine="0"/>
    </w:pPr>
    <w:rPr>
      <w:rFonts w:eastAsia="Times New Roman"/>
      <w:b/>
      <w:bCs/>
      <w:kern w:val="0"/>
      <w:sz w:val="20"/>
      <w:szCs w:val="20"/>
      <w:lang w:eastAsia="zh-CN" w:bidi="ar-SA"/>
    </w:rPr>
  </w:style>
  <w:style w:type="paragraph" w:customStyle="1" w:styleId="xl73">
    <w:name w:val="xl73"/>
    <w:basedOn w:val="a"/>
    <w:autoRedefine/>
    <w:qFormat/>
    <w:pPr>
      <w:pBdr>
        <w:top w:val="single" w:sz="4" w:space="0" w:color="auto"/>
        <w:bottom w:val="single" w:sz="4" w:space="0" w:color="auto"/>
      </w:pBdr>
      <w:shd w:val="clear" w:color="000000" w:fill="74A3BA"/>
      <w:spacing w:before="100" w:beforeAutospacing="1" w:after="100" w:afterAutospacing="1" w:line="240" w:lineRule="auto"/>
      <w:ind w:firstLineChars="0" w:firstLine="0"/>
    </w:pPr>
    <w:rPr>
      <w:rFonts w:ascii="楷体" w:eastAsia="楷体" w:hAnsi="楷体"/>
      <w:b/>
      <w:bCs/>
      <w:color w:val="000000"/>
      <w:kern w:val="0"/>
      <w:sz w:val="20"/>
      <w:szCs w:val="20"/>
      <w:lang w:eastAsia="zh-CN" w:bidi="ar-SA"/>
    </w:rPr>
  </w:style>
  <w:style w:type="paragraph" w:customStyle="1" w:styleId="xl74">
    <w:name w:val="xl74"/>
    <w:basedOn w:val="a"/>
    <w:autoRedefine/>
    <w:qFormat/>
    <w:pPr>
      <w:pBdr>
        <w:top w:val="single" w:sz="4" w:space="0" w:color="auto"/>
        <w:bottom w:val="single" w:sz="4" w:space="0" w:color="auto"/>
      </w:pBdr>
      <w:shd w:val="clear" w:color="000000" w:fill="74A3BA"/>
      <w:spacing w:before="100" w:beforeAutospacing="1" w:after="100" w:afterAutospacing="1" w:line="240" w:lineRule="auto"/>
      <w:ind w:firstLineChars="0" w:firstLine="0"/>
      <w:jc w:val="center"/>
    </w:pPr>
    <w:rPr>
      <w:rFonts w:eastAsia="Times New Roman"/>
      <w:b/>
      <w:bCs/>
      <w:kern w:val="0"/>
      <w:sz w:val="20"/>
      <w:szCs w:val="20"/>
      <w:lang w:eastAsia="zh-CN" w:bidi="ar-SA"/>
    </w:rPr>
  </w:style>
  <w:style w:type="paragraph" w:customStyle="1" w:styleId="xl75">
    <w:name w:val="xl75"/>
    <w:basedOn w:val="a"/>
    <w:autoRedefine/>
    <w:qFormat/>
    <w:pPr>
      <w:pBdr>
        <w:top w:val="single" w:sz="4" w:space="0" w:color="auto"/>
        <w:bottom w:val="single" w:sz="4" w:space="0" w:color="auto"/>
      </w:pBdr>
      <w:shd w:val="clear" w:color="000000" w:fill="74A3BA"/>
      <w:spacing w:before="100" w:beforeAutospacing="1" w:after="100" w:afterAutospacing="1" w:line="240" w:lineRule="auto"/>
      <w:ind w:firstLineChars="0" w:firstLine="0"/>
      <w:jc w:val="center"/>
    </w:pPr>
    <w:rPr>
      <w:rFonts w:eastAsia="Times New Roman"/>
      <w:b/>
      <w:bCs/>
      <w:kern w:val="0"/>
      <w:sz w:val="20"/>
      <w:szCs w:val="20"/>
      <w:lang w:eastAsia="zh-CN" w:bidi="ar-SA"/>
    </w:rPr>
  </w:style>
  <w:style w:type="paragraph" w:customStyle="1" w:styleId="xl76">
    <w:name w:val="xl76"/>
    <w:basedOn w:val="a"/>
    <w:autoRedefine/>
    <w:qFormat/>
    <w:pPr>
      <w:pBdr>
        <w:top w:val="single" w:sz="4" w:space="0" w:color="auto"/>
        <w:bottom w:val="single" w:sz="4" w:space="0" w:color="auto"/>
      </w:pBdr>
      <w:shd w:val="clear" w:color="000000" w:fill="74A3BA"/>
      <w:spacing w:before="100" w:beforeAutospacing="1" w:after="100" w:afterAutospacing="1" w:line="240" w:lineRule="auto"/>
      <w:ind w:firstLineChars="0" w:firstLine="0"/>
      <w:jc w:val="center"/>
    </w:pPr>
    <w:rPr>
      <w:rFonts w:eastAsia="Times New Roman"/>
      <w:b/>
      <w:bCs/>
      <w:kern w:val="0"/>
      <w:sz w:val="20"/>
      <w:szCs w:val="20"/>
      <w:lang w:eastAsia="zh-CN" w:bidi="ar-SA"/>
    </w:rPr>
  </w:style>
  <w:style w:type="paragraph" w:customStyle="1" w:styleId="xl77">
    <w:name w:val="xl77"/>
    <w:basedOn w:val="a"/>
    <w:autoRedefine/>
    <w:qFormat/>
    <w:pPr>
      <w:pBdr>
        <w:bottom w:val="single" w:sz="4" w:space="0" w:color="auto"/>
      </w:pBdr>
      <w:shd w:val="clear" w:color="000000" w:fill="FFFFFF"/>
      <w:spacing w:before="100" w:beforeAutospacing="1" w:after="100" w:afterAutospacing="1" w:line="240" w:lineRule="auto"/>
      <w:ind w:firstLineChars="0" w:firstLine="0"/>
      <w:jc w:val="left"/>
    </w:pPr>
    <w:rPr>
      <w:rFonts w:ascii="楷体" w:eastAsia="楷体" w:hAnsi="楷体"/>
      <w:b/>
      <w:bCs/>
      <w:kern w:val="0"/>
      <w:sz w:val="20"/>
      <w:szCs w:val="20"/>
      <w:lang w:eastAsia="zh-CN" w:bidi="ar-SA"/>
    </w:rPr>
  </w:style>
  <w:style w:type="paragraph" w:customStyle="1" w:styleId="xl78">
    <w:name w:val="xl78"/>
    <w:basedOn w:val="a"/>
    <w:autoRedefine/>
    <w:qFormat/>
    <w:pPr>
      <w:pBdr>
        <w:bottom w:val="single" w:sz="4" w:space="0" w:color="auto"/>
      </w:pBdr>
      <w:spacing w:before="100" w:beforeAutospacing="1" w:after="100" w:afterAutospacing="1" w:line="240" w:lineRule="auto"/>
      <w:ind w:firstLineChars="0" w:firstLine="0"/>
      <w:jc w:val="center"/>
    </w:pPr>
    <w:rPr>
      <w:rFonts w:eastAsia="Times New Roman"/>
      <w:kern w:val="0"/>
      <w:sz w:val="20"/>
      <w:szCs w:val="20"/>
      <w:lang w:eastAsia="zh-CN" w:bidi="ar-SA"/>
    </w:rPr>
  </w:style>
  <w:style w:type="paragraph" w:customStyle="1" w:styleId="xl79">
    <w:name w:val="xl79"/>
    <w:basedOn w:val="a"/>
    <w:autoRedefine/>
    <w:qFormat/>
    <w:pPr>
      <w:spacing w:before="100" w:beforeAutospacing="1" w:after="100" w:afterAutospacing="1" w:line="240" w:lineRule="auto"/>
      <w:ind w:firstLineChars="0" w:firstLine="0"/>
      <w:jc w:val="center"/>
    </w:pPr>
    <w:rPr>
      <w:rFonts w:eastAsia="Times New Roman"/>
      <w:kern w:val="0"/>
      <w:sz w:val="20"/>
      <w:szCs w:val="20"/>
      <w:lang w:eastAsia="zh-CN" w:bidi="ar-SA"/>
    </w:rPr>
  </w:style>
  <w:style w:type="paragraph" w:customStyle="1" w:styleId="xl80">
    <w:name w:val="xl80"/>
    <w:basedOn w:val="a"/>
    <w:autoRedefine/>
    <w:qFormat/>
    <w:pPr>
      <w:pBdr>
        <w:bottom w:val="single" w:sz="4" w:space="0" w:color="auto"/>
      </w:pBdr>
      <w:spacing w:before="100" w:beforeAutospacing="1" w:after="100" w:afterAutospacing="1" w:line="240" w:lineRule="auto"/>
      <w:ind w:firstLineChars="0" w:firstLine="0"/>
      <w:jc w:val="center"/>
    </w:pPr>
    <w:rPr>
      <w:rFonts w:eastAsia="Times New Roman"/>
      <w:kern w:val="0"/>
      <w:sz w:val="20"/>
      <w:szCs w:val="20"/>
      <w:lang w:eastAsia="zh-CN" w:bidi="ar-SA"/>
    </w:rPr>
  </w:style>
  <w:style w:type="paragraph" w:customStyle="1" w:styleId="xl81">
    <w:name w:val="xl81"/>
    <w:basedOn w:val="a"/>
    <w:autoRedefine/>
    <w:qFormat/>
    <w:pPr>
      <w:spacing w:before="100" w:beforeAutospacing="1" w:after="100" w:afterAutospacing="1" w:line="240" w:lineRule="auto"/>
      <w:ind w:firstLineChars="0" w:firstLine="0"/>
      <w:jc w:val="left"/>
    </w:pPr>
    <w:rPr>
      <w:rFonts w:ascii="楷体" w:eastAsia="楷体" w:hAnsi="楷体"/>
      <w:color w:val="000000"/>
      <w:kern w:val="0"/>
      <w:sz w:val="18"/>
      <w:szCs w:val="18"/>
      <w:lang w:eastAsia="zh-CN" w:bidi="ar-SA"/>
    </w:rPr>
  </w:style>
  <w:style w:type="paragraph" w:customStyle="1" w:styleId="xl82">
    <w:name w:val="xl82"/>
    <w:basedOn w:val="a"/>
    <w:autoRedefine/>
    <w:qFormat/>
    <w:pPr>
      <w:pBdr>
        <w:top w:val="single" w:sz="4" w:space="0" w:color="auto"/>
        <w:bottom w:val="single" w:sz="4" w:space="0" w:color="auto"/>
      </w:pBdr>
      <w:spacing w:before="100" w:beforeAutospacing="1" w:after="100" w:afterAutospacing="1" w:line="240" w:lineRule="auto"/>
      <w:ind w:firstLineChars="0" w:firstLine="0"/>
      <w:jc w:val="center"/>
    </w:pPr>
    <w:rPr>
      <w:rFonts w:eastAsia="Times New Roman"/>
      <w:kern w:val="0"/>
      <w:lang w:eastAsia="zh-CN" w:bidi="ar-SA"/>
    </w:rPr>
  </w:style>
  <w:style w:type="paragraph" w:customStyle="1" w:styleId="23">
    <w:name w:val="修订2"/>
    <w:autoRedefine/>
    <w:hidden/>
    <w:uiPriority w:val="99"/>
    <w:semiHidden/>
    <w:qFormat/>
    <w:rPr>
      <w:rFonts w:asciiTheme="minorHAnsi" w:hAnsiTheme="minorHAnsi" w:cstheme="minorBidi"/>
      <w:kern w:val="2"/>
      <w:sz w:val="21"/>
      <w:szCs w:val="22"/>
    </w:rPr>
  </w:style>
  <w:style w:type="paragraph" w:customStyle="1" w:styleId="33">
    <w:name w:val="修订3"/>
    <w:autoRedefine/>
    <w:hidden/>
    <w:uiPriority w:val="99"/>
    <w:semiHidden/>
    <w:qFormat/>
    <w:rPr>
      <w:rFonts w:asciiTheme="minorHAnsi" w:eastAsiaTheme="minorEastAsia" w:hAnsiTheme="minorHAnsi"/>
      <w:kern w:val="2"/>
      <w:sz w:val="24"/>
      <w:szCs w:val="24"/>
      <w:lang w:eastAsia="en-US" w:bidi="en-US"/>
    </w:rPr>
  </w:style>
  <w:style w:type="table" w:customStyle="1" w:styleId="6-11">
    <w:name w:val="清单表 6 彩色 - 着色 11"/>
    <w:basedOn w:val="a1"/>
    <w:autoRedefine/>
    <w:uiPriority w:val="51"/>
    <w:qFormat/>
    <w:rPr>
      <w:rFonts w:asciiTheme="minorHAnsi" w:eastAsiaTheme="minorEastAsia" w:hAnsiTheme="minorHAnsi" w:cstheme="minorBidi"/>
      <w:color w:val="365F91" w:themeColor="accent1" w:themeShade="BF"/>
      <w:kern w:val="2"/>
      <w:sz w:val="21"/>
      <w:szCs w:val="22"/>
    </w:rPr>
    <w:tblPr>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affb">
    <w:name w:val="专题：摘要"/>
    <w:basedOn w:val="a"/>
    <w:autoRedefine/>
    <w:qFormat/>
    <w:pPr>
      <w:ind w:firstLine="480"/>
      <w:outlineLvl w:val="1"/>
    </w:pPr>
    <w:rPr>
      <w:rFonts w:eastAsia="楷体"/>
      <w:lang w:eastAsia="zh-CN"/>
    </w:rPr>
  </w:style>
  <w:style w:type="paragraph" w:customStyle="1" w:styleId="affc">
    <w:name w:val="专题大标题"/>
    <w:basedOn w:val="1"/>
    <w:autoRedefine/>
    <w:qFormat/>
    <w:pPr>
      <w:framePr w:hSpace="180" w:wrap="around" w:vAnchor="text" w:hAnchor="margin" w:xAlign="center" w:y="34"/>
    </w:pPr>
  </w:style>
  <w:style w:type="paragraph" w:customStyle="1" w:styleId="-4">
    <w:name w:val="文中标题-季度报告"/>
    <w:basedOn w:val="a"/>
    <w:link w:val="-Char1"/>
    <w:autoRedefine/>
    <w:qFormat/>
    <w:rsid w:val="000E0157"/>
    <w:pPr>
      <w:ind w:firstLineChars="0" w:firstLine="0"/>
    </w:pPr>
    <w:rPr>
      <w:rFonts w:asciiTheme="minorEastAsia" w:hAnsiTheme="minorEastAsia"/>
      <w:b/>
      <w:bCs/>
      <w:lang w:eastAsia="zh-CN" w:bidi="ar-SA"/>
    </w:rPr>
  </w:style>
  <w:style w:type="character" w:customStyle="1" w:styleId="-Char1">
    <w:name w:val="文中标题-季度报告 Char"/>
    <w:basedOn w:val="a0"/>
    <w:link w:val="-4"/>
    <w:autoRedefine/>
    <w:qFormat/>
    <w:rsid w:val="000E0157"/>
    <w:rPr>
      <w:rFonts w:asciiTheme="minorEastAsia" w:eastAsiaTheme="minorEastAsia" w:hAnsiTheme="minorEastAsia"/>
      <w:b/>
      <w:bCs/>
      <w:kern w:val="2"/>
      <w:sz w:val="24"/>
      <w:szCs w:val="24"/>
    </w:rPr>
  </w:style>
  <w:style w:type="character" w:customStyle="1" w:styleId="Char">
    <w:name w:val="题注 Char"/>
    <w:link w:val="a4"/>
    <w:autoRedefine/>
    <w:uiPriority w:val="35"/>
    <w:qFormat/>
    <w:rsid w:val="00D37774"/>
    <w:rPr>
      <w:rFonts w:ascii="宋体" w:hAnsi="宋体" w:cs="宋体"/>
      <w:b/>
      <w:bCs/>
      <w:color w:val="000000"/>
      <w:kern w:val="2"/>
      <w:sz w:val="24"/>
      <w:szCs w:val="24"/>
    </w:rPr>
  </w:style>
  <w:style w:type="character" w:customStyle="1" w:styleId="151">
    <w:name w:val="15"/>
    <w:basedOn w:val="a0"/>
    <w:autoRedefine/>
    <w:qFormat/>
    <w:rPr>
      <w:vertAlign w:val="superscript"/>
    </w:rPr>
  </w:style>
  <w:style w:type="paragraph" w:customStyle="1" w:styleId="1f">
    <w:name w:val="正文1"/>
    <w:autoRedefine/>
    <w:qFormat/>
    <w:pPr>
      <w:jc w:val="both"/>
    </w:pPr>
    <w:rPr>
      <w:rFonts w:ascii="等线" w:hAnsi="等线" w:cs="宋体"/>
      <w:kern w:val="2"/>
      <w:sz w:val="21"/>
      <w:szCs w:val="21"/>
    </w:rPr>
  </w:style>
  <w:style w:type="paragraph" w:customStyle="1" w:styleId="42">
    <w:name w:val="修订4"/>
    <w:autoRedefine/>
    <w:hidden/>
    <w:uiPriority w:val="99"/>
    <w:semiHidden/>
    <w:qFormat/>
    <w:rPr>
      <w:rFonts w:eastAsiaTheme="minorEastAsia"/>
      <w:kern w:val="2"/>
      <w:sz w:val="24"/>
      <w:szCs w:val="24"/>
      <w:lang w:eastAsia="en-US" w:bidi="en-US"/>
    </w:rPr>
  </w:style>
  <w:style w:type="paragraph" w:customStyle="1" w:styleId="affd">
    <w:name w:val="正文_博士论文"/>
    <w:basedOn w:val="a"/>
    <w:link w:val="Charf2"/>
    <w:autoRedefine/>
    <w:qFormat/>
    <w:pPr>
      <w:widowControl w:val="0"/>
      <w:spacing w:line="400" w:lineRule="exact"/>
      <w:textAlignment w:val="center"/>
    </w:pPr>
    <w:rPr>
      <w:rFonts w:eastAsia="宋体" w:cs="宋体"/>
      <w:color w:val="000000"/>
      <w:kern w:val="0"/>
      <w:szCs w:val="22"/>
      <w:lang w:eastAsia="zh-CN" w:bidi="ar-SA"/>
    </w:rPr>
  </w:style>
  <w:style w:type="character" w:customStyle="1" w:styleId="Charf2">
    <w:name w:val="正文_博士论文 Char"/>
    <w:basedOn w:val="a0"/>
    <w:link w:val="affd"/>
    <w:autoRedefine/>
    <w:qFormat/>
    <w:rPr>
      <w:rFonts w:cs="宋体"/>
      <w:color w:val="000000"/>
      <w:sz w:val="24"/>
      <w:szCs w:val="22"/>
    </w:rPr>
  </w:style>
  <w:style w:type="character" w:customStyle="1" w:styleId="24">
    <w:name w:val="未处理的提及2"/>
    <w:basedOn w:val="a0"/>
    <w:autoRedefine/>
    <w:uiPriority w:val="99"/>
    <w:semiHidden/>
    <w:unhideWhenUsed/>
    <w:qFormat/>
    <w:rPr>
      <w:color w:val="605E5C"/>
      <w:shd w:val="clear" w:color="auto" w:fill="E1DFDD"/>
    </w:rPr>
  </w:style>
  <w:style w:type="character" w:customStyle="1" w:styleId="bjh-p">
    <w:name w:val="bjh-p"/>
    <w:basedOn w:val="a0"/>
    <w:autoRedefine/>
    <w:qFormat/>
  </w:style>
  <w:style w:type="character" w:customStyle="1" w:styleId="bjh-strong3">
    <w:name w:val="bjh-strong3"/>
    <w:basedOn w:val="a0"/>
    <w:autoRedefine/>
    <w:qFormat/>
  </w:style>
  <w:style w:type="paragraph" w:customStyle="1" w:styleId="52">
    <w:name w:val="修订5"/>
    <w:autoRedefine/>
    <w:hidden/>
    <w:uiPriority w:val="99"/>
    <w:semiHidden/>
    <w:qFormat/>
    <w:rPr>
      <w:rFonts w:eastAsiaTheme="minorEastAsia"/>
      <w:kern w:val="2"/>
      <w:sz w:val="24"/>
      <w:szCs w:val="24"/>
      <w:lang w:eastAsia="en-US" w:bidi="en-US"/>
    </w:rPr>
  </w:style>
  <w:style w:type="paragraph" w:customStyle="1" w:styleId="affe">
    <w:name w:val="目录第二级"/>
    <w:basedOn w:val="a"/>
    <w:link w:val="afff"/>
    <w:autoRedefine/>
    <w:qFormat/>
    <w:pPr>
      <w:spacing w:beforeLines="50" w:before="156"/>
      <w:ind w:firstLine="480"/>
      <w:outlineLvl w:val="1"/>
    </w:pPr>
    <w:rPr>
      <w:rFonts w:eastAsia="楷体"/>
      <w:lang w:eastAsia="zh-CN"/>
    </w:rPr>
  </w:style>
  <w:style w:type="character" w:customStyle="1" w:styleId="afff">
    <w:name w:val="目录第二级 字符"/>
    <w:basedOn w:val="a0"/>
    <w:link w:val="affe"/>
    <w:autoRedefine/>
    <w:qFormat/>
    <w:rPr>
      <w:rFonts w:eastAsia="楷体"/>
      <w:kern w:val="2"/>
      <w:sz w:val="24"/>
      <w:szCs w:val="24"/>
      <w:lang w:bidi="en-US"/>
    </w:rPr>
  </w:style>
  <w:style w:type="paragraph" w:customStyle="1" w:styleId="afff0">
    <w:name w:val="季报一级标题"/>
    <w:basedOn w:val="a"/>
    <w:link w:val="afff1"/>
    <w:autoRedefine/>
    <w:qFormat/>
    <w:pPr>
      <w:spacing w:beforeLines="100" w:before="312"/>
      <w:ind w:firstLineChars="0" w:firstLine="0"/>
    </w:pPr>
    <w:rPr>
      <w:b/>
      <w:sz w:val="28"/>
      <w:szCs w:val="28"/>
      <w:lang w:eastAsia="zh-CN"/>
    </w:rPr>
  </w:style>
  <w:style w:type="character" w:customStyle="1" w:styleId="afff1">
    <w:name w:val="季报一级标题 字符"/>
    <w:basedOn w:val="a0"/>
    <w:link w:val="afff0"/>
    <w:autoRedefine/>
    <w:qFormat/>
    <w:rPr>
      <w:rFonts w:eastAsiaTheme="minorEastAsia"/>
      <w:b/>
      <w:kern w:val="2"/>
      <w:sz w:val="28"/>
      <w:szCs w:val="28"/>
      <w:lang w:bidi="en-US"/>
    </w:rPr>
  </w:style>
  <w:style w:type="paragraph" w:customStyle="1" w:styleId="62">
    <w:name w:val="修订6"/>
    <w:hidden/>
    <w:uiPriority w:val="99"/>
    <w:unhideWhenUsed/>
    <w:qFormat/>
    <w:rPr>
      <w:rFonts w:eastAsiaTheme="minorEastAsia"/>
      <w:kern w:val="2"/>
      <w:sz w:val="24"/>
      <w:szCs w:val="24"/>
      <w:lang w:eastAsia="en-US" w:bidi="en-US"/>
    </w:rPr>
  </w:style>
  <w:style w:type="table" w:customStyle="1" w:styleId="311">
    <w:name w:val="网格型31"/>
    <w:basedOn w:val="a1"/>
    <w:uiPriority w:val="59"/>
    <w:qFormat/>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OC3">
    <w:name w:val="TOC 标题3"/>
    <w:basedOn w:val="1"/>
    <w:next w:val="a"/>
    <w:uiPriority w:val="39"/>
    <w:unhideWhenUsed/>
    <w:qFormat/>
    <w:pPr>
      <w:keepLines/>
      <w:spacing w:after="0" w:line="259" w:lineRule="auto"/>
      <w:jc w:val="left"/>
      <w:outlineLvl w:val="9"/>
    </w:pPr>
    <w:rPr>
      <w:rFonts w:asciiTheme="majorHAnsi" w:eastAsiaTheme="majorEastAsia" w:hAnsiTheme="majorHAnsi" w:cstheme="majorBidi"/>
      <w:b w:val="0"/>
      <w:bCs w:val="0"/>
      <w:color w:val="365F91" w:themeColor="accent1" w:themeShade="BF"/>
      <w:kern w:val="0"/>
    </w:rPr>
  </w:style>
  <w:style w:type="paragraph" w:styleId="afff2">
    <w:name w:val="Revision"/>
    <w:hidden/>
    <w:uiPriority w:val="99"/>
    <w:unhideWhenUsed/>
    <w:rsid w:val="00244427"/>
    <w:rPr>
      <w:rFonts w:eastAsiaTheme="minorEastAsia"/>
      <w:kern w:val="2"/>
      <w:sz w:val="24"/>
      <w:szCs w:val="24"/>
      <w:lang w:eastAsia="en-US" w:bidi="en-US"/>
    </w:rPr>
  </w:style>
  <w:style w:type="paragraph" w:customStyle="1" w:styleId="1f0">
    <w:name w:val="列表段落1"/>
    <w:basedOn w:val="a"/>
    <w:uiPriority w:val="34"/>
    <w:qFormat/>
    <w:rsid w:val="006432F3"/>
    <w:pPr>
      <w:spacing w:after="160"/>
      <w:ind w:left="720"/>
      <w:contextualSpacing/>
    </w:pPr>
    <w:rPr>
      <w:rFonts w:ascii="Calibri" w:hAnsi="Calibri" w:cstheme="majorBidi"/>
      <w:szCs w:val="22"/>
    </w:rPr>
  </w:style>
  <w:style w:type="table" w:customStyle="1" w:styleId="2-51">
    <w:name w:val="网格表 2 - 着色 51"/>
    <w:basedOn w:val="a1"/>
    <w:next w:val="GridTable2Accent5"/>
    <w:uiPriority w:val="47"/>
    <w:rsid w:val="00D45CDB"/>
    <w:rPr>
      <w:rFonts w:ascii="Calibri" w:hAnsi="Calibri"/>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5">
    <w:name w:val="Grid Table 2 Accent 5"/>
    <w:basedOn w:val="a1"/>
    <w:uiPriority w:val="47"/>
    <w:rsid w:val="00D45CDB"/>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320">
    <w:name w:val="网格型32"/>
    <w:basedOn w:val="a1"/>
    <w:uiPriority w:val="59"/>
    <w:qFormat/>
    <w:rsid w:val="00CD310D"/>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30074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2.png"/><Relationship Id="rId26" Type="http://schemas.openxmlformats.org/officeDocument/2006/relationships/footer" Target="footer4.xml"/><Relationship Id="rId39" Type="http://schemas.openxmlformats.org/officeDocument/2006/relationships/chart" Target="charts/chart6.xml"/><Relationship Id="rId21" Type="http://schemas.openxmlformats.org/officeDocument/2006/relationships/image" Target="media/image5.png"/><Relationship Id="rId34" Type="http://schemas.openxmlformats.org/officeDocument/2006/relationships/chart" Target="charts/chart1.xml"/><Relationship Id="rId42" Type="http://schemas.openxmlformats.org/officeDocument/2006/relationships/chart" Target="charts/chart7.xml"/><Relationship Id="rId47" Type="http://schemas.openxmlformats.org/officeDocument/2006/relationships/chart" Target="charts/chart12.xml"/><Relationship Id="rId50" Type="http://schemas.openxmlformats.org/officeDocument/2006/relationships/chart" Target="charts/chart15.xml"/><Relationship Id="rId55" Type="http://schemas.openxmlformats.org/officeDocument/2006/relationships/image" Target="media/image16.png"/><Relationship Id="rId63" Type="http://schemas.openxmlformats.org/officeDocument/2006/relationships/chart" Target="charts/chart17.xml"/><Relationship Id="rId68" Type="http://schemas.openxmlformats.org/officeDocument/2006/relationships/image" Target="media/image24.png"/><Relationship Id="rId76" Type="http://schemas.openxmlformats.org/officeDocument/2006/relationships/chart" Target="charts/chart26.xml"/><Relationship Id="rId84" Type="http://schemas.openxmlformats.org/officeDocument/2006/relationships/image" Target="media/image30.emf"/><Relationship Id="rId89" Type="http://schemas.openxmlformats.org/officeDocument/2006/relationships/image" Target="media/image35.emf"/><Relationship Id="rId7" Type="http://schemas.openxmlformats.org/officeDocument/2006/relationships/settings" Target="settings.xml"/><Relationship Id="rId71" Type="http://schemas.openxmlformats.org/officeDocument/2006/relationships/chart" Target="charts/chart21.xml"/><Relationship Id="rId92" Type="http://schemas.openxmlformats.org/officeDocument/2006/relationships/header" Target="header10.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11.emf"/><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image" Target="media/image14.emf"/><Relationship Id="rId37" Type="http://schemas.openxmlformats.org/officeDocument/2006/relationships/chart" Target="charts/chart4.xml"/><Relationship Id="rId40" Type="http://schemas.openxmlformats.org/officeDocument/2006/relationships/header" Target="header5.xml"/><Relationship Id="rId45" Type="http://schemas.openxmlformats.org/officeDocument/2006/relationships/chart" Target="charts/chart10.xml"/><Relationship Id="rId53" Type="http://schemas.openxmlformats.org/officeDocument/2006/relationships/header" Target="header7.xml"/><Relationship Id="rId58" Type="http://schemas.openxmlformats.org/officeDocument/2006/relationships/image" Target="media/image19.png"/><Relationship Id="rId66" Type="http://schemas.openxmlformats.org/officeDocument/2006/relationships/footer" Target="footer7.xml"/><Relationship Id="rId74" Type="http://schemas.openxmlformats.org/officeDocument/2006/relationships/chart" Target="charts/chart24.xml"/><Relationship Id="rId79" Type="http://schemas.openxmlformats.org/officeDocument/2006/relationships/image" Target="media/image25.emf"/><Relationship Id="rId87" Type="http://schemas.openxmlformats.org/officeDocument/2006/relationships/image" Target="media/image33.emf"/><Relationship Id="rId5" Type="http://schemas.openxmlformats.org/officeDocument/2006/relationships/styles" Target="styles.xml"/><Relationship Id="rId61" Type="http://schemas.openxmlformats.org/officeDocument/2006/relationships/image" Target="media/image22.png"/><Relationship Id="rId82" Type="http://schemas.openxmlformats.org/officeDocument/2006/relationships/image" Target="media/image28.emf"/><Relationship Id="rId90" Type="http://schemas.openxmlformats.org/officeDocument/2006/relationships/image" Target="media/image36.emf"/><Relationship Id="rId19" Type="http://schemas.openxmlformats.org/officeDocument/2006/relationships/image" Target="media/image3.png"/><Relationship Id="rId14" Type="http://schemas.openxmlformats.org/officeDocument/2006/relationships/footer" Target="footer1.xml"/><Relationship Id="rId22" Type="http://schemas.openxmlformats.org/officeDocument/2006/relationships/image" Target="media/image6.jpeg"/><Relationship Id="rId27" Type="http://schemas.openxmlformats.org/officeDocument/2006/relationships/image" Target="media/image9.emf"/><Relationship Id="rId30" Type="http://schemas.openxmlformats.org/officeDocument/2006/relationships/image" Target="media/image12.emf"/><Relationship Id="rId35" Type="http://schemas.openxmlformats.org/officeDocument/2006/relationships/chart" Target="charts/chart2.xml"/><Relationship Id="rId43" Type="http://schemas.openxmlformats.org/officeDocument/2006/relationships/chart" Target="charts/chart8.xml"/><Relationship Id="rId48" Type="http://schemas.openxmlformats.org/officeDocument/2006/relationships/chart" Target="charts/chart13.xml"/><Relationship Id="rId56" Type="http://schemas.openxmlformats.org/officeDocument/2006/relationships/image" Target="media/image17.png"/><Relationship Id="rId64" Type="http://schemas.openxmlformats.org/officeDocument/2006/relationships/chart" Target="charts/chart18.xml"/><Relationship Id="rId69" Type="http://schemas.openxmlformats.org/officeDocument/2006/relationships/chart" Target="charts/chart19.xml"/><Relationship Id="rId77" Type="http://schemas.openxmlformats.org/officeDocument/2006/relationships/chart" Target="charts/chart27.xml"/><Relationship Id="rId8" Type="http://schemas.openxmlformats.org/officeDocument/2006/relationships/webSettings" Target="webSettings.xml"/><Relationship Id="rId51" Type="http://schemas.openxmlformats.org/officeDocument/2006/relationships/header" Target="header6.xml"/><Relationship Id="rId72" Type="http://schemas.openxmlformats.org/officeDocument/2006/relationships/chart" Target="charts/chart22.xml"/><Relationship Id="rId80" Type="http://schemas.openxmlformats.org/officeDocument/2006/relationships/image" Target="media/image26.emf"/><Relationship Id="rId85" Type="http://schemas.openxmlformats.org/officeDocument/2006/relationships/image" Target="media/image31.emf"/><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mailto:iwepceem@163.com" TargetMode="External"/><Relationship Id="rId17" Type="http://schemas.openxmlformats.org/officeDocument/2006/relationships/header" Target="header2.xml"/><Relationship Id="rId25" Type="http://schemas.openxmlformats.org/officeDocument/2006/relationships/header" Target="header3.xml"/><Relationship Id="rId33" Type="http://schemas.openxmlformats.org/officeDocument/2006/relationships/header" Target="header4.xml"/><Relationship Id="rId38" Type="http://schemas.openxmlformats.org/officeDocument/2006/relationships/chart" Target="charts/chart5.xml"/><Relationship Id="rId46" Type="http://schemas.openxmlformats.org/officeDocument/2006/relationships/chart" Target="charts/chart11.xml"/><Relationship Id="rId59" Type="http://schemas.openxmlformats.org/officeDocument/2006/relationships/image" Target="media/image20.png"/><Relationship Id="rId67" Type="http://schemas.openxmlformats.org/officeDocument/2006/relationships/image" Target="media/image23.png"/><Relationship Id="rId20" Type="http://schemas.openxmlformats.org/officeDocument/2006/relationships/image" Target="media/image4.png"/><Relationship Id="rId41" Type="http://schemas.openxmlformats.org/officeDocument/2006/relationships/footer" Target="footer5.xml"/><Relationship Id="rId54" Type="http://schemas.openxmlformats.org/officeDocument/2006/relationships/image" Target="media/image15.png"/><Relationship Id="rId62" Type="http://schemas.openxmlformats.org/officeDocument/2006/relationships/chart" Target="charts/chart16.xml"/><Relationship Id="rId70" Type="http://schemas.openxmlformats.org/officeDocument/2006/relationships/chart" Target="charts/chart20.xml"/><Relationship Id="rId75" Type="http://schemas.openxmlformats.org/officeDocument/2006/relationships/chart" Target="charts/chart25.xml"/><Relationship Id="rId83" Type="http://schemas.openxmlformats.org/officeDocument/2006/relationships/image" Target="media/image29.emf"/><Relationship Id="rId88" Type="http://schemas.openxmlformats.org/officeDocument/2006/relationships/image" Target="media/image34.emf"/><Relationship Id="rId91" Type="http://schemas.openxmlformats.org/officeDocument/2006/relationships/image" Target="media/image37.emf"/><Relationship Id="rId1" Type="http://schemas.openxmlformats.org/officeDocument/2006/relationships/customXml" Target="../customXml/item1.xml"/><Relationship Id="rId6" Type="http://schemas.microsoft.com/office/2007/relationships/stylesWithEffects" Target="stylesWithEffects.xml"/><Relationship Id="rId15" Type="http://schemas.openxmlformats.org/officeDocument/2006/relationships/footer" Target="footer2.xml"/><Relationship Id="rId23" Type="http://schemas.openxmlformats.org/officeDocument/2006/relationships/image" Target="media/image7.jpeg"/><Relationship Id="rId28" Type="http://schemas.openxmlformats.org/officeDocument/2006/relationships/image" Target="media/image10.emf"/><Relationship Id="rId36" Type="http://schemas.openxmlformats.org/officeDocument/2006/relationships/chart" Target="charts/chart3.xml"/><Relationship Id="rId49" Type="http://schemas.openxmlformats.org/officeDocument/2006/relationships/chart" Target="charts/chart14.xml"/><Relationship Id="rId57" Type="http://schemas.openxmlformats.org/officeDocument/2006/relationships/image" Target="media/image18.png"/><Relationship Id="rId10" Type="http://schemas.openxmlformats.org/officeDocument/2006/relationships/endnotes" Target="endnotes.xml"/><Relationship Id="rId31" Type="http://schemas.openxmlformats.org/officeDocument/2006/relationships/image" Target="media/image13.emf"/><Relationship Id="rId44" Type="http://schemas.openxmlformats.org/officeDocument/2006/relationships/chart" Target="charts/chart9.xml"/><Relationship Id="rId52" Type="http://schemas.openxmlformats.org/officeDocument/2006/relationships/footer" Target="footer6.xml"/><Relationship Id="rId60" Type="http://schemas.openxmlformats.org/officeDocument/2006/relationships/image" Target="media/image21.png"/><Relationship Id="rId65" Type="http://schemas.openxmlformats.org/officeDocument/2006/relationships/header" Target="header8.xml"/><Relationship Id="rId73" Type="http://schemas.openxmlformats.org/officeDocument/2006/relationships/chart" Target="charts/chart23.xml"/><Relationship Id="rId78" Type="http://schemas.openxmlformats.org/officeDocument/2006/relationships/header" Target="header9.xml"/><Relationship Id="rId81" Type="http://schemas.openxmlformats.org/officeDocument/2006/relationships/image" Target="media/image27.emf"/><Relationship Id="rId86" Type="http://schemas.openxmlformats.org/officeDocument/2006/relationships/image" Target="media/image32.emf"/><Relationship Id="rId9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Users\zxz\Desktop\&#20849;&#20139;&#29992;\&#24037;&#20316;\&#23439;&#35266;&#23395;&#25253;\2025Q1\&#25968;&#25454;2025Q1\1&#65306;&#21046;&#36896;&#19994;PMI&#26381;&#21153;&#19994;PMI&#22833;&#19994;&#29575;&#65288;2025Q1&#65289;.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3" Type="http://schemas.openxmlformats.org/officeDocument/2006/relationships/chartUserShapes" Target="../drawings/drawing10.xml"/><Relationship Id="rId2" Type="http://schemas.openxmlformats.org/officeDocument/2006/relationships/oleObject" Target="file:///E:\2025%20&#23395;&#25253;\2025Q1&#25968;&#25454;.xlsx" TargetMode="External"/><Relationship Id="rId1" Type="http://schemas.openxmlformats.org/officeDocument/2006/relationships/themeOverride" Target="../theme/themeOverride8.xml"/></Relationships>
</file>

<file path=word/charts/_rels/chart11.xml.rels><?xml version="1.0" encoding="UTF-8" standalone="yes"?>
<Relationships xmlns="http://schemas.openxmlformats.org/package/2006/relationships"><Relationship Id="rId3" Type="http://schemas.openxmlformats.org/officeDocument/2006/relationships/chartUserShapes" Target="../drawings/drawing11.xml"/><Relationship Id="rId2" Type="http://schemas.openxmlformats.org/officeDocument/2006/relationships/oleObject" Target="file:///E:\2025%20&#23395;&#25253;\2025Q1&#25968;&#25454;.xlsx" TargetMode="External"/><Relationship Id="rId1" Type="http://schemas.openxmlformats.org/officeDocument/2006/relationships/themeOverride" Target="../theme/themeOverride9.xml"/></Relationships>
</file>

<file path=word/charts/_rels/chart12.xml.rels><?xml version="1.0" encoding="UTF-8" standalone="yes"?>
<Relationships xmlns="http://schemas.openxmlformats.org/package/2006/relationships"><Relationship Id="rId2" Type="http://schemas.openxmlformats.org/officeDocument/2006/relationships/oleObject" Target="file:///E:\2024%20%20&#23395;&#25253;\Q4\&#25968;&#25454;2024-&#23395;&#25253;.xlsx" TargetMode="External"/><Relationship Id="rId1" Type="http://schemas.openxmlformats.org/officeDocument/2006/relationships/themeOverride" Target="../theme/themeOverride10.xml"/></Relationships>
</file>

<file path=word/charts/_rels/chart13.xml.rels><?xml version="1.0" encoding="UTF-8" standalone="yes"?>
<Relationships xmlns="http://schemas.openxmlformats.org/package/2006/relationships"><Relationship Id="rId2" Type="http://schemas.openxmlformats.org/officeDocument/2006/relationships/oleObject" Target="file:///E:\2024%20%20&#23395;&#25253;\Q4\&#25968;&#25454;2024-&#23395;&#25253;.xlsx" TargetMode="External"/><Relationship Id="rId1" Type="http://schemas.openxmlformats.org/officeDocument/2006/relationships/themeOverride" Target="../theme/themeOverride11.xml"/></Relationships>
</file>

<file path=word/charts/_rels/chart14.xml.rels><?xml version="1.0" encoding="UTF-8" standalone="yes"?>
<Relationships xmlns="http://schemas.openxmlformats.org/package/2006/relationships"><Relationship Id="rId3" Type="http://schemas.openxmlformats.org/officeDocument/2006/relationships/chartUserShapes" Target="../drawings/drawing12.xml"/><Relationship Id="rId2" Type="http://schemas.openxmlformats.org/officeDocument/2006/relationships/oleObject" Target="file:///E:\2024%20%20&#23395;&#25253;\Q4\Q4&#25968;&#25454;.xlsx" TargetMode="External"/><Relationship Id="rId1" Type="http://schemas.openxmlformats.org/officeDocument/2006/relationships/themeOverride" Target="../theme/themeOverride12.xml"/></Relationships>
</file>

<file path=word/charts/_rels/chart15.xml.rels><?xml version="1.0" encoding="UTF-8" standalone="yes"?>
<Relationships xmlns="http://schemas.openxmlformats.org/package/2006/relationships"><Relationship Id="rId3" Type="http://schemas.openxmlformats.org/officeDocument/2006/relationships/chartUserShapes" Target="../drawings/drawing13.xml"/><Relationship Id="rId2" Type="http://schemas.openxmlformats.org/officeDocument/2006/relationships/oleObject" Target="file:///E:\2024%20%20&#23395;&#25253;\Q4\Q4&#25968;&#25454;.xlsx" TargetMode="External"/><Relationship Id="rId1" Type="http://schemas.openxmlformats.org/officeDocument/2006/relationships/themeOverride" Target="../theme/themeOverride13.xml"/></Relationships>
</file>

<file path=word/charts/_rels/chart16.xml.rels><?xml version="1.0" encoding="UTF-8" standalone="yes"?>
<Relationships xmlns="http://schemas.openxmlformats.org/package/2006/relationships"><Relationship Id="rId3" Type="http://schemas.openxmlformats.org/officeDocument/2006/relationships/chartUserShapes" Target="../drawings/drawing14.xml"/><Relationship Id="rId2" Type="http://schemas.openxmlformats.org/officeDocument/2006/relationships/package" Target="../embeddings/Microsoft_Excel____2.xlsx"/><Relationship Id="rId1" Type="http://schemas.openxmlformats.org/officeDocument/2006/relationships/themeOverride" Target="../theme/themeOverride14.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___3.xlsx"/><Relationship Id="rId1" Type="http://schemas.openxmlformats.org/officeDocument/2006/relationships/themeOverride" Target="../theme/themeOverride15.xml"/></Relationships>
</file>

<file path=word/charts/_rels/chart18.xml.rels><?xml version="1.0" encoding="UTF-8" standalone="yes"?>
<Relationships xmlns="http://schemas.openxmlformats.org/package/2006/relationships"><Relationship Id="rId3" Type="http://schemas.openxmlformats.org/officeDocument/2006/relationships/chartUserShapes" Target="../drawings/drawing15.xml"/><Relationship Id="rId2" Type="http://schemas.openxmlformats.org/officeDocument/2006/relationships/package" Target="../embeddings/Microsoft_Excel____4.xlsx"/><Relationship Id="rId1" Type="http://schemas.openxmlformats.org/officeDocument/2006/relationships/themeOverride" Target="../theme/themeOverride16.xml"/></Relationships>
</file>

<file path=word/charts/_rels/chart19.xml.rels><?xml version="1.0" encoding="UTF-8" standalone="yes"?>
<Relationships xmlns="http://schemas.openxmlformats.org/package/2006/relationships"><Relationship Id="rId3" Type="http://schemas.openxmlformats.org/officeDocument/2006/relationships/chartUserShapes" Target="../drawings/drawing16.xml"/><Relationship Id="rId2" Type="http://schemas.openxmlformats.org/officeDocument/2006/relationships/oleObject" Target="file:///D:\&#31038;&#31185;&#38498;&#24037;&#20316;\&#23395;&#24230;&#25253;&#21578;\&#23395;&#24230;&#25253;&#21578;%20-&#22823;&#23447;&#21830;&#21697;%20&#22270;&#24211;&#25968;&#25454;&#27969;\&#22270;&#24211;-&#33021;&#28304;%20formal%200112%20updated.xlsx" TargetMode="External"/><Relationship Id="rId1" Type="http://schemas.openxmlformats.org/officeDocument/2006/relationships/themeOverride" Target="../theme/themeOverride17.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Users\zxz\Desktop\&#20849;&#20139;&#29992;\&#24037;&#20316;\&#23439;&#35266;&#23395;&#25253;\2025Q1\&#25968;&#25454;2025Q1\2&#65306;&#28040;&#36153;&#25237;&#36164;&#65288;2025Q1&#65289;.xlsx" TargetMode="External"/><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3" Type="http://schemas.openxmlformats.org/officeDocument/2006/relationships/chartUserShapes" Target="../drawings/drawing17.xml"/><Relationship Id="rId2" Type="http://schemas.openxmlformats.org/officeDocument/2006/relationships/oleObject" Target="file:///D:\&#31038;&#31185;&#38498;&#24037;&#20316;\&#23395;&#24230;&#25253;&#21578;\&#23395;&#24230;&#25253;&#21578;%20-&#22823;&#23447;&#21830;&#21697;%20&#22270;&#24211;&#25968;&#25454;&#27969;\&#22270;&#24211;-&#33021;&#28304;%20formal%200112%20updated.xlsx" TargetMode="External"/><Relationship Id="rId1" Type="http://schemas.openxmlformats.org/officeDocument/2006/relationships/themeOverride" Target="../theme/themeOverride18.xml"/></Relationships>
</file>

<file path=word/charts/_rels/chart21.xml.rels><?xml version="1.0" encoding="UTF-8" standalone="yes"?>
<Relationships xmlns="http://schemas.openxmlformats.org/package/2006/relationships"><Relationship Id="rId3" Type="http://schemas.openxmlformats.org/officeDocument/2006/relationships/chartUserShapes" Target="../drawings/drawing18.xml"/><Relationship Id="rId2" Type="http://schemas.openxmlformats.org/officeDocument/2006/relationships/oleObject" Target="file:///D:\&#31038;&#31185;&#38498;&#24037;&#20316;\&#23395;&#24230;&#25253;&#21578;\&#23395;&#24230;&#25253;&#21578;%20-&#22823;&#23447;&#21830;&#21697;%20&#22270;&#24211;&#25968;&#25454;&#27969;\&#22270;&#24211;-&#33021;&#28304;%20formal%200112%20updated.xlsx" TargetMode="External"/><Relationship Id="rId1" Type="http://schemas.openxmlformats.org/officeDocument/2006/relationships/themeOverride" Target="../theme/themeOverride19.xml"/></Relationships>
</file>

<file path=word/charts/_rels/chart22.xml.rels><?xml version="1.0" encoding="UTF-8" standalone="yes"?>
<Relationships xmlns="http://schemas.openxmlformats.org/package/2006/relationships"><Relationship Id="rId3" Type="http://schemas.openxmlformats.org/officeDocument/2006/relationships/chartUserShapes" Target="../drawings/drawing19.xml"/><Relationship Id="rId2" Type="http://schemas.openxmlformats.org/officeDocument/2006/relationships/oleObject" Target="file:///D:\&#31038;&#31185;&#38498;&#24037;&#20316;\&#23395;&#24230;&#25253;&#21578;\&#23395;&#24230;&#25253;&#21578;%20-&#22823;&#23447;&#21830;&#21697;%20&#22270;&#24211;&#25968;&#25454;&#27969;\&#22270;&#24211;-&#33021;&#28304;%20formal%200112%20updated.xlsx" TargetMode="External"/><Relationship Id="rId1" Type="http://schemas.openxmlformats.org/officeDocument/2006/relationships/themeOverride" Target="../theme/themeOverride20.xml"/></Relationships>
</file>

<file path=word/charts/_rels/chart23.xml.rels><?xml version="1.0" encoding="UTF-8" standalone="yes"?>
<Relationships xmlns="http://schemas.openxmlformats.org/package/2006/relationships"><Relationship Id="rId3" Type="http://schemas.openxmlformats.org/officeDocument/2006/relationships/chartUserShapes" Target="../drawings/drawing20.xml"/><Relationship Id="rId2" Type="http://schemas.openxmlformats.org/officeDocument/2006/relationships/oleObject" Target="file:///D:\&#31038;&#31185;&#38498;&#24037;&#20316;\&#23395;&#24230;&#25253;&#21578;\&#23395;&#24230;&#25253;&#21578;%20-&#22823;&#23447;&#21830;&#21697;%20&#22270;&#24211;&#25968;&#25454;&#27969;\&#22270;&#24211;-&#33021;&#28304;%20formal%200112%20updated.xlsx" TargetMode="External"/><Relationship Id="rId1" Type="http://schemas.openxmlformats.org/officeDocument/2006/relationships/themeOverride" Target="../theme/themeOverride21.xml"/></Relationships>
</file>

<file path=word/charts/_rels/chart24.xml.rels><?xml version="1.0" encoding="UTF-8" standalone="yes"?>
<Relationships xmlns="http://schemas.openxmlformats.org/package/2006/relationships"><Relationship Id="rId3" Type="http://schemas.openxmlformats.org/officeDocument/2006/relationships/chartUserShapes" Target="../drawings/drawing21.xml"/><Relationship Id="rId2" Type="http://schemas.openxmlformats.org/officeDocument/2006/relationships/oleObject" Target="file:///D:\&#31038;&#31185;&#38498;&#24037;&#20316;\&#23395;&#24230;&#25253;&#21578;\&#23395;&#24230;&#25253;&#21578;%20-&#22823;&#23447;&#21830;&#21697;%20&#22270;&#24211;&#25968;&#25454;&#27969;\&#22270;&#24211;-&#33021;&#28304;%20formal%200112%20updated.xlsx" TargetMode="External"/><Relationship Id="rId1" Type="http://schemas.openxmlformats.org/officeDocument/2006/relationships/themeOverride" Target="../theme/themeOverride22.xml"/></Relationships>
</file>

<file path=word/charts/_rels/chart25.xml.rels><?xml version="1.0" encoding="UTF-8" standalone="yes"?>
<Relationships xmlns="http://schemas.openxmlformats.org/package/2006/relationships"><Relationship Id="rId3" Type="http://schemas.openxmlformats.org/officeDocument/2006/relationships/chartUserShapes" Target="../drawings/drawing22.xml"/><Relationship Id="rId2" Type="http://schemas.openxmlformats.org/officeDocument/2006/relationships/oleObject" Target="file:///A:\&#24037;&#20316;\2024\&#23395;&#25253;\&#22823;&#23447;&#21830;&#21697;&#19987;&#39064;2024Q2\2024Q2&#37329;&#23646;&#21644;&#20892;&#20135;&#21697;&#25968;&#25454;\f48%20LME&#38108;&#20215;&#38109;&#20215;.xls" TargetMode="External"/><Relationship Id="rId1" Type="http://schemas.openxmlformats.org/officeDocument/2006/relationships/themeOverride" Target="../theme/themeOverride23.xml"/></Relationships>
</file>

<file path=word/charts/_rels/chart26.xml.rels><?xml version="1.0" encoding="UTF-8" standalone="yes"?>
<Relationships xmlns="http://schemas.openxmlformats.org/package/2006/relationships"><Relationship Id="rId3" Type="http://schemas.openxmlformats.org/officeDocument/2006/relationships/chartUserShapes" Target="../drawings/drawing23.xml"/><Relationship Id="rId2" Type="http://schemas.openxmlformats.org/officeDocument/2006/relationships/oleObject" Target="file:///A:\&#24037;&#20316;\2024\&#23395;&#25253;\&#22823;&#23447;&#21830;&#21697;&#19987;&#39064;2024Q2\2024Q2&#37329;&#23646;&#21644;&#20892;&#20135;&#21697;&#25968;&#25454;\f49%20&#20840;&#29699;&#38108;&#24211;&#23384;.xls" TargetMode="External"/><Relationship Id="rId1" Type="http://schemas.openxmlformats.org/officeDocument/2006/relationships/themeOverride" Target="../theme/themeOverride24.xml"/></Relationships>
</file>

<file path=word/charts/_rels/chart27.xml.rels><?xml version="1.0" encoding="UTF-8" standalone="yes"?>
<Relationships xmlns="http://schemas.openxmlformats.org/package/2006/relationships"><Relationship Id="rId3" Type="http://schemas.openxmlformats.org/officeDocument/2006/relationships/chartUserShapes" Target="../drawings/drawing24.xml"/><Relationship Id="rId2" Type="http://schemas.openxmlformats.org/officeDocument/2006/relationships/oleObject" Target="file:///A:\&#24037;&#20316;\2024\&#23395;&#25253;\&#22823;&#23447;&#21830;&#21697;&#19987;&#39064;2024Q2\2024Q2&#37329;&#23646;&#21644;&#20892;&#20135;&#21697;&#25968;&#25454;\f50%20&#22269;&#38469;&#38081;&#30719;&#30707;.xls" TargetMode="External"/><Relationship Id="rId1" Type="http://schemas.openxmlformats.org/officeDocument/2006/relationships/themeOverride" Target="../theme/themeOverride25.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file:///\\Users\zxz\Desktop\&#20849;&#20139;&#29992;\&#24037;&#20316;\&#23439;&#35266;&#23395;&#25253;\2025Q1\&#25968;&#25454;2025Q1\3&#65306;&#26085;&#26412;&#23545;&#22806;&#36152;&#26131;&#65288;2025Q1&#65289;.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oleObject" Target="file:///\\Users\zxz\Desktop\&#20849;&#20139;&#29992;\&#24037;&#20316;\&#23439;&#35266;&#23395;&#25253;\2025Q1\&#25968;&#25454;2025Q1\6&#65306;CPIPPI&#65288;2025Q1&#65289;.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oleObject" Target="file:///\\Users\zxz\Desktop\&#20849;&#20139;&#29992;\&#24037;&#20316;\&#23439;&#35266;&#23395;&#25253;\2025Q1\&#25968;&#25454;2025Q1\7&#65306;&#32929;&#24066;&#27719;&#24066;&#65288;2025Q1&#65289;.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oleObject" Target="file:///\\Users\zxz\Desktop\&#20849;&#20139;&#29992;\&#24037;&#20316;\&#23439;&#35266;&#23395;&#25253;\2025Q1\&#25968;&#25454;2025Q1\8&#65306;&#21033;&#29575;&#65288;2025Q1&#65289;.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package" Target="../embeddings/Microsoft_Excel____1.xlsx"/></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E:\2025%20&#23395;&#25253;\2025Q1&#25968;&#25454;.xlsx" TargetMode="External"/></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9.xml"/><Relationship Id="rId2" Type="http://schemas.openxmlformats.org/officeDocument/2006/relationships/oleObject" Target="file:///E:\2025%20&#23395;&#25253;\2025Q1&#25968;&#25454;.xlsx" TargetMode="External"/><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8891203703703713E-2"/>
          <c:y val="2.9295370370370454E-2"/>
          <c:w val="0.90797500000000064"/>
          <c:h val="0.74560598290598412"/>
        </c:manualLayout>
      </c:layout>
      <c:lineChart>
        <c:grouping val="standard"/>
        <c:varyColors val="0"/>
        <c:ser>
          <c:idx val="0"/>
          <c:order val="0"/>
          <c:tx>
            <c:strRef>
              <c:f>整理并作图!$E$2</c:f>
              <c:strCache>
                <c:ptCount val="1"/>
                <c:pt idx="0">
                  <c:v>制造业PMI</c:v>
                </c:pt>
              </c:strCache>
            </c:strRef>
          </c:tx>
          <c:spPr>
            <a:ln w="22225" cap="rnd">
              <a:solidFill>
                <a:srgbClr val="106D9C"/>
              </a:solidFill>
              <a:round/>
            </a:ln>
            <a:effectLst/>
          </c:spPr>
          <c:marker>
            <c:symbol val="none"/>
          </c:marker>
          <c:dLbls>
            <c:dLbl>
              <c:idx val="6"/>
              <c:layout>
                <c:manualLayout>
                  <c:x val="8.2273311824560533E-2"/>
                  <c:y val="-7.2589062478832275E-2"/>
                </c:manualLayout>
              </c:layout>
              <c:tx>
                <c:rich>
                  <a:bodyPr/>
                  <a:lstStyle/>
                  <a:p>
                    <a:pPr>
                      <a:defRPr lang="ja-JP" sz="800">
                        <a:latin typeface="Times New Roman" panose="02020603050405020304" pitchFamily="18" charset="0"/>
                        <a:ea typeface="楷体" panose="02010609060101010101" pitchFamily="49" charset="-122"/>
                        <a:cs typeface="Times New Roman" panose="02020603050405020304" pitchFamily="18" charset="0"/>
                      </a:defRPr>
                    </a:pPr>
                    <a:r>
                      <a:rPr lang="zh-CN" altLang="en-US">
                        <a:latin typeface="Times New Roman" panose="02020603050405020304" pitchFamily="18" charset="0"/>
                        <a:cs typeface="Times New Roman" panose="02020603050405020304" pitchFamily="18" charset="0"/>
                      </a:rPr>
                      <a:t>服务业</a:t>
                    </a:r>
                    <a:r>
                      <a:rPr lang="en-US" altLang="zh-CN">
                        <a:latin typeface="Times New Roman" panose="02020603050405020304" pitchFamily="18" charset="0"/>
                        <a:cs typeface="Times New Roman" panose="02020603050405020304" pitchFamily="18" charset="0"/>
                      </a:rPr>
                      <a:t>PMI</a:t>
                    </a:r>
                  </a:p>
                </c:rich>
              </c:tx>
              <c:spPr/>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8714-4007-8F79-465548BB6905}"/>
                </c:ext>
              </c:extLst>
            </c:dLbl>
            <c:spPr>
              <a:noFill/>
              <a:ln>
                <a:noFill/>
              </a:ln>
              <a:effectLst/>
            </c:spPr>
            <c:txPr>
              <a:bodyPr/>
              <a:lstStyle/>
              <a:p>
                <a:pPr>
                  <a:defRPr lang="ja-JP"/>
                </a:pPr>
                <a:endParaRPr lang="zh-CN"/>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整理并作图!$B$24:$B$39</c:f>
              <c:strCache>
                <c:ptCount val="16"/>
                <c:pt idx="0">
                  <c:v>Q2</c:v>
                </c:pt>
                <c:pt idx="1">
                  <c:v>Q3</c:v>
                </c:pt>
                <c:pt idx="2">
                  <c:v>Q4</c:v>
                </c:pt>
                <c:pt idx="3">
                  <c:v>Q1
2022</c:v>
                </c:pt>
                <c:pt idx="4">
                  <c:v>Q2</c:v>
                </c:pt>
                <c:pt idx="5">
                  <c:v>Q3</c:v>
                </c:pt>
                <c:pt idx="6">
                  <c:v>Q4</c:v>
                </c:pt>
                <c:pt idx="7">
                  <c:v>Q1
2023</c:v>
                </c:pt>
                <c:pt idx="8">
                  <c:v>Q2</c:v>
                </c:pt>
                <c:pt idx="9">
                  <c:v>Q3</c:v>
                </c:pt>
                <c:pt idx="10">
                  <c:v>Q4</c:v>
                </c:pt>
                <c:pt idx="11">
                  <c:v>Q1
2024</c:v>
                </c:pt>
                <c:pt idx="12">
                  <c:v>Q2</c:v>
                </c:pt>
                <c:pt idx="13">
                  <c:v>Q3</c:v>
                </c:pt>
                <c:pt idx="14">
                  <c:v>Q4</c:v>
                </c:pt>
                <c:pt idx="15">
                  <c:v>Q1
2025</c:v>
                </c:pt>
              </c:strCache>
            </c:strRef>
          </c:cat>
          <c:val>
            <c:numRef>
              <c:f>整理并作图!$E$24:$E$39</c:f>
              <c:numCache>
                <c:formatCode>0.0_);[Red]\(0.0\)</c:formatCode>
                <c:ptCount val="16"/>
                <c:pt idx="0">
                  <c:v>53</c:v>
                </c:pt>
                <c:pt idx="1">
                  <c:v>52.4</c:v>
                </c:pt>
                <c:pt idx="2">
                  <c:v>54</c:v>
                </c:pt>
                <c:pt idx="3">
                  <c:v>54.07</c:v>
                </c:pt>
                <c:pt idx="4">
                  <c:v>53.2</c:v>
                </c:pt>
                <c:pt idx="5">
                  <c:v>51.47</c:v>
                </c:pt>
                <c:pt idx="6">
                  <c:v>49.85</c:v>
                </c:pt>
                <c:pt idx="7">
                  <c:v>49.2</c:v>
                </c:pt>
                <c:pt idx="8">
                  <c:v>50.05</c:v>
                </c:pt>
                <c:pt idx="9">
                  <c:v>49.233333333333327</c:v>
                </c:pt>
                <c:pt idx="10">
                  <c:v>48.5</c:v>
                </c:pt>
                <c:pt idx="11">
                  <c:v>47.800000000000004</c:v>
                </c:pt>
                <c:pt idx="12">
                  <c:v>50</c:v>
                </c:pt>
                <c:pt idx="13">
                  <c:v>49.533333333333339</c:v>
                </c:pt>
                <c:pt idx="14">
                  <c:v>49.266666666666673</c:v>
                </c:pt>
                <c:pt idx="15" formatCode="General">
                  <c:v>48.699999999999996</c:v>
                </c:pt>
              </c:numCache>
            </c:numRef>
          </c:val>
          <c:smooth val="0"/>
          <c:extLst xmlns:c16r2="http://schemas.microsoft.com/office/drawing/2015/06/chart">
            <c:ext xmlns:c16="http://schemas.microsoft.com/office/drawing/2014/chart" uri="{C3380CC4-5D6E-409C-BE32-E72D297353CC}">
              <c16:uniqueId val="{00000001-8714-4007-8F79-465548BB6905}"/>
            </c:ext>
          </c:extLst>
        </c:ser>
        <c:ser>
          <c:idx val="1"/>
          <c:order val="1"/>
          <c:tx>
            <c:strRef>
              <c:f>整理并作图!$F$2</c:f>
              <c:strCache>
                <c:ptCount val="1"/>
                <c:pt idx="0">
                  <c:v>服务业PMI</c:v>
                </c:pt>
              </c:strCache>
            </c:strRef>
          </c:tx>
          <c:spPr>
            <a:ln w="22225" cap="rnd">
              <a:solidFill>
                <a:srgbClr val="74A3BA"/>
              </a:solidFill>
              <a:prstDash val="sysDash"/>
              <a:round/>
            </a:ln>
            <a:effectLst/>
          </c:spPr>
          <c:marker>
            <c:symbol val="none"/>
          </c:marker>
          <c:dLbls>
            <c:dLbl>
              <c:idx val="9"/>
              <c:layout>
                <c:manualLayout>
                  <c:x val="-0.22802023195047133"/>
                  <c:y val="-2.9612380463529805E-2"/>
                </c:manualLayout>
              </c:layout>
              <c:tx>
                <c:rich>
                  <a:bodyPr/>
                  <a:lstStyle/>
                  <a:p>
                    <a:pPr>
                      <a:defRPr lang="ja-JP" sz="800">
                        <a:latin typeface="楷体" panose="02010609060101010101" pitchFamily="49" charset="-122"/>
                        <a:ea typeface="楷体" panose="02010609060101010101" pitchFamily="49" charset="-122"/>
                      </a:defRPr>
                    </a:pPr>
                    <a:r>
                      <a:rPr lang="zh-CN" altLang="en-US"/>
                      <a:t>失业率（右轴）</a:t>
                    </a:r>
                  </a:p>
                </c:rich>
              </c:tx>
              <c:spPr/>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8714-4007-8F79-465548BB6905}"/>
                </c:ext>
              </c:extLst>
            </c:dLbl>
            <c:spPr>
              <a:noFill/>
              <a:ln>
                <a:noFill/>
              </a:ln>
              <a:effectLst/>
            </c:spPr>
            <c:txPr>
              <a:bodyPr/>
              <a:lstStyle/>
              <a:p>
                <a:pPr>
                  <a:defRPr lang="ja-JP"/>
                </a:pPr>
                <a:endParaRPr lang="zh-CN"/>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整理并作图!$B$24:$B$39</c:f>
              <c:strCache>
                <c:ptCount val="16"/>
                <c:pt idx="0">
                  <c:v>Q2</c:v>
                </c:pt>
                <c:pt idx="1">
                  <c:v>Q3</c:v>
                </c:pt>
                <c:pt idx="2">
                  <c:v>Q4</c:v>
                </c:pt>
                <c:pt idx="3">
                  <c:v>Q1
2022</c:v>
                </c:pt>
                <c:pt idx="4">
                  <c:v>Q2</c:v>
                </c:pt>
                <c:pt idx="5">
                  <c:v>Q3</c:v>
                </c:pt>
                <c:pt idx="6">
                  <c:v>Q4</c:v>
                </c:pt>
                <c:pt idx="7">
                  <c:v>Q1
2023</c:v>
                </c:pt>
                <c:pt idx="8">
                  <c:v>Q2</c:v>
                </c:pt>
                <c:pt idx="9">
                  <c:v>Q3</c:v>
                </c:pt>
                <c:pt idx="10">
                  <c:v>Q4</c:v>
                </c:pt>
                <c:pt idx="11">
                  <c:v>Q1
2024</c:v>
                </c:pt>
                <c:pt idx="12">
                  <c:v>Q2</c:v>
                </c:pt>
                <c:pt idx="13">
                  <c:v>Q3</c:v>
                </c:pt>
                <c:pt idx="14">
                  <c:v>Q4</c:v>
                </c:pt>
                <c:pt idx="15">
                  <c:v>Q1
2025</c:v>
                </c:pt>
              </c:strCache>
            </c:strRef>
          </c:cat>
          <c:val>
            <c:numRef>
              <c:f>整理并作图!$F$24:$F$39</c:f>
              <c:numCache>
                <c:formatCode>0.0_);[Red]\(0.0\)</c:formatCode>
                <c:ptCount val="16"/>
                <c:pt idx="0">
                  <c:v>47.73</c:v>
                </c:pt>
                <c:pt idx="1">
                  <c:v>46.03</c:v>
                </c:pt>
                <c:pt idx="2">
                  <c:v>51.9</c:v>
                </c:pt>
                <c:pt idx="3">
                  <c:v>47.1</c:v>
                </c:pt>
                <c:pt idx="4">
                  <c:v>52.4</c:v>
                </c:pt>
                <c:pt idx="5">
                  <c:v>50.67</c:v>
                </c:pt>
                <c:pt idx="6">
                  <c:v>51.75</c:v>
                </c:pt>
                <c:pt idx="7">
                  <c:v>53.766666666666673</c:v>
                </c:pt>
                <c:pt idx="8">
                  <c:v>55.1</c:v>
                </c:pt>
                <c:pt idx="9">
                  <c:v>53.966666666666661</c:v>
                </c:pt>
                <c:pt idx="10">
                  <c:v>51.466666666666669</c:v>
                </c:pt>
                <c:pt idx="11">
                  <c:v>52.566666666666663</c:v>
                </c:pt>
                <c:pt idx="12">
                  <c:v>51.833333333333336</c:v>
                </c:pt>
                <c:pt idx="13">
                  <c:v>53.5</c:v>
                </c:pt>
                <c:pt idx="14">
                  <c:v>50.366666666666667</c:v>
                </c:pt>
                <c:pt idx="15" formatCode="General">
                  <c:v>52.233333333333327</c:v>
                </c:pt>
              </c:numCache>
            </c:numRef>
          </c:val>
          <c:smooth val="0"/>
          <c:extLst xmlns:c16r2="http://schemas.microsoft.com/office/drawing/2015/06/chart">
            <c:ext xmlns:c16="http://schemas.microsoft.com/office/drawing/2014/chart" uri="{C3380CC4-5D6E-409C-BE32-E72D297353CC}">
              <c16:uniqueId val="{00000003-8714-4007-8F79-465548BB6905}"/>
            </c:ext>
          </c:extLst>
        </c:ser>
        <c:dLbls>
          <c:showLegendKey val="0"/>
          <c:showVal val="0"/>
          <c:showCatName val="0"/>
          <c:showSerName val="0"/>
          <c:showPercent val="0"/>
          <c:showBubbleSize val="0"/>
        </c:dLbls>
        <c:marker val="1"/>
        <c:smooth val="0"/>
        <c:axId val="370476544"/>
        <c:axId val="370478080"/>
      </c:lineChart>
      <c:lineChart>
        <c:grouping val="standard"/>
        <c:varyColors val="0"/>
        <c:ser>
          <c:idx val="2"/>
          <c:order val="2"/>
          <c:tx>
            <c:strRef>
              <c:f>整理并作图!$D$2</c:f>
              <c:strCache>
                <c:ptCount val="1"/>
                <c:pt idx="0">
                  <c:v>失业率</c:v>
                </c:pt>
              </c:strCache>
            </c:strRef>
          </c:tx>
          <c:spPr>
            <a:ln w="25400">
              <a:solidFill>
                <a:srgbClr val="106D9C"/>
              </a:solidFill>
              <a:prstDash val="dash"/>
            </a:ln>
          </c:spPr>
          <c:marker>
            <c:symbol val="none"/>
          </c:marker>
          <c:dLbls>
            <c:dLbl>
              <c:idx val="6"/>
              <c:layout>
                <c:manualLayout>
                  <c:x val="8.4456109652959965E-2"/>
                  <c:y val="2.159867657529236E-2"/>
                </c:manualLayout>
              </c:layout>
              <c:tx>
                <c:rich>
                  <a:bodyPr/>
                  <a:lstStyle/>
                  <a:p>
                    <a:pPr>
                      <a:defRPr lang="ja-JP" sz="800" baseline="0">
                        <a:latin typeface="Times New Roman" panose="02020603050405020304" pitchFamily="18" charset="0"/>
                        <a:ea typeface="楷体" panose="02010609060101010101" pitchFamily="49" charset="-122"/>
                      </a:defRPr>
                    </a:pPr>
                    <a:r>
                      <a:rPr lang="zh-CN" altLang="en-US"/>
                      <a:t>制造业</a:t>
                    </a:r>
                    <a:r>
                      <a:rPr lang="en-US" altLang="zh-CN"/>
                      <a:t>PMI</a:t>
                    </a:r>
                  </a:p>
                </c:rich>
              </c:tx>
              <c:spPr/>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8714-4007-8F79-465548BB6905}"/>
                </c:ext>
              </c:extLst>
            </c:dLbl>
            <c:spPr>
              <a:noFill/>
              <a:ln>
                <a:noFill/>
              </a:ln>
              <a:effectLst/>
            </c:spPr>
            <c:txPr>
              <a:bodyPr/>
              <a:lstStyle/>
              <a:p>
                <a:pPr>
                  <a:defRPr lang="ja-JP"/>
                </a:pPr>
                <a:endParaRPr lang="zh-CN"/>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整理并作图!$B$24:$B$39</c:f>
              <c:strCache>
                <c:ptCount val="16"/>
                <c:pt idx="0">
                  <c:v>Q2</c:v>
                </c:pt>
                <c:pt idx="1">
                  <c:v>Q3</c:v>
                </c:pt>
                <c:pt idx="2">
                  <c:v>Q4</c:v>
                </c:pt>
                <c:pt idx="3">
                  <c:v>Q1
2022</c:v>
                </c:pt>
                <c:pt idx="4">
                  <c:v>Q2</c:v>
                </c:pt>
                <c:pt idx="5">
                  <c:v>Q3</c:v>
                </c:pt>
                <c:pt idx="6">
                  <c:v>Q4</c:v>
                </c:pt>
                <c:pt idx="7">
                  <c:v>Q1
2023</c:v>
                </c:pt>
                <c:pt idx="8">
                  <c:v>Q2</c:v>
                </c:pt>
                <c:pt idx="9">
                  <c:v>Q3</c:v>
                </c:pt>
                <c:pt idx="10">
                  <c:v>Q4</c:v>
                </c:pt>
                <c:pt idx="11">
                  <c:v>Q1
2024</c:v>
                </c:pt>
                <c:pt idx="12">
                  <c:v>Q2</c:v>
                </c:pt>
                <c:pt idx="13">
                  <c:v>Q3</c:v>
                </c:pt>
                <c:pt idx="14">
                  <c:v>Q4</c:v>
                </c:pt>
                <c:pt idx="15">
                  <c:v>Q1
2025</c:v>
                </c:pt>
              </c:strCache>
            </c:strRef>
          </c:cat>
          <c:val>
            <c:numRef>
              <c:f>整理并作图!$D$24:$D$39</c:f>
              <c:numCache>
                <c:formatCode>0.0_ </c:formatCode>
                <c:ptCount val="16"/>
                <c:pt idx="0">
                  <c:v>3.05</c:v>
                </c:pt>
                <c:pt idx="1">
                  <c:v>2.8</c:v>
                </c:pt>
                <c:pt idx="2">
                  <c:v>2.6</c:v>
                </c:pt>
                <c:pt idx="3">
                  <c:v>2.7</c:v>
                </c:pt>
                <c:pt idx="4">
                  <c:v>2.6</c:v>
                </c:pt>
                <c:pt idx="5">
                  <c:v>2.5</c:v>
                </c:pt>
                <c:pt idx="6">
                  <c:v>2.4300000000000002</c:v>
                </c:pt>
                <c:pt idx="7">
                  <c:v>2.5666666666666669</c:v>
                </c:pt>
                <c:pt idx="8">
                  <c:v>2.6666666666666665</c:v>
                </c:pt>
                <c:pt idx="9">
                  <c:v>2.6333333333333333</c:v>
                </c:pt>
                <c:pt idx="10">
                  <c:v>2.4500000000000002</c:v>
                </c:pt>
                <c:pt idx="11">
                  <c:v>2.5333333333333332</c:v>
                </c:pt>
                <c:pt idx="12">
                  <c:v>2.6666666666666665</c:v>
                </c:pt>
                <c:pt idx="13">
                  <c:v>2.5333333333333332</c:v>
                </c:pt>
                <c:pt idx="14">
                  <c:v>2.5</c:v>
                </c:pt>
                <c:pt idx="15" formatCode="General">
                  <c:v>2.4499999999999997</c:v>
                </c:pt>
              </c:numCache>
            </c:numRef>
          </c:val>
          <c:smooth val="0"/>
          <c:extLst xmlns:c16r2="http://schemas.microsoft.com/office/drawing/2015/06/chart">
            <c:ext xmlns:c16="http://schemas.microsoft.com/office/drawing/2014/chart" uri="{C3380CC4-5D6E-409C-BE32-E72D297353CC}">
              <c16:uniqueId val="{00000005-8714-4007-8F79-465548BB6905}"/>
            </c:ext>
          </c:extLst>
        </c:ser>
        <c:dLbls>
          <c:showLegendKey val="0"/>
          <c:showVal val="0"/>
          <c:showCatName val="0"/>
          <c:showSerName val="0"/>
          <c:showPercent val="0"/>
          <c:showBubbleSize val="0"/>
        </c:dLbls>
        <c:marker val="1"/>
        <c:smooth val="0"/>
        <c:axId val="370498560"/>
        <c:axId val="370496640"/>
      </c:lineChart>
      <c:catAx>
        <c:axId val="370476544"/>
        <c:scaling>
          <c:orientation val="minMax"/>
        </c:scaling>
        <c:delete val="0"/>
        <c:axPos val="b"/>
        <c:numFmt formatCode="General" sourceLinked="1"/>
        <c:majorTickMark val="out"/>
        <c:minorTickMark val="out"/>
        <c:tickLblPos val="low"/>
        <c:spPr>
          <a:noFill/>
          <a:ln w="15875" cap="flat" cmpd="sng" algn="ctr">
            <a:solidFill>
              <a:sysClr val="windowText" lastClr="000000"/>
            </a:solidFill>
            <a:round/>
          </a:ln>
          <a:effectLst/>
        </c:spPr>
        <c:txPr>
          <a:bodyPr rot="0" spcFirstLastPara="1" vertOverflow="ellipsis"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zh-CN"/>
          </a:p>
        </c:txPr>
        <c:crossAx val="370478080"/>
        <c:crosses val="autoZero"/>
        <c:auto val="1"/>
        <c:lblAlgn val="ctr"/>
        <c:lblOffset val="100"/>
        <c:tickLblSkip val="1"/>
        <c:tickMarkSkip val="1"/>
        <c:noMultiLvlLbl val="0"/>
      </c:catAx>
      <c:valAx>
        <c:axId val="370478080"/>
        <c:scaling>
          <c:orientation val="minMax"/>
          <c:min val="40"/>
        </c:scaling>
        <c:delete val="0"/>
        <c:axPos val="l"/>
        <c:title>
          <c:tx>
            <c:rich>
              <a:bodyPr rot="0" spcFirstLastPara="1" vertOverflow="ellipsis" vert="horz" wrap="square" anchor="ctr" anchorCtr="1"/>
              <a:lstStyle/>
              <a:p>
                <a:pPr>
                  <a:defRPr lang="ja-JP"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ltLang="zh-CN" sz="800">
                    <a:solidFill>
                      <a:sysClr val="windowText" lastClr="000000"/>
                    </a:solidFill>
                    <a:latin typeface="Times New Roman" panose="02020603050405020304" pitchFamily="18" charset="0"/>
                    <a:cs typeface="Times New Roman" panose="02020603050405020304" pitchFamily="18" charset="0"/>
                  </a:rPr>
                  <a:t>%</a:t>
                </a:r>
                <a:endParaRPr lang="zh-CN" altLang="en-US" sz="8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6.1736111111111283E-2"/>
              <c:y val="3.1876068376068441E-3"/>
            </c:manualLayout>
          </c:layout>
          <c:overlay val="0"/>
          <c:spPr>
            <a:noFill/>
            <a:ln w="25400">
              <a:noFill/>
            </a:ln>
          </c:spPr>
        </c:title>
        <c:numFmt formatCode="#,##0_ " sourceLinked="0"/>
        <c:majorTickMark val="out"/>
        <c:minorTickMark val="none"/>
        <c:tickLblPos val="nextTo"/>
        <c:spPr>
          <a:noFill/>
          <a:ln w="15875">
            <a:solidFill>
              <a:sysClr val="windowText" lastClr="000000"/>
            </a:solidFill>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zh-CN"/>
          </a:p>
        </c:txPr>
        <c:crossAx val="370476544"/>
        <c:crosses val="autoZero"/>
        <c:crossBetween val="between"/>
      </c:valAx>
      <c:valAx>
        <c:axId val="370496640"/>
        <c:scaling>
          <c:orientation val="minMax"/>
          <c:min val="1"/>
        </c:scaling>
        <c:delete val="0"/>
        <c:axPos val="r"/>
        <c:title>
          <c:tx>
            <c:rich>
              <a:bodyPr rot="0" vert="horz"/>
              <a:lstStyle/>
              <a:p>
                <a:pPr>
                  <a:defRPr lang="ja-JP" sz="800" b="0">
                    <a:latin typeface="Times New Roman" panose="02020603050405020304" pitchFamily="18" charset="0"/>
                    <a:cs typeface="Times New Roman" panose="02020603050405020304" pitchFamily="18" charset="0"/>
                  </a:defRPr>
                </a:pPr>
                <a:r>
                  <a:rPr lang="en-US" altLang="zh-CN" sz="800" b="0">
                    <a:latin typeface="Times New Roman" panose="02020603050405020304" pitchFamily="18" charset="0"/>
                    <a:cs typeface="Times New Roman" panose="02020603050405020304" pitchFamily="18" charset="0"/>
                  </a:rPr>
                  <a:t>%</a:t>
                </a:r>
                <a:endParaRPr lang="zh-CN" altLang="en-US" sz="800" b="0">
                  <a:latin typeface="Times New Roman" panose="02020603050405020304" pitchFamily="18" charset="0"/>
                  <a:cs typeface="Times New Roman" panose="02020603050405020304" pitchFamily="18" charset="0"/>
                </a:endParaRPr>
              </a:p>
            </c:rich>
          </c:tx>
          <c:layout>
            <c:manualLayout>
              <c:xMode val="edge"/>
              <c:yMode val="edge"/>
              <c:x val="0.89063888888888965"/>
              <c:y val="4.7435897435897542E-4"/>
            </c:manualLayout>
          </c:layout>
          <c:overlay val="0"/>
        </c:title>
        <c:numFmt formatCode="0.0_ " sourceLinked="1"/>
        <c:majorTickMark val="out"/>
        <c:minorTickMark val="none"/>
        <c:tickLblPos val="nextTo"/>
        <c:spPr>
          <a:ln w="15875">
            <a:solidFill>
              <a:sysClr val="windowText" lastClr="000000"/>
            </a:solidFill>
          </a:ln>
        </c:spPr>
        <c:txPr>
          <a:bodyPr/>
          <a:lstStyle/>
          <a:p>
            <a:pPr>
              <a:defRPr lang="ja-JP" sz="900">
                <a:latin typeface="Times New Roman" panose="02020603050405020304" pitchFamily="18" charset="0"/>
                <a:cs typeface="Times New Roman" panose="02020603050405020304" pitchFamily="18" charset="0"/>
              </a:defRPr>
            </a:pPr>
            <a:endParaRPr lang="zh-CN"/>
          </a:p>
        </c:txPr>
        <c:crossAx val="370498560"/>
        <c:crosses val="max"/>
        <c:crossBetween val="between"/>
      </c:valAx>
      <c:catAx>
        <c:axId val="370498560"/>
        <c:scaling>
          <c:orientation val="minMax"/>
        </c:scaling>
        <c:delete val="1"/>
        <c:axPos val="b"/>
        <c:numFmt formatCode="General" sourceLinked="1"/>
        <c:majorTickMark val="out"/>
        <c:minorTickMark val="none"/>
        <c:tickLblPos val="none"/>
        <c:crossAx val="370496640"/>
        <c:crosses val="autoZero"/>
        <c:auto val="1"/>
        <c:lblAlgn val="ctr"/>
        <c:lblOffset val="100"/>
        <c:noMultiLvlLbl val="0"/>
      </c:catAx>
      <c:spPr>
        <a:noFill/>
        <a:ln w="25400">
          <a:noFill/>
        </a:ln>
      </c:spPr>
    </c:plotArea>
    <c:plotVisOnly val="1"/>
    <c:dispBlanksAs val="gap"/>
    <c:showDLblsOverMax val="0"/>
  </c:chart>
  <c:spPr>
    <a:solidFill>
      <a:srgbClr val="FFFFFF"/>
    </a:solidFill>
    <a:ln w="3175">
      <a:solidFill>
        <a:srgbClr val="FFFFFF"/>
      </a:solidFill>
      <a:prstDash val="solid"/>
    </a:ln>
  </c:spPr>
  <c:txPr>
    <a:bodyPr/>
    <a:lstStyle/>
    <a:p>
      <a:pPr>
        <a:defRPr/>
      </a:pPr>
      <a:endParaRPr lang="zh-CN"/>
    </a:p>
  </c:txPr>
  <c:externalData r:id="rId2">
    <c:autoUpdate val="0"/>
  </c:externalData>
  <c:userShapes r:id="rId3"/>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1025371828521399E-2"/>
          <c:y val="4.3956043956044001E-2"/>
          <c:w val="0.93455324074074098"/>
          <c:h val="0.75043888888888899"/>
        </c:manualLayout>
      </c:layout>
      <c:barChart>
        <c:barDir val="col"/>
        <c:grouping val="clustered"/>
        <c:varyColors val="0"/>
        <c:ser>
          <c:idx val="0"/>
          <c:order val="0"/>
          <c:tx>
            <c:strRef>
              <c:f>汇率季度!$A$2</c:f>
              <c:strCache>
                <c:ptCount val="1"/>
                <c:pt idx="0">
                  <c:v>2024年</c:v>
                </c:pt>
              </c:strCache>
            </c:strRef>
          </c:tx>
          <c:spPr>
            <a:solidFill>
              <a:srgbClr val="4472C4">
                <a:lumMod val="60000"/>
                <a:lumOff val="40000"/>
              </a:srgbClr>
            </a:solidFill>
            <a:ln w="25400">
              <a:noFill/>
            </a:ln>
          </c:spPr>
          <c:invertIfNegative val="0"/>
          <c:cat>
            <c:strRef>
              <c:f>汇率季度!$B$1:$H$1</c:f>
              <c:strCache>
                <c:ptCount val="7"/>
                <c:pt idx="0">
                  <c:v>印尼</c:v>
                </c:pt>
                <c:pt idx="1">
                  <c:v>泰国</c:v>
                </c:pt>
                <c:pt idx="2">
                  <c:v>马来西亚</c:v>
                </c:pt>
                <c:pt idx="3">
                  <c:v>新加坡</c:v>
                </c:pt>
                <c:pt idx="4">
                  <c:v>菲律宾</c:v>
                </c:pt>
                <c:pt idx="5">
                  <c:v>越南</c:v>
                </c:pt>
                <c:pt idx="6">
                  <c:v>韩国</c:v>
                </c:pt>
              </c:strCache>
            </c:strRef>
          </c:cat>
          <c:val>
            <c:numRef>
              <c:f>汇率季度!$B$2:$H$2</c:f>
              <c:numCache>
                <c:formatCode>0.00_ </c:formatCode>
                <c:ptCount val="7"/>
                <c:pt idx="0">
                  <c:v>-4.2334591817787874</c:v>
                </c:pt>
                <c:pt idx="1">
                  <c:v>0.92448108346828239</c:v>
                </c:pt>
                <c:pt idx="2">
                  <c:v>2.9642058165548142</c:v>
                </c:pt>
                <c:pt idx="3">
                  <c:v>-2.7640961552598831</c:v>
                </c:pt>
                <c:pt idx="4">
                  <c:v>-4.1990077272805726</c:v>
                </c:pt>
                <c:pt idx="5">
                  <c:v>-2.0012327922745028</c:v>
                </c:pt>
                <c:pt idx="6">
                  <c:v>-11.687606112054315</c:v>
                </c:pt>
              </c:numCache>
            </c:numRef>
          </c:val>
          <c:extLst xmlns:c16r2="http://schemas.microsoft.com/office/drawing/2015/06/chart">
            <c:ext xmlns:c16="http://schemas.microsoft.com/office/drawing/2014/chart" uri="{C3380CC4-5D6E-409C-BE32-E72D297353CC}">
              <c16:uniqueId val="{00000000-2453-4B3A-B360-E2B437798200}"/>
            </c:ext>
          </c:extLst>
        </c:ser>
        <c:ser>
          <c:idx val="2"/>
          <c:order val="1"/>
          <c:tx>
            <c:strRef>
              <c:f>汇率季度!$A$3</c:f>
              <c:strCache>
                <c:ptCount val="1"/>
                <c:pt idx="0">
                  <c:v>2024年Q3</c:v>
                </c:pt>
              </c:strCache>
            </c:strRef>
          </c:tx>
          <c:spPr>
            <a:solidFill>
              <a:sysClr val="window" lastClr="FFFFFF">
                <a:lumMod val="75000"/>
              </a:sysClr>
            </a:solidFill>
          </c:spPr>
          <c:invertIfNegative val="0"/>
          <c:cat>
            <c:strRef>
              <c:f>汇率季度!$B$1:$H$1</c:f>
              <c:strCache>
                <c:ptCount val="7"/>
                <c:pt idx="0">
                  <c:v>印尼</c:v>
                </c:pt>
                <c:pt idx="1">
                  <c:v>泰国</c:v>
                </c:pt>
                <c:pt idx="2">
                  <c:v>马来西亚</c:v>
                </c:pt>
                <c:pt idx="3">
                  <c:v>新加坡</c:v>
                </c:pt>
                <c:pt idx="4">
                  <c:v>菲律宾</c:v>
                </c:pt>
                <c:pt idx="5">
                  <c:v>越南</c:v>
                </c:pt>
                <c:pt idx="6">
                  <c:v>韩国</c:v>
                </c:pt>
              </c:strCache>
            </c:strRef>
          </c:cat>
          <c:val>
            <c:numRef>
              <c:f>汇率季度!$B$3:$H$3</c:f>
              <c:numCache>
                <c:formatCode>0.00_ </c:formatCode>
                <c:ptCount val="7"/>
                <c:pt idx="0">
                  <c:v>8.2540940306392052</c:v>
                </c:pt>
                <c:pt idx="1">
                  <c:v>14.225487460863629</c:v>
                </c:pt>
                <c:pt idx="2">
                  <c:v>14.899573950091291</c:v>
                </c:pt>
                <c:pt idx="3">
                  <c:v>6.083086053412476</c:v>
                </c:pt>
                <c:pt idx="4">
                  <c:v>5.3245544979603432</c:v>
                </c:pt>
                <c:pt idx="5">
                  <c:v>0.69314738720789082</c:v>
                </c:pt>
                <c:pt idx="6">
                  <c:v>5.2683896620278405</c:v>
                </c:pt>
              </c:numCache>
            </c:numRef>
          </c:val>
          <c:extLst xmlns:c16r2="http://schemas.microsoft.com/office/drawing/2015/06/chart">
            <c:ext xmlns:c16="http://schemas.microsoft.com/office/drawing/2014/chart" uri="{C3380CC4-5D6E-409C-BE32-E72D297353CC}">
              <c16:uniqueId val="{00000001-2453-4B3A-B360-E2B437798200}"/>
            </c:ext>
          </c:extLst>
        </c:ser>
        <c:ser>
          <c:idx val="1"/>
          <c:order val="2"/>
          <c:tx>
            <c:strRef>
              <c:f>汇率季度!$A$4</c:f>
              <c:strCache>
                <c:ptCount val="1"/>
                <c:pt idx="0">
                  <c:v>2024年Q4</c:v>
                </c:pt>
              </c:strCache>
            </c:strRef>
          </c:tx>
          <c:invertIfNegative val="0"/>
          <c:cat>
            <c:strRef>
              <c:f>汇率季度!$B$1:$H$1</c:f>
              <c:strCache>
                <c:ptCount val="7"/>
                <c:pt idx="0">
                  <c:v>印尼</c:v>
                </c:pt>
                <c:pt idx="1">
                  <c:v>泰国</c:v>
                </c:pt>
                <c:pt idx="2">
                  <c:v>马来西亚</c:v>
                </c:pt>
                <c:pt idx="3">
                  <c:v>新加坡</c:v>
                </c:pt>
                <c:pt idx="4">
                  <c:v>菲律宾</c:v>
                </c:pt>
                <c:pt idx="5">
                  <c:v>越南</c:v>
                </c:pt>
                <c:pt idx="6">
                  <c:v>韩国</c:v>
                </c:pt>
              </c:strCache>
            </c:strRef>
          </c:cat>
          <c:val>
            <c:numRef>
              <c:f>汇率季度!$B$4:$H$4</c:f>
              <c:numCache>
                <c:formatCode>0.00_ </c:formatCode>
                <c:ptCount val="7"/>
                <c:pt idx="0">
                  <c:v>-6.2697282911431556</c:v>
                </c:pt>
                <c:pt idx="1">
                  <c:v>-5.0228176063594958</c:v>
                </c:pt>
                <c:pt idx="2">
                  <c:v>-8.109619686800885</c:v>
                </c:pt>
                <c:pt idx="3">
                  <c:v>-5.8590016908035132</c:v>
                </c:pt>
                <c:pt idx="4">
                  <c:v>-3.3796048196103414</c:v>
                </c:pt>
                <c:pt idx="5">
                  <c:v>-0.99445243476473677</c:v>
                </c:pt>
                <c:pt idx="6">
                  <c:v>-11.185059422750417</c:v>
                </c:pt>
              </c:numCache>
            </c:numRef>
          </c:val>
          <c:extLst xmlns:c16r2="http://schemas.microsoft.com/office/drawing/2015/06/chart">
            <c:ext xmlns:c16="http://schemas.microsoft.com/office/drawing/2014/chart" uri="{C3380CC4-5D6E-409C-BE32-E72D297353CC}">
              <c16:uniqueId val="{00000002-2453-4B3A-B360-E2B437798200}"/>
            </c:ext>
          </c:extLst>
        </c:ser>
        <c:ser>
          <c:idx val="3"/>
          <c:order val="3"/>
          <c:tx>
            <c:strRef>
              <c:f>汇率季度!$A$5</c:f>
              <c:strCache>
                <c:ptCount val="1"/>
                <c:pt idx="0">
                  <c:v>2025Q1</c:v>
                </c:pt>
              </c:strCache>
            </c:strRef>
          </c:tx>
          <c:invertIfNegative val="0"/>
          <c:cat>
            <c:strRef>
              <c:f>汇率季度!$B$1:$H$1</c:f>
              <c:strCache>
                <c:ptCount val="7"/>
                <c:pt idx="0">
                  <c:v>印尼</c:v>
                </c:pt>
                <c:pt idx="1">
                  <c:v>泰国</c:v>
                </c:pt>
                <c:pt idx="2">
                  <c:v>马来西亚</c:v>
                </c:pt>
                <c:pt idx="3">
                  <c:v>新加坡</c:v>
                </c:pt>
                <c:pt idx="4">
                  <c:v>菲律宾</c:v>
                </c:pt>
                <c:pt idx="5">
                  <c:v>越南</c:v>
                </c:pt>
                <c:pt idx="6">
                  <c:v>韩国</c:v>
                </c:pt>
              </c:strCache>
            </c:strRef>
          </c:cat>
          <c:val>
            <c:numRef>
              <c:f>汇率季度!$B$5:$H$5</c:f>
              <c:numCache>
                <c:formatCode>0.00_ </c:formatCode>
                <c:ptCount val="7"/>
                <c:pt idx="0">
                  <c:v>-2.4689122298684105</c:v>
                </c:pt>
                <c:pt idx="1">
                  <c:v>0.80167408411681751</c:v>
                </c:pt>
                <c:pt idx="2">
                  <c:v>0.85740072202164597</c:v>
                </c:pt>
                <c:pt idx="3">
                  <c:v>1.5983269848383046</c:v>
                </c:pt>
                <c:pt idx="4">
                  <c:v>0.30865803117792828</c:v>
                </c:pt>
                <c:pt idx="5">
                  <c:v>-2.0566690815423061</c:v>
                </c:pt>
                <c:pt idx="6">
                  <c:v>0.49136695557222959</c:v>
                </c:pt>
              </c:numCache>
            </c:numRef>
          </c:val>
          <c:extLst xmlns:c16r2="http://schemas.microsoft.com/office/drawing/2015/06/chart">
            <c:ext xmlns:c16="http://schemas.microsoft.com/office/drawing/2014/chart" uri="{C3380CC4-5D6E-409C-BE32-E72D297353CC}">
              <c16:uniqueId val="{00000003-2453-4B3A-B360-E2B437798200}"/>
            </c:ext>
          </c:extLst>
        </c:ser>
        <c:dLbls>
          <c:showLegendKey val="0"/>
          <c:showVal val="0"/>
          <c:showCatName val="0"/>
          <c:showSerName val="0"/>
          <c:showPercent val="0"/>
          <c:showBubbleSize val="0"/>
        </c:dLbls>
        <c:gapWidth val="219"/>
        <c:axId val="375432320"/>
        <c:axId val="375433856"/>
      </c:barChart>
      <c:catAx>
        <c:axId val="375432320"/>
        <c:scaling>
          <c:orientation val="minMax"/>
        </c:scaling>
        <c:delete val="0"/>
        <c:axPos val="b"/>
        <c:numFmt formatCode="General" sourceLinked="1"/>
        <c:majorTickMark val="out"/>
        <c:minorTickMark val="none"/>
        <c:tickLblPos val="low"/>
        <c:spPr>
          <a:noFill/>
          <a:ln w="15875" cap="flat" cmpd="sng" algn="ctr">
            <a:solidFill>
              <a:sysClr val="windowText" lastClr="000000"/>
            </a:solidFill>
            <a:prstDash val="solid"/>
            <a:round/>
          </a:ln>
          <a:effectLst/>
        </c:spPr>
        <c:txPr>
          <a:bodyPr rot="-60000000" spcFirstLastPara="1" vertOverflow="ellipsis" vert="horz" wrap="square" anchor="ctr" anchorCtr="1"/>
          <a:lstStyle/>
          <a:p>
            <a:pPr>
              <a:defRPr lang="zh-CN" sz="900" b="0" i="0" u="none" strike="noStrike" kern="1200" baseline="0">
                <a:solidFill>
                  <a:sysClr val="windowText" lastClr="000000"/>
                </a:solidFill>
                <a:latin typeface="楷体" panose="02010609060101010101" pitchFamily="49" charset="-122"/>
                <a:ea typeface="楷体" panose="02010609060101010101" pitchFamily="49" charset="-122"/>
                <a:cs typeface="+mn-cs"/>
              </a:defRPr>
            </a:pPr>
            <a:endParaRPr lang="zh-CN"/>
          </a:p>
        </c:txPr>
        <c:crossAx val="375433856"/>
        <c:crosses val="autoZero"/>
        <c:auto val="1"/>
        <c:lblAlgn val="ctr"/>
        <c:lblOffset val="100"/>
        <c:noMultiLvlLbl val="0"/>
      </c:catAx>
      <c:valAx>
        <c:axId val="375433856"/>
        <c:scaling>
          <c:orientation val="minMax"/>
          <c:min val="-8"/>
        </c:scaling>
        <c:delete val="0"/>
        <c:axPos val="l"/>
        <c:numFmt formatCode="0_ " sourceLinked="0"/>
        <c:majorTickMark val="out"/>
        <c:minorTickMark val="none"/>
        <c:tickLblPos val="nextTo"/>
        <c:spPr>
          <a:noFill/>
          <a:ln w="15875" cap="flat" cmpd="sng" algn="ctr">
            <a:solidFill>
              <a:schemeClr val="tx1"/>
            </a:solidFill>
            <a:prstDash val="solid"/>
            <a:round/>
          </a:ln>
          <a:effectLst/>
        </c:spPr>
        <c:txPr>
          <a:bodyPr rot="-60000000" spcFirstLastPara="1" vertOverflow="ellipsis" vert="horz" wrap="square" anchor="ctr" anchorCtr="1"/>
          <a:lstStyle/>
          <a:p>
            <a:pPr>
              <a:defRPr lang="zh-CN" sz="900" b="0" i="0" u="none" strike="noStrike" kern="1200" baseline="0">
                <a:solidFill>
                  <a:sysClr val="windowText" lastClr="000000"/>
                </a:solidFill>
                <a:latin typeface="Cambria" panose="02040503050406030204" pitchFamily="18" charset="0"/>
                <a:ea typeface="+mn-ea"/>
                <a:cs typeface="+mn-cs"/>
              </a:defRPr>
            </a:pPr>
            <a:endParaRPr lang="zh-CN"/>
          </a:p>
        </c:txPr>
        <c:crossAx val="375432320"/>
        <c:crosses val="autoZero"/>
        <c:crossBetween val="between"/>
      </c:valAx>
      <c:spPr>
        <a:solidFill>
          <a:srgbClr val="FFFFFF"/>
        </a:solidFill>
        <a:ln w="25400">
          <a:noFill/>
        </a:ln>
      </c:spPr>
    </c:plotArea>
    <c:legend>
      <c:legendPos val="b"/>
      <c:layout>
        <c:manualLayout>
          <c:xMode val="edge"/>
          <c:yMode val="edge"/>
          <c:x val="0.35982254935524399"/>
          <c:y val="1.89247965625918E-2"/>
          <c:w val="0.45913043478260868"/>
          <c:h val="5.7678916827852998E-2"/>
        </c:manualLayout>
      </c:layout>
      <c:overlay val="0"/>
      <c:spPr>
        <a:noFill/>
        <a:ln w="25400">
          <a:noFill/>
        </a:ln>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楷体" panose="02010609060101010101" pitchFamily="49" charset="-122"/>
              <a:ea typeface="楷体" panose="02010609060101010101" pitchFamily="49" charset="-122"/>
              <a:cs typeface="+mn-cs"/>
            </a:defRPr>
          </a:pPr>
          <a:endParaRPr lang="zh-CN"/>
        </a:p>
      </c:txPr>
    </c:legend>
    <c:plotVisOnly val="1"/>
    <c:dispBlanksAs val="gap"/>
    <c:showDLblsOverMax val="0"/>
  </c:chart>
  <c:spPr>
    <a:solidFill>
      <a:srgbClr val="FFFFFF"/>
    </a:solidFill>
    <a:ln w="9525" cap="flat" cmpd="sng" algn="ctr">
      <a:solidFill>
        <a:schemeClr val="tx1">
          <a:lumMod val="15000"/>
          <a:lumOff val="85000"/>
        </a:schemeClr>
      </a:solidFill>
      <a:prstDash val="solid"/>
      <a:round/>
    </a:ln>
    <a:effectLst/>
  </c:spPr>
  <c:txPr>
    <a:bodyPr/>
    <a:lstStyle/>
    <a:p>
      <a:pPr>
        <a:defRPr lang="zh-CN"/>
      </a:pPr>
      <a:endParaRPr lang="zh-CN"/>
    </a:p>
  </c:txPr>
  <c:externalData r:id="rId2">
    <c:autoUpdate val="0"/>
  </c:externalData>
  <c:userShapes r:id="rId3"/>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536019536019497E-2"/>
          <c:y val="2.92249047013977E-2"/>
          <c:w val="0.80891893223717604"/>
          <c:h val="0.60597204574332897"/>
        </c:manualLayout>
      </c:layout>
      <c:barChart>
        <c:barDir val="col"/>
        <c:grouping val="clustered"/>
        <c:varyColors val="0"/>
        <c:ser>
          <c:idx val="0"/>
          <c:order val="0"/>
          <c:tx>
            <c:strRef>
              <c:f>股市季度!$A$2</c:f>
              <c:strCache>
                <c:ptCount val="1"/>
                <c:pt idx="0">
                  <c:v>2024</c:v>
                </c:pt>
              </c:strCache>
            </c:strRef>
          </c:tx>
          <c:spPr>
            <a:solidFill>
              <a:srgbClr val="106D9C"/>
            </a:solidFill>
            <a:ln w="25400">
              <a:noFill/>
            </a:ln>
          </c:spPr>
          <c:invertIfNegative val="0"/>
          <c:cat>
            <c:strRef>
              <c:f>股市季度!$B$1:$H$1</c:f>
              <c:strCache>
                <c:ptCount val="7"/>
                <c:pt idx="0">
                  <c:v>印尼雅加达综合指数</c:v>
                </c:pt>
                <c:pt idx="1">
                  <c:v>菲律宾马尼拉综合指数</c:v>
                </c:pt>
                <c:pt idx="2">
                  <c:v>马来西亚吉隆坡指数</c:v>
                </c:pt>
                <c:pt idx="3">
                  <c:v>新加坡海峡指数</c:v>
                </c:pt>
                <c:pt idx="4">
                  <c:v>泰国SET指数</c:v>
                </c:pt>
                <c:pt idx="5">
                  <c:v>越南胡志明指数</c:v>
                </c:pt>
                <c:pt idx="6">
                  <c:v>韩国综合指数</c:v>
                </c:pt>
              </c:strCache>
            </c:strRef>
          </c:cat>
          <c:val>
            <c:numRef>
              <c:f>股市季度!$B$2:$H$2</c:f>
              <c:numCache>
                <c:formatCode>0.00_ </c:formatCode>
                <c:ptCount val="7"/>
                <c:pt idx="0">
                  <c:v>-3.3273035020539097</c:v>
                </c:pt>
                <c:pt idx="1">
                  <c:v>-0.38525855808020704</c:v>
                </c:pt>
                <c:pt idx="2">
                  <c:v>12.702498107494334</c:v>
                </c:pt>
                <c:pt idx="3">
                  <c:v>17.516679824765095</c:v>
                </c:pt>
                <c:pt idx="4">
                  <c:v>-2.3141107033724531</c:v>
                </c:pt>
                <c:pt idx="5">
                  <c:v>12.397059343300459</c:v>
                </c:pt>
                <c:pt idx="6">
                  <c:v>-10.125065079537501</c:v>
                </c:pt>
              </c:numCache>
            </c:numRef>
          </c:val>
          <c:extLst xmlns:c16r2="http://schemas.microsoft.com/office/drawing/2015/06/chart">
            <c:ext xmlns:c16="http://schemas.microsoft.com/office/drawing/2014/chart" uri="{C3380CC4-5D6E-409C-BE32-E72D297353CC}">
              <c16:uniqueId val="{00000000-75AC-4EF9-80CA-F7C2A413AD83}"/>
            </c:ext>
          </c:extLst>
        </c:ser>
        <c:ser>
          <c:idx val="4"/>
          <c:order val="1"/>
          <c:tx>
            <c:strRef>
              <c:f>股市季度!$A$3</c:f>
              <c:strCache>
                <c:ptCount val="1"/>
                <c:pt idx="0">
                  <c:v>2024Q3</c:v>
                </c:pt>
              </c:strCache>
            </c:strRef>
          </c:tx>
          <c:invertIfNegative val="0"/>
          <c:cat>
            <c:strRef>
              <c:f>股市季度!$B$1:$H$1</c:f>
              <c:strCache>
                <c:ptCount val="7"/>
                <c:pt idx="0">
                  <c:v>印尼雅加达综合指数</c:v>
                </c:pt>
                <c:pt idx="1">
                  <c:v>菲律宾马尼拉综合指数</c:v>
                </c:pt>
                <c:pt idx="2">
                  <c:v>马来西亚吉隆坡指数</c:v>
                </c:pt>
                <c:pt idx="3">
                  <c:v>新加坡海峡指数</c:v>
                </c:pt>
                <c:pt idx="4">
                  <c:v>泰国SET指数</c:v>
                </c:pt>
                <c:pt idx="5">
                  <c:v>越南胡志明指数</c:v>
                </c:pt>
                <c:pt idx="6">
                  <c:v>韩国综合指数</c:v>
                </c:pt>
              </c:strCache>
            </c:strRef>
          </c:cat>
          <c:val>
            <c:numRef>
              <c:f>股市季度!$B$3:$H$3</c:f>
              <c:numCache>
                <c:formatCode>0.00_ </c:formatCode>
                <c:ptCount val="7"/>
                <c:pt idx="0">
                  <c:v>6.5738930856137028</c:v>
                </c:pt>
                <c:pt idx="1">
                  <c:v>13.42408112403324</c:v>
                </c:pt>
                <c:pt idx="2">
                  <c:v>3.6991616826720604</c:v>
                </c:pt>
                <c:pt idx="3">
                  <c:v>7.5759121459433443</c:v>
                </c:pt>
                <c:pt idx="4">
                  <c:v>11.366221866929028</c:v>
                </c:pt>
                <c:pt idx="5">
                  <c:v>3.42241351620468</c:v>
                </c:pt>
                <c:pt idx="6">
                  <c:v>-7.3110493169682167</c:v>
                </c:pt>
              </c:numCache>
            </c:numRef>
          </c:val>
          <c:extLst xmlns:c16r2="http://schemas.microsoft.com/office/drawing/2015/06/chart">
            <c:ext xmlns:c16="http://schemas.microsoft.com/office/drawing/2014/chart" uri="{C3380CC4-5D6E-409C-BE32-E72D297353CC}">
              <c16:uniqueId val="{00000001-75AC-4EF9-80CA-F7C2A413AD83}"/>
            </c:ext>
          </c:extLst>
        </c:ser>
        <c:ser>
          <c:idx val="1"/>
          <c:order val="2"/>
          <c:tx>
            <c:strRef>
              <c:f>股市季度!$A$4</c:f>
              <c:strCache>
                <c:ptCount val="1"/>
                <c:pt idx="0">
                  <c:v>2024Q4</c:v>
                </c:pt>
              </c:strCache>
            </c:strRef>
          </c:tx>
          <c:invertIfNegative val="0"/>
          <c:cat>
            <c:strRef>
              <c:f>股市季度!$B$1:$H$1</c:f>
              <c:strCache>
                <c:ptCount val="7"/>
                <c:pt idx="0">
                  <c:v>印尼雅加达综合指数</c:v>
                </c:pt>
                <c:pt idx="1">
                  <c:v>菲律宾马尼拉综合指数</c:v>
                </c:pt>
                <c:pt idx="2">
                  <c:v>马来西亚吉隆坡指数</c:v>
                </c:pt>
                <c:pt idx="3">
                  <c:v>新加坡海峡指数</c:v>
                </c:pt>
                <c:pt idx="4">
                  <c:v>泰国SET指数</c:v>
                </c:pt>
                <c:pt idx="5">
                  <c:v>越南胡志明指数</c:v>
                </c:pt>
                <c:pt idx="6">
                  <c:v>韩国综合指数</c:v>
                </c:pt>
              </c:strCache>
            </c:strRef>
          </c:cat>
          <c:val>
            <c:numRef>
              <c:f>股市季度!$B$4:$H$4</c:f>
              <c:numCache>
                <c:formatCode>0.00_ </c:formatCode>
                <c:ptCount val="7"/>
                <c:pt idx="0">
                  <c:v>-7.3568858327904003</c:v>
                </c:pt>
                <c:pt idx="1">
                  <c:v>-11.537846597437506</c:v>
                </c:pt>
                <c:pt idx="2">
                  <c:v>-1.1295648971558652</c:v>
                </c:pt>
                <c:pt idx="3">
                  <c:v>5.9975537286090876</c:v>
                </c:pt>
                <c:pt idx="4">
                  <c:v>-4.4003386451463165</c:v>
                </c:pt>
                <c:pt idx="5">
                  <c:v>-1.5616777588608624</c:v>
                </c:pt>
                <c:pt idx="6">
                  <c:v>-7.4724189922376079</c:v>
                </c:pt>
              </c:numCache>
            </c:numRef>
          </c:val>
          <c:extLst xmlns:c16r2="http://schemas.microsoft.com/office/drawing/2015/06/chart">
            <c:ext xmlns:c16="http://schemas.microsoft.com/office/drawing/2014/chart" uri="{C3380CC4-5D6E-409C-BE32-E72D297353CC}">
              <c16:uniqueId val="{00000002-75AC-4EF9-80CA-F7C2A413AD83}"/>
            </c:ext>
          </c:extLst>
        </c:ser>
        <c:ser>
          <c:idx val="2"/>
          <c:order val="3"/>
          <c:tx>
            <c:strRef>
              <c:f>股市季度!$A$5</c:f>
              <c:strCache>
                <c:ptCount val="1"/>
                <c:pt idx="0">
                  <c:v>2025Q1</c:v>
                </c:pt>
              </c:strCache>
            </c:strRef>
          </c:tx>
          <c:invertIfNegative val="0"/>
          <c:cat>
            <c:strRef>
              <c:f>股市季度!$B$1:$H$1</c:f>
              <c:strCache>
                <c:ptCount val="7"/>
                <c:pt idx="0">
                  <c:v>印尼雅加达综合指数</c:v>
                </c:pt>
                <c:pt idx="1">
                  <c:v>菲律宾马尼拉综合指数</c:v>
                </c:pt>
                <c:pt idx="2">
                  <c:v>马来西亚吉隆坡指数</c:v>
                </c:pt>
                <c:pt idx="3">
                  <c:v>新加坡海峡指数</c:v>
                </c:pt>
                <c:pt idx="4">
                  <c:v>泰国SET指数</c:v>
                </c:pt>
                <c:pt idx="5">
                  <c:v>越南胡志明指数</c:v>
                </c:pt>
                <c:pt idx="6">
                  <c:v>韩国综合指数</c:v>
                </c:pt>
              </c:strCache>
            </c:strRef>
          </c:cat>
          <c:val>
            <c:numRef>
              <c:f>股市季度!$B$5:$H$5</c:f>
              <c:numCache>
                <c:formatCode>0.00_ </c:formatCode>
                <c:ptCount val="7"/>
                <c:pt idx="0">
                  <c:v>-8.0409214241423967</c:v>
                </c:pt>
                <c:pt idx="1">
                  <c:v>-5.9625137276585667</c:v>
                </c:pt>
                <c:pt idx="2">
                  <c:v>-6.2252698939963871</c:v>
                </c:pt>
                <c:pt idx="3">
                  <c:v>4.8960279050406683</c:v>
                </c:pt>
                <c:pt idx="4">
                  <c:v>-17.291691960491647</c:v>
                </c:pt>
                <c:pt idx="5">
                  <c:v>2.7389506454300969</c:v>
                </c:pt>
                <c:pt idx="6">
                  <c:v>3.4019729192453445</c:v>
                </c:pt>
              </c:numCache>
            </c:numRef>
          </c:val>
          <c:extLst xmlns:c16r2="http://schemas.microsoft.com/office/drawing/2015/06/chart">
            <c:ext xmlns:c16="http://schemas.microsoft.com/office/drawing/2014/chart" uri="{C3380CC4-5D6E-409C-BE32-E72D297353CC}">
              <c16:uniqueId val="{00000003-75AC-4EF9-80CA-F7C2A413AD83}"/>
            </c:ext>
          </c:extLst>
        </c:ser>
        <c:dLbls>
          <c:showLegendKey val="0"/>
          <c:showVal val="0"/>
          <c:showCatName val="0"/>
          <c:showSerName val="0"/>
          <c:showPercent val="0"/>
          <c:showBubbleSize val="0"/>
        </c:dLbls>
        <c:gapWidth val="219"/>
        <c:axId val="378625024"/>
        <c:axId val="378630912"/>
      </c:barChart>
      <c:catAx>
        <c:axId val="378625024"/>
        <c:scaling>
          <c:orientation val="minMax"/>
        </c:scaling>
        <c:delete val="0"/>
        <c:axPos val="b"/>
        <c:numFmt formatCode="General" sourceLinked="1"/>
        <c:majorTickMark val="out"/>
        <c:minorTickMark val="none"/>
        <c:tickLblPos val="low"/>
        <c:spPr>
          <a:noFill/>
          <a:ln w="15875" cap="flat" cmpd="sng" algn="ctr">
            <a:solidFill>
              <a:sysClr val="windowText" lastClr="000000"/>
            </a:solidFill>
            <a:prstDash val="solid"/>
            <a:round/>
          </a:ln>
          <a:effectLst/>
        </c:spPr>
        <c:txPr>
          <a:bodyPr rot="0" spcFirstLastPara="1" vertOverflow="ellipsis" vert="eaVert" wrap="square" anchor="ctr" anchorCtr="1"/>
          <a:lstStyle/>
          <a:p>
            <a:pPr>
              <a:defRPr lang="zh-CN" sz="900" b="0" i="0" u="none" strike="noStrike" kern="1200" baseline="0">
                <a:solidFill>
                  <a:sysClr val="windowText" lastClr="000000"/>
                </a:solidFill>
                <a:latin typeface="楷体" panose="02010609060101010101" pitchFamily="49" charset="-122"/>
                <a:ea typeface="楷体" panose="02010609060101010101" pitchFamily="49" charset="-122"/>
                <a:cs typeface="+mn-cs"/>
              </a:defRPr>
            </a:pPr>
            <a:endParaRPr lang="zh-CN"/>
          </a:p>
        </c:txPr>
        <c:crossAx val="378630912"/>
        <c:crosses val="autoZero"/>
        <c:auto val="1"/>
        <c:lblAlgn val="ctr"/>
        <c:lblOffset val="100"/>
        <c:noMultiLvlLbl val="0"/>
      </c:catAx>
      <c:valAx>
        <c:axId val="378630912"/>
        <c:scaling>
          <c:orientation val="minMax"/>
        </c:scaling>
        <c:delete val="0"/>
        <c:axPos val="l"/>
        <c:numFmt formatCode="0_ " sourceLinked="0"/>
        <c:majorTickMark val="out"/>
        <c:minorTickMark val="none"/>
        <c:tickLblPos val="nextTo"/>
        <c:spPr>
          <a:noFill/>
          <a:ln w="15875" cap="flat" cmpd="sng" algn="ctr">
            <a:solidFill>
              <a:schemeClr val="tx1"/>
            </a:solidFill>
            <a:prstDash val="solid"/>
            <a:round/>
          </a:ln>
          <a:effectLst/>
        </c:spPr>
        <c:txPr>
          <a:bodyPr rot="-60000000" spcFirstLastPara="1" vertOverflow="ellipsis" vert="horz" wrap="square" anchor="ctr" anchorCtr="1"/>
          <a:lstStyle/>
          <a:p>
            <a:pPr>
              <a:defRPr lang="zh-CN" sz="900" b="0" i="0" u="none" strike="noStrike" kern="1200" baseline="0">
                <a:solidFill>
                  <a:sysClr val="windowText" lastClr="000000"/>
                </a:solidFill>
                <a:latin typeface="Cambria" panose="02040503050406030204" pitchFamily="18" charset="0"/>
                <a:ea typeface="+mn-ea"/>
                <a:cs typeface="+mn-cs"/>
              </a:defRPr>
            </a:pPr>
            <a:endParaRPr lang="zh-CN"/>
          </a:p>
        </c:txPr>
        <c:crossAx val="378625024"/>
        <c:crosses val="autoZero"/>
        <c:crossBetween val="between"/>
      </c:valAx>
      <c:spPr>
        <a:solidFill>
          <a:srgbClr val="FFFFFF"/>
        </a:solidFill>
        <a:ln w="25400">
          <a:noFill/>
        </a:ln>
      </c:spPr>
    </c:plotArea>
    <c:legend>
      <c:legendPos val="l"/>
      <c:layout>
        <c:manualLayout>
          <c:xMode val="edge"/>
          <c:yMode val="edge"/>
          <c:x val="0.5667997455653031"/>
          <c:y val="9.6866068361531055E-3"/>
          <c:w val="0.39475655430711609"/>
          <c:h val="8.2830278558166562E-2"/>
        </c:manualLayout>
      </c:layout>
      <c:overlay val="1"/>
      <c:spPr>
        <a:noFill/>
        <a:ln w="25400">
          <a:noFill/>
        </a:ln>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楷体" panose="02010609060101010101" pitchFamily="49" charset="-122"/>
              <a:ea typeface="楷体" panose="02010609060101010101" pitchFamily="49" charset="-122"/>
              <a:cs typeface="+mn-cs"/>
            </a:defRPr>
          </a:pPr>
          <a:endParaRPr lang="zh-CN"/>
        </a:p>
      </c:txPr>
    </c:legend>
    <c:plotVisOnly val="1"/>
    <c:dispBlanksAs val="gap"/>
    <c:showDLblsOverMax val="0"/>
  </c:chart>
  <c:spPr>
    <a:solidFill>
      <a:srgbClr val="FFFFFF"/>
    </a:solidFill>
    <a:ln w="9525" cap="flat" cmpd="sng" algn="ctr">
      <a:solidFill>
        <a:schemeClr val="tx1">
          <a:lumMod val="15000"/>
          <a:lumOff val="85000"/>
        </a:schemeClr>
      </a:solidFill>
      <a:prstDash val="solid"/>
      <a:round/>
    </a:ln>
    <a:effectLst/>
  </c:spPr>
  <c:txPr>
    <a:bodyPr/>
    <a:lstStyle/>
    <a:p>
      <a:pPr>
        <a:defRPr lang="zh-CN"/>
      </a:pPr>
      <a:endParaRPr lang="zh-CN"/>
    </a:p>
  </c:txPr>
  <c:externalData r:id="rId2">
    <c:autoUpdate val="0"/>
  </c:externalData>
  <c:userShapes r:id="rId3"/>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通货膨胀!$B$2</c:f>
              <c:strCache>
                <c:ptCount val="1"/>
                <c:pt idx="0">
                  <c:v>2023</c:v>
                </c:pt>
              </c:strCache>
            </c:strRef>
          </c:tx>
          <c:spPr>
            <a:pattFill prst="pct30">
              <a:fgClr>
                <a:srgbClr val="4F81BD"/>
              </a:fgClr>
              <a:bgClr>
                <a:sysClr val="window" lastClr="FFFFFF"/>
              </a:bgClr>
            </a:pattFill>
            <a:ln>
              <a:solidFill>
                <a:sysClr val="windowText" lastClr="000000"/>
              </a:solidFill>
            </a:ln>
          </c:spPr>
          <c:invertIfNegative val="0"/>
          <c:cat>
            <c:strRef>
              <c:f>(通货膨胀!$A$6,通货膨胀!$A$8,通货膨胀!$A$11:$A$12,通货膨胀!$A$15:$A$17,通货膨胀!$A$20)</c:f>
              <c:strCache>
                <c:ptCount val="8"/>
                <c:pt idx="0">
                  <c:v>菲律宾</c:v>
                </c:pt>
                <c:pt idx="1">
                  <c:v>新加坡</c:v>
                </c:pt>
                <c:pt idx="2">
                  <c:v>印度尼西亚</c:v>
                </c:pt>
                <c:pt idx="3">
                  <c:v>韩国</c:v>
                </c:pt>
                <c:pt idx="4">
                  <c:v>世界</c:v>
                </c:pt>
                <c:pt idx="5">
                  <c:v>泰国</c:v>
                </c:pt>
                <c:pt idx="6">
                  <c:v>马来西亚</c:v>
                </c:pt>
                <c:pt idx="7">
                  <c:v>越南</c:v>
                </c:pt>
              </c:strCache>
              <c:extLst xmlns:c16r2="http://schemas.microsoft.com/office/drawing/2015/06/chart"/>
            </c:strRef>
          </c:cat>
          <c:val>
            <c:numRef>
              <c:f>(通货膨胀!$B$6,通货膨胀!$B$8,通货膨胀!$B$11:$B$12,通货膨胀!$B$15:$B$17,通货膨胀!$B$20)</c:f>
              <c:numCache>
                <c:formatCode>General</c:formatCode>
                <c:ptCount val="8"/>
                <c:pt idx="0">
                  <c:v>5.9779999999999998</c:v>
                </c:pt>
                <c:pt idx="1">
                  <c:v>4.8209999999999997</c:v>
                </c:pt>
                <c:pt idx="2">
                  <c:v>3.7130000000000001</c:v>
                </c:pt>
                <c:pt idx="3">
                  <c:v>3.597</c:v>
                </c:pt>
                <c:pt idx="4">
                  <c:v>6.66</c:v>
                </c:pt>
                <c:pt idx="5">
                  <c:v>1.228</c:v>
                </c:pt>
                <c:pt idx="6">
                  <c:v>2.4889999999999999</c:v>
                </c:pt>
                <c:pt idx="7">
                  <c:v>3.2530000000000001</c:v>
                </c:pt>
              </c:numCache>
              <c:extLst xmlns:c16r2="http://schemas.microsoft.com/office/drawing/2015/06/chart"/>
            </c:numRef>
          </c:val>
          <c:extLst xmlns:c16r2="http://schemas.microsoft.com/office/drawing/2015/06/chart">
            <c:ext xmlns:c16="http://schemas.microsoft.com/office/drawing/2014/chart" uri="{C3380CC4-5D6E-409C-BE32-E72D297353CC}">
              <c16:uniqueId val="{00000000-C114-4DF5-8E86-13585FA8FBBF}"/>
            </c:ext>
          </c:extLst>
        </c:ser>
        <c:ser>
          <c:idx val="1"/>
          <c:order val="1"/>
          <c:tx>
            <c:strRef>
              <c:f>通货膨胀!$C$2</c:f>
              <c:strCache>
                <c:ptCount val="1"/>
                <c:pt idx="0">
                  <c:v>2024</c:v>
                </c:pt>
              </c:strCache>
            </c:strRef>
          </c:tx>
          <c:spPr>
            <a:solidFill>
              <a:srgbClr val="4F81BD"/>
            </a:solidFill>
            <a:ln>
              <a:solidFill>
                <a:sysClr val="windowText" lastClr="000000"/>
              </a:solidFill>
            </a:ln>
          </c:spPr>
          <c:invertIfNegative val="0"/>
          <c:cat>
            <c:strRef>
              <c:f>(通货膨胀!$A$6,通货膨胀!$A$8,通货膨胀!$A$11:$A$12,通货膨胀!$A$15:$A$17,通货膨胀!$A$20)</c:f>
              <c:strCache>
                <c:ptCount val="8"/>
                <c:pt idx="0">
                  <c:v>菲律宾</c:v>
                </c:pt>
                <c:pt idx="1">
                  <c:v>新加坡</c:v>
                </c:pt>
                <c:pt idx="2">
                  <c:v>印度尼西亚</c:v>
                </c:pt>
                <c:pt idx="3">
                  <c:v>韩国</c:v>
                </c:pt>
                <c:pt idx="4">
                  <c:v>世界</c:v>
                </c:pt>
                <c:pt idx="5">
                  <c:v>泰国</c:v>
                </c:pt>
                <c:pt idx="6">
                  <c:v>马来西亚</c:v>
                </c:pt>
                <c:pt idx="7">
                  <c:v>越南</c:v>
                </c:pt>
              </c:strCache>
              <c:extLst xmlns:c16r2="http://schemas.microsoft.com/office/drawing/2015/06/chart"/>
            </c:strRef>
          </c:cat>
          <c:val>
            <c:numRef>
              <c:f>(通货膨胀!$C$6,通货膨胀!$C$8,通货膨胀!$C$11:$C$12,通货膨胀!$C$15:$C$17,通货膨胀!$C$20)</c:f>
              <c:numCache>
                <c:formatCode>General</c:formatCode>
                <c:ptCount val="8"/>
                <c:pt idx="0">
                  <c:v>3</c:v>
                </c:pt>
                <c:pt idx="1">
                  <c:v>2.8</c:v>
                </c:pt>
                <c:pt idx="2">
                  <c:v>2.484</c:v>
                </c:pt>
                <c:pt idx="3">
                  <c:v>2.1</c:v>
                </c:pt>
                <c:pt idx="4">
                  <c:v>5.7569999999999997</c:v>
                </c:pt>
                <c:pt idx="5">
                  <c:v>0.53500000000000003</c:v>
                </c:pt>
                <c:pt idx="6">
                  <c:v>1.9</c:v>
                </c:pt>
                <c:pt idx="7">
                  <c:v>3.69</c:v>
                </c:pt>
              </c:numCache>
              <c:extLst xmlns:c16r2="http://schemas.microsoft.com/office/drawing/2015/06/chart"/>
            </c:numRef>
          </c:val>
          <c:extLst xmlns:c16r2="http://schemas.microsoft.com/office/drawing/2015/06/chart">
            <c:ext xmlns:c16="http://schemas.microsoft.com/office/drawing/2014/chart" uri="{C3380CC4-5D6E-409C-BE32-E72D297353CC}">
              <c16:uniqueId val="{00000001-C114-4DF5-8E86-13585FA8FBBF}"/>
            </c:ext>
          </c:extLst>
        </c:ser>
        <c:dLbls>
          <c:showLegendKey val="0"/>
          <c:showVal val="0"/>
          <c:showCatName val="0"/>
          <c:showSerName val="0"/>
          <c:showPercent val="0"/>
          <c:showBubbleSize val="0"/>
        </c:dLbls>
        <c:gapWidth val="150"/>
        <c:axId val="378874112"/>
        <c:axId val="378875904"/>
      </c:barChart>
      <c:catAx>
        <c:axId val="378874112"/>
        <c:scaling>
          <c:orientation val="minMax"/>
        </c:scaling>
        <c:delete val="0"/>
        <c:axPos val="b"/>
        <c:numFmt formatCode="General" sourceLinked="1"/>
        <c:majorTickMark val="none"/>
        <c:minorTickMark val="none"/>
        <c:tickLblPos val="low"/>
        <c:txPr>
          <a:bodyPr rot="-54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378875904"/>
        <c:crosses val="autoZero"/>
        <c:auto val="1"/>
        <c:lblAlgn val="ctr"/>
        <c:lblOffset val="100"/>
        <c:noMultiLvlLbl val="0"/>
      </c:catAx>
      <c:valAx>
        <c:axId val="378875904"/>
        <c:scaling>
          <c:orientation val="minMax"/>
        </c:scaling>
        <c:delete val="0"/>
        <c:axPos val="l"/>
        <c:numFmt formatCode="#,##0_ " sourceLinked="0"/>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378874112"/>
        <c:crosses val="autoZero"/>
        <c:crossBetween val="between"/>
      </c:valAx>
      <c:spPr>
        <a:solidFill>
          <a:srgbClr val="FFFFFF"/>
        </a:solidFill>
      </c:spPr>
    </c:plotArea>
    <c:legend>
      <c:legendPos val="r"/>
      <c:layout>
        <c:manualLayout>
          <c:xMode val="edge"/>
          <c:yMode val="edge"/>
          <c:x val="0.64072040302142452"/>
          <c:y val="3.0032238120473415E-2"/>
          <c:w val="0.32044201167924102"/>
          <c:h val="0.1523797201266"/>
        </c:manualLayout>
      </c:layout>
      <c:overlay val="1"/>
      <c:spPr>
        <a:noFill/>
        <a:ln w="25400">
          <a:noFill/>
        </a:ln>
      </c:spPr>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gap"/>
    <c:showDLblsOverMax val="0"/>
  </c:chart>
  <c:spPr>
    <a:solidFill>
      <a:srgbClr val="FFFFFF"/>
    </a:solidFill>
  </c:spPr>
  <c:txPr>
    <a:bodyPr/>
    <a:lstStyle/>
    <a:p>
      <a:pPr>
        <a:defRPr lang="zh-CN" sz="1000"/>
      </a:pPr>
      <a:endParaRPr lang="zh-CN"/>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0859761706019E-2"/>
          <c:y val="7.08581724314164E-2"/>
          <c:w val="0.88592619372949799"/>
          <c:h val="0.67459127015063702"/>
        </c:manualLayout>
      </c:layout>
      <c:barChart>
        <c:barDir val="col"/>
        <c:grouping val="clustered"/>
        <c:varyColors val="0"/>
        <c:ser>
          <c:idx val="0"/>
          <c:order val="0"/>
          <c:tx>
            <c:strRef>
              <c:f>CA!$C$2</c:f>
              <c:strCache>
                <c:ptCount val="1"/>
                <c:pt idx="0">
                  <c:v>2023</c:v>
                </c:pt>
              </c:strCache>
            </c:strRef>
          </c:tx>
          <c:spPr>
            <a:pattFill prst="pct30">
              <a:fgClr>
                <a:srgbClr val="4F81BD"/>
              </a:fgClr>
              <a:bgClr>
                <a:sysClr val="window" lastClr="FFFFFF"/>
              </a:bgClr>
            </a:pattFill>
            <a:ln>
              <a:solidFill>
                <a:sysClr val="windowText" lastClr="000000"/>
              </a:solidFill>
            </a:ln>
          </c:spPr>
          <c:invertIfNegative val="0"/>
          <c:cat>
            <c:strRef>
              <c:f>(CA!$B$4:$B$5,CA!$B$7,CA!$B$14:$B$15,CA!$B$17:$B$18)</c:f>
              <c:strCache>
                <c:ptCount val="7"/>
                <c:pt idx="0">
                  <c:v>越南</c:v>
                </c:pt>
                <c:pt idx="1">
                  <c:v>新加坡</c:v>
                </c:pt>
                <c:pt idx="2">
                  <c:v>印度尼西亚</c:v>
                </c:pt>
                <c:pt idx="3">
                  <c:v>泰国</c:v>
                </c:pt>
                <c:pt idx="4">
                  <c:v>菲律宾</c:v>
                </c:pt>
                <c:pt idx="5">
                  <c:v>马来西亚</c:v>
                </c:pt>
                <c:pt idx="6">
                  <c:v>韩国</c:v>
                </c:pt>
              </c:strCache>
              <c:extLst xmlns:c16r2="http://schemas.microsoft.com/office/drawing/2015/06/chart"/>
            </c:strRef>
          </c:cat>
          <c:val>
            <c:numRef>
              <c:f>(CA!$C$4:$C$5,CA!$C$7,CA!$C$14:$C$15,CA!$C$17:$C$18)</c:f>
              <c:numCache>
                <c:formatCode>General</c:formatCode>
                <c:ptCount val="7"/>
                <c:pt idx="0">
                  <c:v>5.7850000000000001</c:v>
                </c:pt>
                <c:pt idx="1">
                  <c:v>19.768999999999998</c:v>
                </c:pt>
                <c:pt idx="2">
                  <c:v>-0.156</c:v>
                </c:pt>
                <c:pt idx="3">
                  <c:v>1.44</c:v>
                </c:pt>
                <c:pt idx="4">
                  <c:v>-2.5640000000000001</c:v>
                </c:pt>
                <c:pt idx="5">
                  <c:v>1.5469999999999999</c:v>
                </c:pt>
                <c:pt idx="6">
                  <c:v>1.93</c:v>
                </c:pt>
              </c:numCache>
              <c:extLst xmlns:c16r2="http://schemas.microsoft.com/office/drawing/2015/06/chart"/>
            </c:numRef>
          </c:val>
          <c:extLst xmlns:c16r2="http://schemas.microsoft.com/office/drawing/2015/06/chart">
            <c:ext xmlns:c16="http://schemas.microsoft.com/office/drawing/2014/chart" uri="{C3380CC4-5D6E-409C-BE32-E72D297353CC}">
              <c16:uniqueId val="{00000000-7156-4760-A85D-7CBFBC19B8DA}"/>
            </c:ext>
          </c:extLst>
        </c:ser>
        <c:ser>
          <c:idx val="1"/>
          <c:order val="1"/>
          <c:tx>
            <c:strRef>
              <c:f>CA!$D$2</c:f>
              <c:strCache>
                <c:ptCount val="1"/>
                <c:pt idx="0">
                  <c:v>2024</c:v>
                </c:pt>
              </c:strCache>
            </c:strRef>
          </c:tx>
          <c:spPr>
            <a:solidFill>
              <a:srgbClr val="4F81BD"/>
            </a:solidFill>
            <a:ln>
              <a:solidFill>
                <a:sysClr val="windowText" lastClr="000000"/>
              </a:solidFill>
            </a:ln>
          </c:spPr>
          <c:invertIfNegative val="0"/>
          <c:cat>
            <c:strRef>
              <c:f>(CA!$B$4:$B$5,CA!$B$7,CA!$B$14:$B$15,CA!$B$17:$B$18)</c:f>
              <c:strCache>
                <c:ptCount val="7"/>
                <c:pt idx="0">
                  <c:v>越南</c:v>
                </c:pt>
                <c:pt idx="1">
                  <c:v>新加坡</c:v>
                </c:pt>
                <c:pt idx="2">
                  <c:v>印度尼西亚</c:v>
                </c:pt>
                <c:pt idx="3">
                  <c:v>泰国</c:v>
                </c:pt>
                <c:pt idx="4">
                  <c:v>菲律宾</c:v>
                </c:pt>
                <c:pt idx="5">
                  <c:v>马来西亚</c:v>
                </c:pt>
                <c:pt idx="6">
                  <c:v>韩国</c:v>
                </c:pt>
              </c:strCache>
              <c:extLst xmlns:c16r2="http://schemas.microsoft.com/office/drawing/2015/06/chart"/>
            </c:strRef>
          </c:cat>
          <c:val>
            <c:numRef>
              <c:f>(CA!$D$4:$D$5,CA!$D$7,CA!$D$14:$D$15,CA!$D$17:$D$18)</c:f>
              <c:numCache>
                <c:formatCode>General</c:formatCode>
                <c:ptCount val="7"/>
                <c:pt idx="0">
                  <c:v>2.9950000000000001</c:v>
                </c:pt>
                <c:pt idx="1">
                  <c:v>17.756</c:v>
                </c:pt>
                <c:pt idx="2">
                  <c:v>-1.0489999999999999</c:v>
                </c:pt>
                <c:pt idx="3">
                  <c:v>1.7769999999999999</c:v>
                </c:pt>
                <c:pt idx="4">
                  <c:v>-2.2120000000000002</c:v>
                </c:pt>
                <c:pt idx="5">
                  <c:v>2.6259999999999999</c:v>
                </c:pt>
                <c:pt idx="6">
                  <c:v>3.851</c:v>
                </c:pt>
              </c:numCache>
              <c:extLst xmlns:c16r2="http://schemas.microsoft.com/office/drawing/2015/06/chart"/>
            </c:numRef>
          </c:val>
          <c:extLst xmlns:c16r2="http://schemas.microsoft.com/office/drawing/2015/06/chart">
            <c:ext xmlns:c16="http://schemas.microsoft.com/office/drawing/2014/chart" uri="{C3380CC4-5D6E-409C-BE32-E72D297353CC}">
              <c16:uniqueId val="{00000001-7156-4760-A85D-7CBFBC19B8DA}"/>
            </c:ext>
          </c:extLst>
        </c:ser>
        <c:dLbls>
          <c:showLegendKey val="0"/>
          <c:showVal val="0"/>
          <c:showCatName val="0"/>
          <c:showSerName val="0"/>
          <c:showPercent val="0"/>
          <c:showBubbleSize val="0"/>
        </c:dLbls>
        <c:gapWidth val="150"/>
        <c:axId val="378926208"/>
        <c:axId val="378927744"/>
      </c:barChart>
      <c:catAx>
        <c:axId val="378926208"/>
        <c:scaling>
          <c:orientation val="minMax"/>
        </c:scaling>
        <c:delete val="0"/>
        <c:axPos val="b"/>
        <c:numFmt formatCode="General" sourceLinked="1"/>
        <c:majorTickMark val="none"/>
        <c:minorTickMark val="none"/>
        <c:tickLblPos val="low"/>
        <c:txPr>
          <a:bodyPr rot="-54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378927744"/>
        <c:crosses val="autoZero"/>
        <c:auto val="1"/>
        <c:lblAlgn val="ctr"/>
        <c:lblOffset val="100"/>
        <c:noMultiLvlLbl val="0"/>
      </c:catAx>
      <c:valAx>
        <c:axId val="378927744"/>
        <c:scaling>
          <c:orientation val="minMax"/>
        </c:scaling>
        <c:delete val="0"/>
        <c:axPos val="l"/>
        <c:numFmt formatCode="#,##0_ " sourceLinked="0"/>
        <c:majorTickMark val="none"/>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378926208"/>
        <c:crosses val="autoZero"/>
        <c:crossBetween val="between"/>
      </c:valAx>
      <c:spPr>
        <a:solidFill>
          <a:srgbClr val="FFFFFF"/>
        </a:solidFill>
      </c:spPr>
    </c:plotArea>
    <c:legend>
      <c:legendPos val="r"/>
      <c:layout>
        <c:manualLayout>
          <c:xMode val="edge"/>
          <c:yMode val="edge"/>
          <c:x val="0.50546759357782978"/>
          <c:y val="6.9617434184363322E-2"/>
          <c:w val="0.35546885539217399"/>
          <c:h val="0.15308286464192"/>
        </c:manualLayout>
      </c:layout>
      <c:overlay val="1"/>
      <c:spPr>
        <a:noFill/>
        <a:ln w="25400">
          <a:noFill/>
        </a:ln>
      </c:spPr>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gap"/>
    <c:showDLblsOverMax val="0"/>
  </c:chart>
  <c:spPr>
    <a:solidFill>
      <a:srgbClr val="FFFFFF"/>
    </a:solidFill>
  </c:spPr>
  <c:txPr>
    <a:bodyPr/>
    <a:lstStyle/>
    <a:p>
      <a:pPr>
        <a:defRPr lang="zh-CN" sz="1000"/>
      </a:pPr>
      <a:endParaRPr lang="zh-CN"/>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1025371828521399E-2"/>
          <c:y val="4.3956043956044001E-2"/>
          <c:w val="0.93455324074074098"/>
          <c:h val="0.75043888888888899"/>
        </c:manualLayout>
      </c:layout>
      <c:barChart>
        <c:barDir val="col"/>
        <c:grouping val="clustered"/>
        <c:varyColors val="0"/>
        <c:ser>
          <c:idx val="0"/>
          <c:order val="0"/>
          <c:tx>
            <c:strRef>
              <c:f>汇率季度!$A$3</c:f>
              <c:strCache>
                <c:ptCount val="1"/>
                <c:pt idx="0">
                  <c:v>2024年Q1</c:v>
                </c:pt>
              </c:strCache>
            </c:strRef>
          </c:tx>
          <c:spPr>
            <a:solidFill>
              <a:srgbClr val="4472C4">
                <a:lumMod val="60000"/>
                <a:lumOff val="40000"/>
              </a:srgbClr>
            </a:solidFill>
            <a:ln w="25400">
              <a:noFill/>
            </a:ln>
          </c:spPr>
          <c:invertIfNegative val="0"/>
          <c:cat>
            <c:strRef>
              <c:f>汇率季度!$B$1:$H$1</c:f>
              <c:strCache>
                <c:ptCount val="7"/>
                <c:pt idx="0">
                  <c:v>印尼</c:v>
                </c:pt>
                <c:pt idx="1">
                  <c:v>泰国</c:v>
                </c:pt>
                <c:pt idx="2">
                  <c:v>马来西亚</c:v>
                </c:pt>
                <c:pt idx="3">
                  <c:v>新加坡</c:v>
                </c:pt>
                <c:pt idx="4">
                  <c:v>菲律宾</c:v>
                </c:pt>
                <c:pt idx="5">
                  <c:v>越南</c:v>
                </c:pt>
                <c:pt idx="6">
                  <c:v>韩国</c:v>
                </c:pt>
              </c:strCache>
            </c:strRef>
          </c:cat>
          <c:val>
            <c:numRef>
              <c:f>汇率季度!$B$3:$H$3</c:f>
              <c:numCache>
                <c:formatCode>0.00_ </c:formatCode>
                <c:ptCount val="7"/>
                <c:pt idx="0">
                  <c:v>-2.3970226455560404</c:v>
                </c:pt>
                <c:pt idx="1">
                  <c:v>-5.9044743343398212</c:v>
                </c:pt>
                <c:pt idx="2">
                  <c:v>-2.6852732847024057</c:v>
                </c:pt>
                <c:pt idx="3">
                  <c:v>-1.8404452690166972</c:v>
                </c:pt>
                <c:pt idx="4">
                  <c:v>-1.5333771610312343</c:v>
                </c:pt>
                <c:pt idx="5">
                  <c:v>-0.62505208767397946</c:v>
                </c:pt>
                <c:pt idx="6">
                  <c:v>-3.5812263661303332</c:v>
                </c:pt>
              </c:numCache>
            </c:numRef>
          </c:val>
          <c:extLst xmlns:c16r2="http://schemas.microsoft.com/office/drawing/2015/06/chart">
            <c:ext xmlns:c16="http://schemas.microsoft.com/office/drawing/2014/chart" uri="{C3380CC4-5D6E-409C-BE32-E72D297353CC}">
              <c16:uniqueId val="{00000000-F777-40FA-AC6B-2DD8B6D1A134}"/>
            </c:ext>
          </c:extLst>
        </c:ser>
        <c:ser>
          <c:idx val="2"/>
          <c:order val="1"/>
          <c:tx>
            <c:strRef>
              <c:f>汇率季度!$A$4</c:f>
              <c:strCache>
                <c:ptCount val="1"/>
                <c:pt idx="0">
                  <c:v>2024年Q2</c:v>
                </c:pt>
              </c:strCache>
            </c:strRef>
          </c:tx>
          <c:spPr>
            <a:solidFill>
              <a:sysClr val="window" lastClr="FFFFFF">
                <a:lumMod val="65000"/>
              </a:sysClr>
            </a:solidFill>
          </c:spPr>
          <c:invertIfNegative val="0"/>
          <c:cat>
            <c:strRef>
              <c:f>汇率季度!$B$1:$H$1</c:f>
              <c:strCache>
                <c:ptCount val="7"/>
                <c:pt idx="0">
                  <c:v>印尼</c:v>
                </c:pt>
                <c:pt idx="1">
                  <c:v>泰国</c:v>
                </c:pt>
                <c:pt idx="2">
                  <c:v>马来西亚</c:v>
                </c:pt>
                <c:pt idx="3">
                  <c:v>新加坡</c:v>
                </c:pt>
                <c:pt idx="4">
                  <c:v>菲律宾</c:v>
                </c:pt>
                <c:pt idx="5">
                  <c:v>越南</c:v>
                </c:pt>
                <c:pt idx="6">
                  <c:v>韩国</c:v>
                </c:pt>
              </c:strCache>
            </c:strRef>
          </c:cat>
          <c:val>
            <c:numRef>
              <c:f>汇率季度!$B$4:$H$4</c:f>
              <c:numCache>
                <c:formatCode>0.00_ </c:formatCode>
                <c:ptCount val="7"/>
                <c:pt idx="0">
                  <c:v>-2.958399414419902</c:v>
                </c:pt>
                <c:pt idx="1">
                  <c:v>-1.3406426400347391</c:v>
                </c:pt>
                <c:pt idx="2">
                  <c:v>8.4754740968318337E-2</c:v>
                </c:pt>
                <c:pt idx="3">
                  <c:v>-0.72874493927126138</c:v>
                </c:pt>
                <c:pt idx="4">
                  <c:v>-4.4302507304477912</c:v>
                </c:pt>
                <c:pt idx="5">
                  <c:v>-1.0552349546578752</c:v>
                </c:pt>
                <c:pt idx="6">
                  <c:v>-1.9830028328611942</c:v>
                </c:pt>
              </c:numCache>
            </c:numRef>
          </c:val>
          <c:extLst xmlns:c16r2="http://schemas.microsoft.com/office/drawing/2015/06/chart">
            <c:ext xmlns:c16="http://schemas.microsoft.com/office/drawing/2014/chart" uri="{C3380CC4-5D6E-409C-BE32-E72D297353CC}">
              <c16:uniqueId val="{00000001-F777-40FA-AC6B-2DD8B6D1A134}"/>
            </c:ext>
          </c:extLst>
        </c:ser>
        <c:ser>
          <c:idx val="3"/>
          <c:order val="2"/>
          <c:tx>
            <c:strRef>
              <c:f>汇率季度!$A$5</c:f>
              <c:strCache>
                <c:ptCount val="1"/>
                <c:pt idx="0">
                  <c:v>2024年Q3</c:v>
                </c:pt>
              </c:strCache>
            </c:strRef>
          </c:tx>
          <c:invertIfNegative val="0"/>
          <c:cat>
            <c:strRef>
              <c:f>汇率季度!$B$1:$H$1</c:f>
              <c:strCache>
                <c:ptCount val="7"/>
                <c:pt idx="0">
                  <c:v>印尼</c:v>
                </c:pt>
                <c:pt idx="1">
                  <c:v>泰国</c:v>
                </c:pt>
                <c:pt idx="2">
                  <c:v>马来西亚</c:v>
                </c:pt>
                <c:pt idx="3">
                  <c:v>新加坡</c:v>
                </c:pt>
                <c:pt idx="4">
                  <c:v>菲律宾</c:v>
                </c:pt>
                <c:pt idx="5">
                  <c:v>越南</c:v>
                </c:pt>
                <c:pt idx="6">
                  <c:v>韩国</c:v>
                </c:pt>
              </c:strCache>
            </c:strRef>
          </c:cat>
          <c:val>
            <c:numRef>
              <c:f>汇率季度!$B$5:$H$5</c:f>
              <c:numCache>
                <c:formatCode>0.00_ </c:formatCode>
                <c:ptCount val="7"/>
                <c:pt idx="0">
                  <c:v>8.2540940306392052</c:v>
                </c:pt>
                <c:pt idx="1">
                  <c:v>14.225487460863629</c:v>
                </c:pt>
                <c:pt idx="2">
                  <c:v>14.899573950091291</c:v>
                </c:pt>
                <c:pt idx="3">
                  <c:v>6.083086053412476</c:v>
                </c:pt>
                <c:pt idx="4">
                  <c:v>5.3245544979603432</c:v>
                </c:pt>
                <c:pt idx="5">
                  <c:v>0.69314738720789082</c:v>
                </c:pt>
                <c:pt idx="6">
                  <c:v>5.2683896620278405</c:v>
                </c:pt>
              </c:numCache>
            </c:numRef>
          </c:val>
          <c:extLst xmlns:c16r2="http://schemas.microsoft.com/office/drawing/2015/06/chart">
            <c:ext xmlns:c16="http://schemas.microsoft.com/office/drawing/2014/chart" uri="{C3380CC4-5D6E-409C-BE32-E72D297353CC}">
              <c16:uniqueId val="{00000002-F777-40FA-AC6B-2DD8B6D1A134}"/>
            </c:ext>
          </c:extLst>
        </c:ser>
        <c:ser>
          <c:idx val="4"/>
          <c:order val="3"/>
          <c:tx>
            <c:strRef>
              <c:f>汇率季度!$A$6</c:f>
              <c:strCache>
                <c:ptCount val="1"/>
                <c:pt idx="0">
                  <c:v>2024年Q4</c:v>
                </c:pt>
              </c:strCache>
            </c:strRef>
          </c:tx>
          <c:spPr>
            <a:solidFill>
              <a:srgbClr val="5B9BD5">
                <a:lumMod val="75000"/>
              </a:srgbClr>
            </a:solidFill>
          </c:spPr>
          <c:invertIfNegative val="0"/>
          <c:cat>
            <c:strRef>
              <c:f>汇率季度!$B$1:$H$1</c:f>
              <c:strCache>
                <c:ptCount val="7"/>
                <c:pt idx="0">
                  <c:v>印尼</c:v>
                </c:pt>
                <c:pt idx="1">
                  <c:v>泰国</c:v>
                </c:pt>
                <c:pt idx="2">
                  <c:v>马来西亚</c:v>
                </c:pt>
                <c:pt idx="3">
                  <c:v>新加坡</c:v>
                </c:pt>
                <c:pt idx="4">
                  <c:v>菲律宾</c:v>
                </c:pt>
                <c:pt idx="5">
                  <c:v>越南</c:v>
                </c:pt>
                <c:pt idx="6">
                  <c:v>韩国</c:v>
                </c:pt>
              </c:strCache>
            </c:strRef>
          </c:cat>
          <c:val>
            <c:numRef>
              <c:f>汇率季度!$B$6:$H$6</c:f>
              <c:numCache>
                <c:formatCode>0.00_ </c:formatCode>
                <c:ptCount val="7"/>
                <c:pt idx="0">
                  <c:v>-6.2697282911431556</c:v>
                </c:pt>
                <c:pt idx="1">
                  <c:v>-5.0228176063594958</c:v>
                </c:pt>
                <c:pt idx="2">
                  <c:v>-8.109619686800885</c:v>
                </c:pt>
                <c:pt idx="3">
                  <c:v>-5.8590016908035132</c:v>
                </c:pt>
                <c:pt idx="4">
                  <c:v>-3.3796048196103414</c:v>
                </c:pt>
                <c:pt idx="5">
                  <c:v>-0.99445243476473677</c:v>
                </c:pt>
                <c:pt idx="6">
                  <c:v>-11.185059422750417</c:v>
                </c:pt>
              </c:numCache>
            </c:numRef>
          </c:val>
          <c:extLst xmlns:c16r2="http://schemas.microsoft.com/office/drawing/2015/06/chart">
            <c:ext xmlns:c16="http://schemas.microsoft.com/office/drawing/2014/chart" uri="{C3380CC4-5D6E-409C-BE32-E72D297353CC}">
              <c16:uniqueId val="{00000003-F777-40FA-AC6B-2DD8B6D1A134}"/>
            </c:ext>
          </c:extLst>
        </c:ser>
        <c:ser>
          <c:idx val="1"/>
          <c:order val="4"/>
          <c:tx>
            <c:strRef>
              <c:f>汇率季度!$A$7</c:f>
              <c:strCache>
                <c:ptCount val="1"/>
                <c:pt idx="0">
                  <c:v>2024年</c:v>
                </c:pt>
              </c:strCache>
            </c:strRef>
          </c:tx>
          <c:invertIfNegative val="0"/>
          <c:cat>
            <c:strRef>
              <c:f>汇率季度!$B$1:$H$1</c:f>
              <c:strCache>
                <c:ptCount val="7"/>
                <c:pt idx="0">
                  <c:v>印尼</c:v>
                </c:pt>
                <c:pt idx="1">
                  <c:v>泰国</c:v>
                </c:pt>
                <c:pt idx="2">
                  <c:v>马来西亚</c:v>
                </c:pt>
                <c:pt idx="3">
                  <c:v>新加坡</c:v>
                </c:pt>
                <c:pt idx="4">
                  <c:v>菲律宾</c:v>
                </c:pt>
                <c:pt idx="5">
                  <c:v>越南</c:v>
                </c:pt>
                <c:pt idx="6">
                  <c:v>韩国</c:v>
                </c:pt>
              </c:strCache>
            </c:strRef>
          </c:cat>
          <c:val>
            <c:numRef>
              <c:f>汇率季度!$B$7:$H$7</c:f>
              <c:numCache>
                <c:formatCode>0.00_ </c:formatCode>
                <c:ptCount val="7"/>
                <c:pt idx="0">
                  <c:v>-4.2334591817787874</c:v>
                </c:pt>
                <c:pt idx="1">
                  <c:v>0.92448108346828239</c:v>
                </c:pt>
                <c:pt idx="2">
                  <c:v>2.9642058165548142</c:v>
                </c:pt>
                <c:pt idx="3">
                  <c:v>-2.7640961552598831</c:v>
                </c:pt>
                <c:pt idx="4">
                  <c:v>-4.1990077272805726</c:v>
                </c:pt>
                <c:pt idx="5">
                  <c:v>-2.0012327922745028</c:v>
                </c:pt>
                <c:pt idx="6">
                  <c:v>-11.687606112054315</c:v>
                </c:pt>
              </c:numCache>
            </c:numRef>
          </c:val>
          <c:extLst xmlns:c16r2="http://schemas.microsoft.com/office/drawing/2015/06/chart">
            <c:ext xmlns:c16="http://schemas.microsoft.com/office/drawing/2014/chart" uri="{C3380CC4-5D6E-409C-BE32-E72D297353CC}">
              <c16:uniqueId val="{00000004-F777-40FA-AC6B-2DD8B6D1A134}"/>
            </c:ext>
          </c:extLst>
        </c:ser>
        <c:dLbls>
          <c:showLegendKey val="0"/>
          <c:showVal val="0"/>
          <c:showCatName val="0"/>
          <c:showSerName val="0"/>
          <c:showPercent val="0"/>
          <c:showBubbleSize val="0"/>
        </c:dLbls>
        <c:gapWidth val="219"/>
        <c:axId val="379022720"/>
        <c:axId val="379036800"/>
      </c:barChart>
      <c:catAx>
        <c:axId val="379022720"/>
        <c:scaling>
          <c:orientation val="minMax"/>
        </c:scaling>
        <c:delete val="0"/>
        <c:axPos val="b"/>
        <c:numFmt formatCode="General" sourceLinked="1"/>
        <c:majorTickMark val="out"/>
        <c:minorTickMark val="none"/>
        <c:tickLblPos val="low"/>
        <c:spPr>
          <a:noFill/>
          <a:ln w="15875" cap="flat" cmpd="sng" algn="ctr">
            <a:solidFill>
              <a:sysClr val="windowText" lastClr="000000"/>
            </a:solidFill>
            <a:prstDash val="solid"/>
            <a:round/>
          </a:ln>
          <a:effectLst/>
        </c:spPr>
        <c:txPr>
          <a:bodyPr rot="-60000000" spcFirstLastPara="1" vertOverflow="ellipsis" vert="horz" wrap="square" anchor="ctr" anchorCtr="1"/>
          <a:lstStyle/>
          <a:p>
            <a:pPr>
              <a:defRPr lang="zh-CN" sz="900" b="0" i="0" u="none" strike="noStrike" kern="1200" baseline="0">
                <a:solidFill>
                  <a:sysClr val="windowText" lastClr="000000"/>
                </a:solidFill>
                <a:latin typeface="楷体" panose="02010609060101010101" pitchFamily="49" charset="-122"/>
                <a:ea typeface="楷体" panose="02010609060101010101" pitchFamily="49" charset="-122"/>
                <a:cs typeface="+mn-cs"/>
              </a:defRPr>
            </a:pPr>
            <a:endParaRPr lang="zh-CN"/>
          </a:p>
        </c:txPr>
        <c:crossAx val="379036800"/>
        <c:crosses val="autoZero"/>
        <c:auto val="1"/>
        <c:lblAlgn val="ctr"/>
        <c:lblOffset val="100"/>
        <c:noMultiLvlLbl val="0"/>
      </c:catAx>
      <c:valAx>
        <c:axId val="379036800"/>
        <c:scaling>
          <c:orientation val="minMax"/>
          <c:min val="-8"/>
        </c:scaling>
        <c:delete val="0"/>
        <c:axPos val="l"/>
        <c:numFmt formatCode="0.00_ " sourceLinked="1"/>
        <c:majorTickMark val="out"/>
        <c:minorTickMark val="none"/>
        <c:tickLblPos val="nextTo"/>
        <c:spPr>
          <a:noFill/>
          <a:ln w="15875" cap="flat" cmpd="sng" algn="ctr">
            <a:solidFill>
              <a:schemeClr val="tx1"/>
            </a:solidFill>
            <a:prstDash val="solid"/>
            <a:round/>
          </a:ln>
          <a:effectLst/>
        </c:spPr>
        <c:txPr>
          <a:bodyPr rot="-60000000" spcFirstLastPara="1" vertOverflow="ellipsis" vert="horz" wrap="square" anchor="ctr" anchorCtr="1"/>
          <a:lstStyle/>
          <a:p>
            <a:pPr>
              <a:defRPr lang="zh-CN" sz="900" b="0" i="0" u="none" strike="noStrike" kern="1200" baseline="0">
                <a:solidFill>
                  <a:sysClr val="windowText" lastClr="000000"/>
                </a:solidFill>
                <a:latin typeface="Cambria" panose="02040503050406030204" pitchFamily="18" charset="0"/>
                <a:ea typeface="+mn-ea"/>
                <a:cs typeface="+mn-cs"/>
              </a:defRPr>
            </a:pPr>
            <a:endParaRPr lang="zh-CN"/>
          </a:p>
        </c:txPr>
        <c:crossAx val="379022720"/>
        <c:crosses val="autoZero"/>
        <c:crossBetween val="between"/>
      </c:valAx>
      <c:spPr>
        <a:solidFill>
          <a:srgbClr val="FFFFFF"/>
        </a:solidFill>
        <a:ln w="25400">
          <a:noFill/>
        </a:ln>
      </c:spPr>
    </c:plotArea>
    <c:legend>
      <c:legendPos val="b"/>
      <c:layout>
        <c:manualLayout>
          <c:xMode val="edge"/>
          <c:yMode val="edge"/>
          <c:x val="0.35982254935524399"/>
          <c:y val="1.89247965625918E-2"/>
          <c:w val="0.64017744141205646"/>
          <c:h val="5.1716961498439129E-2"/>
        </c:manualLayout>
      </c:layout>
      <c:overlay val="0"/>
      <c:spPr>
        <a:noFill/>
        <a:ln w="25400">
          <a:noFill/>
        </a:ln>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楷体" panose="02010609060101010101" pitchFamily="49" charset="-122"/>
              <a:ea typeface="楷体" panose="02010609060101010101" pitchFamily="49" charset="-122"/>
              <a:cs typeface="+mn-cs"/>
            </a:defRPr>
          </a:pPr>
          <a:endParaRPr lang="zh-CN"/>
        </a:p>
      </c:txPr>
    </c:legend>
    <c:plotVisOnly val="1"/>
    <c:dispBlanksAs val="gap"/>
    <c:showDLblsOverMax val="0"/>
  </c:chart>
  <c:spPr>
    <a:solidFill>
      <a:srgbClr val="FFFFFF"/>
    </a:solidFill>
    <a:ln w="9525" cap="flat" cmpd="sng" algn="ctr">
      <a:solidFill>
        <a:schemeClr val="tx1">
          <a:lumMod val="15000"/>
          <a:lumOff val="85000"/>
        </a:schemeClr>
      </a:solidFill>
      <a:prstDash val="solid"/>
      <a:round/>
    </a:ln>
    <a:effectLst/>
  </c:spPr>
  <c:txPr>
    <a:bodyPr/>
    <a:lstStyle/>
    <a:p>
      <a:pPr>
        <a:defRPr lang="zh-CN"/>
      </a:pPr>
      <a:endParaRPr lang="zh-CN"/>
    </a:p>
  </c:txPr>
  <c:externalData r:id="rId2">
    <c:autoUpdate val="0"/>
  </c:externalData>
  <c:userShapes r:id="rId3"/>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345454545454499"/>
          <c:y val="4.44871794871795E-2"/>
          <c:w val="0.85072691197691197"/>
          <c:h val="0.72307393162393196"/>
        </c:manualLayout>
      </c:layout>
      <c:lineChart>
        <c:grouping val="standard"/>
        <c:varyColors val="0"/>
        <c:ser>
          <c:idx val="0"/>
          <c:order val="0"/>
          <c:tx>
            <c:strRef>
              <c:f>' 东盟六国与韩国的制造业PMI'!$A$3</c:f>
              <c:strCache>
                <c:ptCount val="1"/>
                <c:pt idx="0">
                  <c:v>东盟</c:v>
                </c:pt>
              </c:strCache>
            </c:strRef>
          </c:tx>
          <c:spPr>
            <a:ln w="19050" cap="rnd">
              <a:solidFill>
                <a:srgbClr val="106D9C"/>
              </a:solidFill>
              <a:round/>
            </a:ln>
            <a:effectLst/>
          </c:spPr>
          <c:marker>
            <c:symbol val="none"/>
          </c:marker>
          <c:cat>
            <c:strRef>
              <c:f>' 东盟六国与韩国的制造业PMI'!$K$2:$AT$2</c:f>
              <c:strCache>
                <c:ptCount val="36"/>
                <c:pt idx="0">
                  <c:v>1月
2022</c:v>
                </c:pt>
                <c:pt idx="1">
                  <c:v>2月</c:v>
                </c:pt>
                <c:pt idx="2">
                  <c:v>3月</c:v>
                </c:pt>
                <c:pt idx="3">
                  <c:v>4月</c:v>
                </c:pt>
                <c:pt idx="4">
                  <c:v>5月</c:v>
                </c:pt>
                <c:pt idx="5">
                  <c:v>6月</c:v>
                </c:pt>
                <c:pt idx="6">
                  <c:v>7月</c:v>
                </c:pt>
                <c:pt idx="7">
                  <c:v>8月</c:v>
                </c:pt>
                <c:pt idx="8">
                  <c:v>9月</c:v>
                </c:pt>
                <c:pt idx="9">
                  <c:v>10月</c:v>
                </c:pt>
                <c:pt idx="10">
                  <c:v>11月</c:v>
                </c:pt>
                <c:pt idx="11">
                  <c:v>12月</c:v>
                </c:pt>
                <c:pt idx="12">
                  <c:v>1月</c:v>
                </c:pt>
                <c:pt idx="13">
                  <c:v>2月</c:v>
                </c:pt>
                <c:pt idx="14">
                  <c:v>3月</c:v>
                </c:pt>
                <c:pt idx="15">
                  <c:v>4月</c:v>
                </c:pt>
                <c:pt idx="16">
                  <c:v>5月</c:v>
                </c:pt>
                <c:pt idx="17">
                  <c:v>6月</c:v>
                </c:pt>
                <c:pt idx="18">
                  <c:v>7月</c:v>
                </c:pt>
                <c:pt idx="19">
                  <c:v>8月</c:v>
                </c:pt>
                <c:pt idx="20">
                  <c:v>9月</c:v>
                </c:pt>
                <c:pt idx="21">
                  <c:v>10月</c:v>
                </c:pt>
                <c:pt idx="22">
                  <c:v>11月</c:v>
                </c:pt>
                <c:pt idx="23">
                  <c:v>12月</c:v>
                </c:pt>
                <c:pt idx="24">
                  <c:v>1月
2024</c:v>
                </c:pt>
                <c:pt idx="25">
                  <c:v>2月</c:v>
                </c:pt>
                <c:pt idx="26">
                  <c:v>3月</c:v>
                </c:pt>
                <c:pt idx="27">
                  <c:v>4月</c:v>
                </c:pt>
                <c:pt idx="28">
                  <c:v>5月</c:v>
                </c:pt>
                <c:pt idx="29">
                  <c:v>6月</c:v>
                </c:pt>
                <c:pt idx="30">
                  <c:v>7月</c:v>
                </c:pt>
                <c:pt idx="31">
                  <c:v>8月</c:v>
                </c:pt>
                <c:pt idx="32">
                  <c:v>9月</c:v>
                </c:pt>
                <c:pt idx="33">
                  <c:v>10月</c:v>
                </c:pt>
                <c:pt idx="34">
                  <c:v>11月</c:v>
                </c:pt>
                <c:pt idx="35">
                  <c:v>12月</c:v>
                </c:pt>
              </c:strCache>
            </c:strRef>
          </c:cat>
          <c:val>
            <c:numRef>
              <c:f>' 东盟六国与韩国的制造业PMI'!$K$3:$AT$3</c:f>
              <c:numCache>
                <c:formatCode>General</c:formatCode>
                <c:ptCount val="36"/>
                <c:pt idx="0">
                  <c:v>52.7</c:v>
                </c:pt>
                <c:pt idx="1">
                  <c:v>52.5</c:v>
                </c:pt>
                <c:pt idx="2">
                  <c:v>51.7</c:v>
                </c:pt>
                <c:pt idx="3">
                  <c:v>52.8</c:v>
                </c:pt>
                <c:pt idx="4">
                  <c:v>52.3</c:v>
                </c:pt>
                <c:pt idx="5">
                  <c:v>52</c:v>
                </c:pt>
                <c:pt idx="6">
                  <c:v>52.2</c:v>
                </c:pt>
                <c:pt idx="7">
                  <c:v>52.3</c:v>
                </c:pt>
                <c:pt idx="8">
                  <c:v>53.5</c:v>
                </c:pt>
                <c:pt idx="9">
                  <c:v>51.6</c:v>
                </c:pt>
                <c:pt idx="10">
                  <c:v>50.7</c:v>
                </c:pt>
                <c:pt idx="11">
                  <c:v>50.3</c:v>
                </c:pt>
                <c:pt idx="12">
                  <c:v>51</c:v>
                </c:pt>
                <c:pt idx="13">
                  <c:v>51.5</c:v>
                </c:pt>
                <c:pt idx="14">
                  <c:v>51</c:v>
                </c:pt>
                <c:pt idx="15">
                  <c:v>52.7</c:v>
                </c:pt>
                <c:pt idx="16">
                  <c:v>51.1</c:v>
                </c:pt>
                <c:pt idx="17">
                  <c:v>51</c:v>
                </c:pt>
                <c:pt idx="18">
                  <c:v>50.8</c:v>
                </c:pt>
                <c:pt idx="19">
                  <c:v>51</c:v>
                </c:pt>
                <c:pt idx="20">
                  <c:v>49.6</c:v>
                </c:pt>
                <c:pt idx="21">
                  <c:v>49.6</c:v>
                </c:pt>
                <c:pt idx="22">
                  <c:v>50</c:v>
                </c:pt>
                <c:pt idx="23">
                  <c:v>49.7</c:v>
                </c:pt>
                <c:pt idx="24">
                  <c:v>50.3</c:v>
                </c:pt>
                <c:pt idx="25">
                  <c:v>50.4</c:v>
                </c:pt>
                <c:pt idx="26">
                  <c:v>51.5</c:v>
                </c:pt>
                <c:pt idx="27">
                  <c:v>51</c:v>
                </c:pt>
                <c:pt idx="28">
                  <c:v>51.7</c:v>
                </c:pt>
                <c:pt idx="29">
                  <c:v>51.7</c:v>
                </c:pt>
                <c:pt idx="30">
                  <c:v>51.6</c:v>
                </c:pt>
                <c:pt idx="31">
                  <c:v>51.1</c:v>
                </c:pt>
                <c:pt idx="32">
                  <c:v>50.5</c:v>
                </c:pt>
                <c:pt idx="33">
                  <c:v>50.5</c:v>
                </c:pt>
                <c:pt idx="34">
                  <c:v>50.8</c:v>
                </c:pt>
                <c:pt idx="35">
                  <c:v>50.7</c:v>
                </c:pt>
              </c:numCache>
            </c:numRef>
          </c:val>
          <c:smooth val="0"/>
          <c:extLst xmlns:c16r2="http://schemas.microsoft.com/office/drawing/2015/06/chart">
            <c:ext xmlns:c16="http://schemas.microsoft.com/office/drawing/2014/chart" uri="{C3380CC4-5D6E-409C-BE32-E72D297353CC}">
              <c16:uniqueId val="{00000000-6782-4A6D-8C4E-6A6356C15FCC}"/>
            </c:ext>
          </c:extLst>
        </c:ser>
        <c:ser>
          <c:idx val="7"/>
          <c:order val="1"/>
          <c:tx>
            <c:strRef>
              <c:f>' 东盟六国与韩国的制造业PMI'!$A$10</c:f>
              <c:strCache>
                <c:ptCount val="1"/>
                <c:pt idx="0">
                  <c:v>韩国</c:v>
                </c:pt>
              </c:strCache>
            </c:strRef>
          </c:tx>
          <c:spPr>
            <a:ln w="19050" cap="rnd">
              <a:solidFill>
                <a:srgbClr val="74A3BA"/>
              </a:solidFill>
              <a:prstDash val="solid"/>
              <a:round/>
            </a:ln>
            <a:effectLst/>
          </c:spPr>
          <c:marker>
            <c:symbol val="none"/>
          </c:marker>
          <c:cat>
            <c:strRef>
              <c:f>' 东盟六国与韩国的制造业PMI'!$K$2:$AT$2</c:f>
              <c:strCache>
                <c:ptCount val="36"/>
                <c:pt idx="0">
                  <c:v>1月
2022</c:v>
                </c:pt>
                <c:pt idx="1">
                  <c:v>2月</c:v>
                </c:pt>
                <c:pt idx="2">
                  <c:v>3月</c:v>
                </c:pt>
                <c:pt idx="3">
                  <c:v>4月</c:v>
                </c:pt>
                <c:pt idx="4">
                  <c:v>5月</c:v>
                </c:pt>
                <c:pt idx="5">
                  <c:v>6月</c:v>
                </c:pt>
                <c:pt idx="6">
                  <c:v>7月</c:v>
                </c:pt>
                <c:pt idx="7">
                  <c:v>8月</c:v>
                </c:pt>
                <c:pt idx="8">
                  <c:v>9月</c:v>
                </c:pt>
                <c:pt idx="9">
                  <c:v>10月</c:v>
                </c:pt>
                <c:pt idx="10">
                  <c:v>11月</c:v>
                </c:pt>
                <c:pt idx="11">
                  <c:v>12月</c:v>
                </c:pt>
                <c:pt idx="12">
                  <c:v>1月</c:v>
                </c:pt>
                <c:pt idx="13">
                  <c:v>2月</c:v>
                </c:pt>
                <c:pt idx="14">
                  <c:v>3月</c:v>
                </c:pt>
                <c:pt idx="15">
                  <c:v>4月</c:v>
                </c:pt>
                <c:pt idx="16">
                  <c:v>5月</c:v>
                </c:pt>
                <c:pt idx="17">
                  <c:v>6月</c:v>
                </c:pt>
                <c:pt idx="18">
                  <c:v>7月</c:v>
                </c:pt>
                <c:pt idx="19">
                  <c:v>8月</c:v>
                </c:pt>
                <c:pt idx="20">
                  <c:v>9月</c:v>
                </c:pt>
                <c:pt idx="21">
                  <c:v>10月</c:v>
                </c:pt>
                <c:pt idx="22">
                  <c:v>11月</c:v>
                </c:pt>
                <c:pt idx="23">
                  <c:v>12月</c:v>
                </c:pt>
                <c:pt idx="24">
                  <c:v>1月
2024</c:v>
                </c:pt>
                <c:pt idx="25">
                  <c:v>2月</c:v>
                </c:pt>
                <c:pt idx="26">
                  <c:v>3月</c:v>
                </c:pt>
                <c:pt idx="27">
                  <c:v>4月</c:v>
                </c:pt>
                <c:pt idx="28">
                  <c:v>5月</c:v>
                </c:pt>
                <c:pt idx="29">
                  <c:v>6月</c:v>
                </c:pt>
                <c:pt idx="30">
                  <c:v>7月</c:v>
                </c:pt>
                <c:pt idx="31">
                  <c:v>8月</c:v>
                </c:pt>
                <c:pt idx="32">
                  <c:v>9月</c:v>
                </c:pt>
                <c:pt idx="33">
                  <c:v>10月</c:v>
                </c:pt>
                <c:pt idx="34">
                  <c:v>11月</c:v>
                </c:pt>
                <c:pt idx="35">
                  <c:v>12月</c:v>
                </c:pt>
              </c:strCache>
            </c:strRef>
          </c:cat>
          <c:val>
            <c:numRef>
              <c:f>' 东盟六国与韩国的制造业PMI'!$K$10:$AT$10</c:f>
              <c:numCache>
                <c:formatCode>General</c:formatCode>
                <c:ptCount val="36"/>
                <c:pt idx="0">
                  <c:v>52.8</c:v>
                </c:pt>
                <c:pt idx="1">
                  <c:v>53.8</c:v>
                </c:pt>
                <c:pt idx="2">
                  <c:v>51.2</c:v>
                </c:pt>
                <c:pt idx="3">
                  <c:v>52.1</c:v>
                </c:pt>
                <c:pt idx="4">
                  <c:v>51.8</c:v>
                </c:pt>
                <c:pt idx="5">
                  <c:v>51.3</c:v>
                </c:pt>
                <c:pt idx="6">
                  <c:v>49.8</c:v>
                </c:pt>
                <c:pt idx="7">
                  <c:v>47.6</c:v>
                </c:pt>
                <c:pt idx="8">
                  <c:v>47.3</c:v>
                </c:pt>
                <c:pt idx="9">
                  <c:v>48.2</c:v>
                </c:pt>
                <c:pt idx="10">
                  <c:v>49</c:v>
                </c:pt>
                <c:pt idx="11">
                  <c:v>48.2</c:v>
                </c:pt>
                <c:pt idx="12">
                  <c:v>48.5</c:v>
                </c:pt>
                <c:pt idx="13">
                  <c:v>48.5</c:v>
                </c:pt>
                <c:pt idx="14">
                  <c:v>47.6</c:v>
                </c:pt>
                <c:pt idx="15">
                  <c:v>48.1</c:v>
                </c:pt>
                <c:pt idx="16">
                  <c:v>48.4</c:v>
                </c:pt>
                <c:pt idx="17">
                  <c:v>47.8</c:v>
                </c:pt>
                <c:pt idx="18">
                  <c:v>49.4</c:v>
                </c:pt>
                <c:pt idx="19">
                  <c:v>48.9</c:v>
                </c:pt>
                <c:pt idx="20">
                  <c:v>49.9</c:v>
                </c:pt>
                <c:pt idx="21">
                  <c:v>49.8</c:v>
                </c:pt>
                <c:pt idx="22">
                  <c:v>50</c:v>
                </c:pt>
                <c:pt idx="23">
                  <c:v>49.9</c:v>
                </c:pt>
                <c:pt idx="24">
                  <c:v>51.2</c:v>
                </c:pt>
                <c:pt idx="25">
                  <c:v>50.7</c:v>
                </c:pt>
                <c:pt idx="26">
                  <c:v>49.8</c:v>
                </c:pt>
                <c:pt idx="27">
                  <c:v>49.4</c:v>
                </c:pt>
                <c:pt idx="28">
                  <c:v>51.6</c:v>
                </c:pt>
                <c:pt idx="29">
                  <c:v>52</c:v>
                </c:pt>
                <c:pt idx="30">
                  <c:v>51.4</c:v>
                </c:pt>
                <c:pt idx="31">
                  <c:v>51.9</c:v>
                </c:pt>
                <c:pt idx="32">
                  <c:v>48.3</c:v>
                </c:pt>
                <c:pt idx="33">
                  <c:v>48.3</c:v>
                </c:pt>
                <c:pt idx="34">
                  <c:v>50.6</c:v>
                </c:pt>
                <c:pt idx="35">
                  <c:v>49</c:v>
                </c:pt>
              </c:numCache>
            </c:numRef>
          </c:val>
          <c:smooth val="0"/>
          <c:extLst xmlns:c16r2="http://schemas.microsoft.com/office/drawing/2015/06/chart">
            <c:ext xmlns:c16="http://schemas.microsoft.com/office/drawing/2014/chart" uri="{C3380CC4-5D6E-409C-BE32-E72D297353CC}">
              <c16:uniqueId val="{00000001-6782-4A6D-8C4E-6A6356C15FCC}"/>
            </c:ext>
          </c:extLst>
        </c:ser>
        <c:dLbls>
          <c:showLegendKey val="0"/>
          <c:showVal val="0"/>
          <c:showCatName val="0"/>
          <c:showSerName val="0"/>
          <c:showPercent val="0"/>
          <c:showBubbleSize val="0"/>
        </c:dLbls>
        <c:marker val="1"/>
        <c:smooth val="0"/>
        <c:axId val="379079680"/>
        <c:axId val="379085568"/>
      </c:lineChart>
      <c:dateAx>
        <c:axId val="379079680"/>
        <c:scaling>
          <c:orientation val="minMax"/>
        </c:scaling>
        <c:delete val="0"/>
        <c:axPos val="b"/>
        <c:numFmt formatCode="m&quot;月&quot;;@" sourceLinked="0"/>
        <c:majorTickMark val="out"/>
        <c:minorTickMark val="none"/>
        <c:tickLblPos val="nextTo"/>
        <c:spPr>
          <a:noFill/>
          <a:ln w="12700" cap="flat" cmpd="sng" algn="ctr">
            <a:solidFill>
              <a:schemeClr val="tx1"/>
            </a:solidFill>
            <a:round/>
          </a:ln>
          <a:effectLst/>
        </c:spPr>
        <c:txPr>
          <a:bodyPr rot="0" spcFirstLastPara="0" vertOverflow="ellipsis" wrap="square" anchor="ctr" anchorCtr="1" forceAA="0"/>
          <a:lstStyle/>
          <a:p>
            <a:pPr>
              <a:defRPr lang="zh-CN" sz="800" b="0" i="0" u="none" strike="noStrike" kern="1200" baseline="0">
                <a:solidFill>
                  <a:sysClr val="windowText" lastClr="000000"/>
                </a:solidFill>
                <a:latin typeface="Cambria" panose="02040503050406030204" pitchFamily="18" charset="0"/>
                <a:ea typeface="楷体" panose="02010609060101010101" pitchFamily="49" charset="-122"/>
                <a:cs typeface="+mn-cs"/>
              </a:defRPr>
            </a:pPr>
            <a:endParaRPr lang="zh-CN"/>
          </a:p>
        </c:txPr>
        <c:crossAx val="379085568"/>
        <c:crosses val="autoZero"/>
        <c:auto val="0"/>
        <c:lblOffset val="100"/>
        <c:baseTimeUnit val="days"/>
      </c:dateAx>
      <c:valAx>
        <c:axId val="379085568"/>
        <c:scaling>
          <c:orientation val="minMax"/>
          <c:max val="56"/>
          <c:min val="44"/>
        </c:scaling>
        <c:delete val="0"/>
        <c:axPos val="l"/>
        <c:majorGridlines>
          <c:spPr>
            <a:ln w="9525" cap="flat" cmpd="sng" algn="ctr">
              <a:noFill/>
              <a:round/>
            </a:ln>
            <a:effectLst/>
          </c:spPr>
        </c:majorGridlines>
        <c:numFmt formatCode="General" sourceLinked="1"/>
        <c:majorTickMark val="out"/>
        <c:minorTickMark val="none"/>
        <c:tickLblPos val="nextTo"/>
        <c:spPr>
          <a:noFill/>
          <a:ln w="12700">
            <a:solidFill>
              <a:schemeClr val="tx1"/>
            </a:solidFill>
          </a:ln>
          <a:effectLst/>
        </c:spPr>
        <c:txPr>
          <a:bodyPr rot="-60000000" spcFirstLastPara="1" vertOverflow="ellipsis" vert="horz" wrap="square" anchor="ctr" anchorCtr="1"/>
          <a:lstStyle/>
          <a:p>
            <a:pPr>
              <a:defRPr lang="zh-CN" sz="800" b="0" i="0" u="none" strike="noStrike" kern="1200" baseline="0">
                <a:solidFill>
                  <a:sysClr val="windowText" lastClr="000000"/>
                </a:solidFill>
                <a:latin typeface="Cambria" panose="02040503050406030204" pitchFamily="18" charset="0"/>
                <a:ea typeface="+mn-ea"/>
                <a:cs typeface="+mn-cs"/>
              </a:defRPr>
            </a:pPr>
            <a:endParaRPr lang="zh-CN"/>
          </a:p>
        </c:txPr>
        <c:crossAx val="379079680"/>
        <c:crosses val="autoZero"/>
        <c:crossBetween val="between"/>
      </c:valAx>
      <c:spPr>
        <a:solidFill>
          <a:srgbClr val="FFFFFF"/>
        </a:solidFill>
        <a:ln>
          <a:noFill/>
        </a:ln>
        <a:effectLst/>
      </c:spPr>
    </c:plotArea>
    <c:legend>
      <c:legendPos val="r"/>
      <c:layout>
        <c:manualLayout>
          <c:xMode val="edge"/>
          <c:yMode val="edge"/>
          <c:x val="0.72257673611111095"/>
          <c:y val="0.55852051282051296"/>
          <c:w val="0.21953263888888899"/>
          <c:h val="0.13545486363514"/>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ysClr val="windowText" lastClr="000000"/>
              </a:solidFill>
              <a:latin typeface="Cambria" panose="02040503050406030204" pitchFamily="18" charset="0"/>
              <a:ea typeface="楷体" panose="02010609060101010101" pitchFamily="49" charset="-122"/>
              <a:cs typeface="+mn-cs"/>
            </a:defRPr>
          </a:pPr>
          <a:endParaRPr lang="zh-CN"/>
        </a:p>
      </c:txPr>
    </c:legend>
    <c:plotVisOnly val="1"/>
    <c:dispBlanksAs val="gap"/>
    <c:showDLblsOverMax val="0"/>
  </c:chart>
  <c:spPr>
    <a:solidFill>
      <a:srgbClr val="FFFFFF"/>
    </a:solidFill>
    <a:ln w="9525" cap="flat" cmpd="sng" algn="ctr">
      <a:solidFill>
        <a:schemeClr val="tx1">
          <a:lumMod val="15000"/>
          <a:lumOff val="85000"/>
        </a:schemeClr>
      </a:solidFill>
      <a:round/>
    </a:ln>
    <a:effectLst/>
  </c:spPr>
  <c:txPr>
    <a:bodyPr/>
    <a:lstStyle/>
    <a:p>
      <a:pPr>
        <a:defRPr lang="zh-CN"/>
      </a:pPr>
      <a:endParaRPr lang="zh-CN"/>
    </a:p>
  </c:txPr>
  <c:externalData r:id="rId2">
    <c:autoUpdate val="0"/>
  </c:externalData>
  <c:userShapes r:id="rId3"/>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4869573392878127"/>
          <c:y val="9.8938793557932683E-2"/>
          <c:w val="0.81906411698537684"/>
          <c:h val="0.63215453592380277"/>
        </c:manualLayout>
      </c:layout>
      <c:barChart>
        <c:barDir val="col"/>
        <c:grouping val="stacked"/>
        <c:varyColors val="0"/>
        <c:ser>
          <c:idx val="1"/>
          <c:order val="1"/>
          <c:tx>
            <c:strRef>
              <c:f>总体!$D$2</c:f>
              <c:strCache>
                <c:ptCount val="1"/>
                <c:pt idx="0">
                  <c:v>经常账户</c:v>
                </c:pt>
              </c:strCache>
            </c:strRef>
          </c:tx>
          <c:spPr>
            <a:solidFill>
              <a:srgbClr val="106D9C"/>
            </a:solidFill>
            <a:ln w="25400">
              <a:noFill/>
            </a:ln>
          </c:spPr>
          <c:invertIfNegative val="0"/>
          <c:cat>
            <c:strRef>
              <c:f>总体!$B$51:$B$63</c:f>
              <c:strCache>
                <c:ptCount val="13"/>
                <c:pt idx="0">
                  <c:v>Q1
2022</c:v>
                </c:pt>
                <c:pt idx="1">
                  <c:v>Q2</c:v>
                </c:pt>
                <c:pt idx="2">
                  <c:v>Q3</c:v>
                </c:pt>
                <c:pt idx="3">
                  <c:v>Q4</c:v>
                </c:pt>
                <c:pt idx="4">
                  <c:v>Q1
2023</c:v>
                </c:pt>
                <c:pt idx="5">
                  <c:v>Q2</c:v>
                </c:pt>
                <c:pt idx="6">
                  <c:v>Q3</c:v>
                </c:pt>
                <c:pt idx="7">
                  <c:v>Q4</c:v>
                </c:pt>
                <c:pt idx="8">
                  <c:v>Q1
2024</c:v>
                </c:pt>
                <c:pt idx="9">
                  <c:v>Q2</c:v>
                </c:pt>
                <c:pt idx="10">
                  <c:v>Q3</c:v>
                </c:pt>
                <c:pt idx="11">
                  <c:v>Q4</c:v>
                </c:pt>
                <c:pt idx="12">
                  <c:v>2025
M1&amp;2</c:v>
                </c:pt>
              </c:strCache>
            </c:strRef>
          </c:cat>
          <c:val>
            <c:numRef>
              <c:f>总体!$D$51:$D$63</c:f>
              <c:numCache>
                <c:formatCode>General</c:formatCode>
                <c:ptCount val="13"/>
                <c:pt idx="0">
                  <c:v>919.4749119999999</c:v>
                </c:pt>
                <c:pt idx="1">
                  <c:v>511.32083799999998</c:v>
                </c:pt>
                <c:pt idx="2" formatCode="0.0">
                  <c:v>532.56643399999996</c:v>
                </c:pt>
                <c:pt idx="3" formatCode="0.0">
                  <c:v>368.12634299999996</c:v>
                </c:pt>
                <c:pt idx="4" formatCode="0.0">
                  <c:v>502.67202400000002</c:v>
                </c:pt>
                <c:pt idx="5" formatCode="0.0">
                  <c:v>256.038771</c:v>
                </c:pt>
                <c:pt idx="6" formatCode="0">
                  <c:v>-117.693517</c:v>
                </c:pt>
                <c:pt idx="7" formatCode="0.0">
                  <c:v>113.862224</c:v>
                </c:pt>
                <c:pt idx="8" formatCode="0">
                  <c:v>168.654246</c:v>
                </c:pt>
                <c:pt idx="9" formatCode="0">
                  <c:v>-157.422358</c:v>
                </c:pt>
                <c:pt idx="10" formatCode="0">
                  <c:v>763.80048599999998</c:v>
                </c:pt>
                <c:pt idx="11" formatCode="0">
                  <c:v>1626.687533</c:v>
                </c:pt>
                <c:pt idx="12" formatCode="0">
                  <c:v>758.01298299999996</c:v>
                </c:pt>
              </c:numCache>
            </c:numRef>
          </c:val>
          <c:extLst xmlns:c16r2="http://schemas.microsoft.com/office/drawing/2015/06/chart">
            <c:ext xmlns:c16="http://schemas.microsoft.com/office/drawing/2014/chart" uri="{C3380CC4-5D6E-409C-BE32-E72D297353CC}">
              <c16:uniqueId val="{00000000-B18B-49C6-B8DD-EC0945825241}"/>
            </c:ext>
          </c:extLst>
        </c:ser>
        <c:ser>
          <c:idx val="2"/>
          <c:order val="2"/>
          <c:tx>
            <c:strRef>
              <c:f>总体!$E$2</c:f>
              <c:strCache>
                <c:ptCount val="1"/>
                <c:pt idx="0">
                  <c:v>金融账户</c:v>
                </c:pt>
              </c:strCache>
            </c:strRef>
          </c:tx>
          <c:spPr>
            <a:solidFill>
              <a:srgbClr val="74A3BA"/>
            </a:solidFill>
            <a:ln w="25400">
              <a:noFill/>
            </a:ln>
          </c:spPr>
          <c:invertIfNegative val="0"/>
          <c:cat>
            <c:strRef>
              <c:f>总体!$B$51:$B$63</c:f>
              <c:strCache>
                <c:ptCount val="13"/>
                <c:pt idx="0">
                  <c:v>Q1
2022</c:v>
                </c:pt>
                <c:pt idx="1">
                  <c:v>Q2</c:v>
                </c:pt>
                <c:pt idx="2">
                  <c:v>Q3</c:v>
                </c:pt>
                <c:pt idx="3">
                  <c:v>Q4</c:v>
                </c:pt>
                <c:pt idx="4">
                  <c:v>Q1
2023</c:v>
                </c:pt>
                <c:pt idx="5">
                  <c:v>Q2</c:v>
                </c:pt>
                <c:pt idx="6">
                  <c:v>Q3</c:v>
                </c:pt>
                <c:pt idx="7">
                  <c:v>Q4</c:v>
                </c:pt>
                <c:pt idx="8">
                  <c:v>Q1
2024</c:v>
                </c:pt>
                <c:pt idx="9">
                  <c:v>Q2</c:v>
                </c:pt>
                <c:pt idx="10">
                  <c:v>Q3</c:v>
                </c:pt>
                <c:pt idx="11">
                  <c:v>Q4</c:v>
                </c:pt>
                <c:pt idx="12">
                  <c:v>2025
M1&amp;2</c:v>
                </c:pt>
              </c:strCache>
            </c:strRef>
          </c:cat>
          <c:val>
            <c:numRef>
              <c:f>总体!$E$51:$E$63</c:f>
              <c:numCache>
                <c:formatCode>General</c:formatCode>
                <c:ptCount val="13"/>
                <c:pt idx="0">
                  <c:v>-365.51386600000001</c:v>
                </c:pt>
                <c:pt idx="1">
                  <c:v>-385.030914</c:v>
                </c:pt>
                <c:pt idx="2" formatCode="0.0">
                  <c:v>-703.72566900000004</c:v>
                </c:pt>
                <c:pt idx="3" formatCode="0.0">
                  <c:v>-434.61636099999998</c:v>
                </c:pt>
                <c:pt idx="4" formatCode="0.00">
                  <c:v>-191.68525700000004</c:v>
                </c:pt>
                <c:pt idx="5" formatCode="0.0">
                  <c:v>-176.04194800000002</c:v>
                </c:pt>
                <c:pt idx="6" formatCode="0">
                  <c:v>-1009.375076</c:v>
                </c:pt>
                <c:pt idx="7" formatCode="0.0">
                  <c:v>-200.84302700000001</c:v>
                </c:pt>
                <c:pt idx="8" formatCode="0">
                  <c:v>-166.203497</c:v>
                </c:pt>
                <c:pt idx="9" formatCode="0">
                  <c:v>-507.39556600000003</c:v>
                </c:pt>
                <c:pt idx="10" formatCode="0">
                  <c:v>-206.31568499999997</c:v>
                </c:pt>
                <c:pt idx="11" formatCode="0">
                  <c:v>-976.64870300000007</c:v>
                </c:pt>
                <c:pt idx="12" formatCode="0">
                  <c:v>-757.24174900000003</c:v>
                </c:pt>
              </c:numCache>
            </c:numRef>
          </c:val>
          <c:extLst xmlns:c16r2="http://schemas.microsoft.com/office/drawing/2015/06/chart">
            <c:ext xmlns:c16="http://schemas.microsoft.com/office/drawing/2014/chart" uri="{C3380CC4-5D6E-409C-BE32-E72D297353CC}">
              <c16:uniqueId val="{00000001-B18B-49C6-B8DD-EC0945825241}"/>
            </c:ext>
          </c:extLst>
        </c:ser>
        <c:dLbls>
          <c:showLegendKey val="0"/>
          <c:showVal val="0"/>
          <c:showCatName val="0"/>
          <c:showSerName val="0"/>
          <c:showPercent val="0"/>
          <c:showBubbleSize val="0"/>
        </c:dLbls>
        <c:gapWidth val="219"/>
        <c:overlap val="100"/>
        <c:axId val="379266176"/>
        <c:axId val="379267712"/>
      </c:barChart>
      <c:lineChart>
        <c:grouping val="standard"/>
        <c:varyColors val="0"/>
        <c:ser>
          <c:idx val="0"/>
          <c:order val="0"/>
          <c:tx>
            <c:strRef>
              <c:f>总体!$C$2</c:f>
              <c:strCache>
                <c:ptCount val="1"/>
                <c:pt idx="0">
                  <c:v>银行代客收付款差额</c:v>
                </c:pt>
              </c:strCache>
            </c:strRef>
          </c:tx>
          <c:spPr>
            <a:ln w="28575" cap="rnd" cmpd="sng" algn="ctr">
              <a:solidFill>
                <a:srgbClr val="D17F7D"/>
              </a:solidFill>
              <a:prstDash val="solid"/>
              <a:round/>
            </a:ln>
            <a:effectLst/>
          </c:spPr>
          <c:marker>
            <c:symbol val="none"/>
          </c:marker>
          <c:cat>
            <c:strRef>
              <c:f>总体!$B$51:$B$63</c:f>
              <c:strCache>
                <c:ptCount val="13"/>
                <c:pt idx="0">
                  <c:v>Q1
2022</c:v>
                </c:pt>
                <c:pt idx="1">
                  <c:v>Q2</c:v>
                </c:pt>
                <c:pt idx="2">
                  <c:v>Q3</c:v>
                </c:pt>
                <c:pt idx="3">
                  <c:v>Q4</c:v>
                </c:pt>
                <c:pt idx="4">
                  <c:v>Q1
2023</c:v>
                </c:pt>
                <c:pt idx="5">
                  <c:v>Q2</c:v>
                </c:pt>
                <c:pt idx="6">
                  <c:v>Q3</c:v>
                </c:pt>
                <c:pt idx="7">
                  <c:v>Q4</c:v>
                </c:pt>
                <c:pt idx="8">
                  <c:v>Q1
2024</c:v>
                </c:pt>
                <c:pt idx="9">
                  <c:v>Q2</c:v>
                </c:pt>
                <c:pt idx="10">
                  <c:v>Q3</c:v>
                </c:pt>
                <c:pt idx="11">
                  <c:v>Q4</c:v>
                </c:pt>
                <c:pt idx="12">
                  <c:v>2025
M1&amp;2</c:v>
                </c:pt>
              </c:strCache>
            </c:strRef>
          </c:cat>
          <c:val>
            <c:numRef>
              <c:f>总体!$C$51:$C$63</c:f>
              <c:numCache>
                <c:formatCode>General</c:formatCode>
                <c:ptCount val="13"/>
                <c:pt idx="0">
                  <c:v>622.41268600000001</c:v>
                </c:pt>
                <c:pt idx="1">
                  <c:v>211.32833099999999</c:v>
                </c:pt>
                <c:pt idx="2" formatCode="0.0">
                  <c:v>-120.03389199999999</c:v>
                </c:pt>
                <c:pt idx="3" formatCode="0.0">
                  <c:v>49.681732000000011</c:v>
                </c:pt>
                <c:pt idx="4" formatCode="0.0">
                  <c:v>342.39711899999998</c:v>
                </c:pt>
                <c:pt idx="5" formatCode="0.0">
                  <c:v>124.579504</c:v>
                </c:pt>
                <c:pt idx="6" formatCode="0">
                  <c:v>-1097.3929480000002</c:v>
                </c:pt>
                <c:pt idx="7" formatCode="0.0">
                  <c:v>-56.527501000000001</c:v>
                </c:pt>
                <c:pt idx="8" formatCode="0">
                  <c:v>30.978224000000012</c:v>
                </c:pt>
                <c:pt idx="9" formatCode="0">
                  <c:v>-619.28254300000003</c:v>
                </c:pt>
                <c:pt idx="10" formatCode="0">
                  <c:v>616.62231799999995</c:v>
                </c:pt>
                <c:pt idx="11" formatCode="0">
                  <c:v>690.37504100000001</c:v>
                </c:pt>
                <c:pt idx="12" formatCode="0">
                  <c:v>24.988681999999983</c:v>
                </c:pt>
              </c:numCache>
            </c:numRef>
          </c:val>
          <c:smooth val="0"/>
          <c:extLst xmlns:c16r2="http://schemas.microsoft.com/office/drawing/2015/06/chart">
            <c:ext xmlns:c16="http://schemas.microsoft.com/office/drawing/2014/chart" uri="{C3380CC4-5D6E-409C-BE32-E72D297353CC}">
              <c16:uniqueId val="{00000002-B18B-49C6-B8DD-EC0945825241}"/>
            </c:ext>
          </c:extLst>
        </c:ser>
        <c:dLbls>
          <c:showLegendKey val="0"/>
          <c:showVal val="0"/>
          <c:showCatName val="0"/>
          <c:showSerName val="0"/>
          <c:showPercent val="0"/>
          <c:showBubbleSize val="0"/>
        </c:dLbls>
        <c:marker val="1"/>
        <c:smooth val="0"/>
        <c:axId val="379266176"/>
        <c:axId val="379267712"/>
      </c:lineChart>
      <c:catAx>
        <c:axId val="379266176"/>
        <c:scaling>
          <c:orientation val="minMax"/>
        </c:scaling>
        <c:delete val="0"/>
        <c:axPos val="b"/>
        <c:numFmt formatCode="General" sourceLinked="1"/>
        <c:majorTickMark val="out"/>
        <c:minorTickMark val="none"/>
        <c:tickLblPos val="low"/>
        <c:spPr>
          <a:noFill/>
          <a:ln w="15875" cap="flat" cmpd="sng" algn="ctr">
            <a:solidFill>
              <a:schemeClr val="tx1"/>
            </a:solidFill>
            <a:prstDash val="solid"/>
            <a:round/>
          </a:ln>
          <a:effectLst/>
        </c:spPr>
        <c:txPr>
          <a:bodyPr rot="0" vert="horz"/>
          <a:lstStyle/>
          <a:p>
            <a:pPr>
              <a:defRPr/>
            </a:pPr>
            <a:endParaRPr lang="zh-CN"/>
          </a:p>
        </c:txPr>
        <c:crossAx val="379267712"/>
        <c:crosses val="autoZero"/>
        <c:auto val="1"/>
        <c:lblAlgn val="ctr"/>
        <c:lblOffset val="100"/>
        <c:tickLblSkip val="1"/>
        <c:tickMarkSkip val="1"/>
        <c:noMultiLvlLbl val="0"/>
      </c:catAx>
      <c:valAx>
        <c:axId val="379267712"/>
        <c:scaling>
          <c:orientation val="minMax"/>
        </c:scaling>
        <c:delete val="0"/>
        <c:axPos val="l"/>
        <c:title>
          <c:tx>
            <c:rich>
              <a:bodyPr rot="0" vert="eaVert"/>
              <a:lstStyle/>
              <a:p>
                <a:pPr>
                  <a:defRPr/>
                </a:pPr>
                <a:r>
                  <a:rPr lang="zh-CN" altLang="en-US"/>
                  <a:t>亿美元</a:t>
                </a:r>
              </a:p>
            </c:rich>
          </c:tx>
          <c:layout>
            <c:manualLayout>
              <c:xMode val="edge"/>
              <c:yMode val="edge"/>
              <c:x val="0"/>
              <c:y val="4.798897977925546E-3"/>
            </c:manualLayout>
          </c:layout>
          <c:overlay val="0"/>
        </c:title>
        <c:numFmt formatCode="General" sourceLinked="1"/>
        <c:majorTickMark val="out"/>
        <c:minorTickMark val="none"/>
        <c:tickLblPos val="nextTo"/>
        <c:spPr>
          <a:noFill/>
          <a:ln w="15875" cap="flat" cmpd="sng" algn="ctr">
            <a:solidFill>
              <a:schemeClr val="tx1"/>
            </a:solidFill>
            <a:prstDash val="solid"/>
            <a:round/>
          </a:ln>
          <a:effectLst/>
        </c:spPr>
        <c:txPr>
          <a:bodyPr rot="0" vert="horz"/>
          <a:lstStyle/>
          <a:p>
            <a:pPr>
              <a:defRPr/>
            </a:pPr>
            <a:endParaRPr lang="zh-CN"/>
          </a:p>
        </c:txPr>
        <c:crossAx val="379266176"/>
        <c:crosses val="autoZero"/>
        <c:crossBetween val="between"/>
      </c:valAx>
      <c:spPr>
        <a:noFill/>
        <a:ln w="25400">
          <a:noFill/>
        </a:ln>
      </c:spPr>
    </c:plotArea>
    <c:legend>
      <c:legendPos val="b"/>
      <c:layout>
        <c:manualLayout>
          <c:xMode val="edge"/>
          <c:yMode val="edge"/>
          <c:x val="5.8190856739922435E-2"/>
          <c:y val="2.2024491980995292E-2"/>
          <c:w val="0.93821336111976461"/>
          <c:h val="7.1104232921208821E-2"/>
        </c:manualLayout>
      </c:layout>
      <c:overlay val="0"/>
      <c:spPr>
        <a:noFill/>
        <a:ln w="25400">
          <a:noFill/>
        </a:ln>
      </c:spPr>
    </c:legend>
    <c:plotVisOnly val="1"/>
    <c:dispBlanksAs val="gap"/>
    <c:showDLblsOverMax val="0"/>
  </c:chart>
  <c:spPr>
    <a:solidFill>
      <a:schemeClr val="bg1"/>
    </a:solidFill>
    <a:ln w="9525" cap="flat" cmpd="sng" algn="ctr">
      <a:noFill/>
      <a:prstDash val="solid"/>
      <a:round/>
    </a:ln>
    <a:effectLst/>
  </c:spPr>
  <c:txPr>
    <a:bodyPr/>
    <a:lstStyle/>
    <a:p>
      <a:pPr>
        <a:defRPr sz="900" b="0" i="0" u="none" strike="noStrike" baseline="0">
          <a:solidFill>
            <a:srgbClr val="000000"/>
          </a:solidFill>
          <a:latin typeface="Cambria Math" panose="02040503050406030204" pitchFamily="18" charset="0"/>
          <a:ea typeface="楷体"/>
          <a:cs typeface="楷体"/>
        </a:defRPr>
      </a:pPr>
      <a:endParaRPr lang="zh-CN"/>
    </a:p>
  </c:txPr>
  <c:externalData r:id="rId2">
    <c:autoUpdate val="0"/>
  </c:externalData>
  <c:userShapes r:id="rId3"/>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5745748497414155"/>
          <c:y val="0.14870526663209016"/>
          <c:w val="0.80405611973362301"/>
          <c:h val="0.64270536915212839"/>
        </c:manualLayout>
      </c:layout>
      <c:barChart>
        <c:barDir val="col"/>
        <c:grouping val="stacked"/>
        <c:varyColors val="0"/>
        <c:ser>
          <c:idx val="1"/>
          <c:order val="1"/>
          <c:tx>
            <c:strRef>
              <c:f>经常项目!$D$2</c:f>
              <c:strCache>
                <c:ptCount val="1"/>
                <c:pt idx="0">
                  <c:v>货物贸易</c:v>
                </c:pt>
              </c:strCache>
            </c:strRef>
          </c:tx>
          <c:spPr>
            <a:solidFill>
              <a:srgbClr val="106D9C"/>
            </a:solidFill>
            <a:ln>
              <a:solidFill>
                <a:srgbClr val="106D9C"/>
              </a:solidFill>
            </a:ln>
            <a:effectLst/>
          </c:spPr>
          <c:invertIfNegative val="0"/>
          <c:cat>
            <c:strRef>
              <c:f>经常项目!$B$51:$B$63</c:f>
              <c:strCache>
                <c:ptCount val="13"/>
                <c:pt idx="0">
                  <c:v>Q1
2022</c:v>
                </c:pt>
                <c:pt idx="1">
                  <c:v>Q2</c:v>
                </c:pt>
                <c:pt idx="2">
                  <c:v>Q3</c:v>
                </c:pt>
                <c:pt idx="3">
                  <c:v>Q4</c:v>
                </c:pt>
                <c:pt idx="4">
                  <c:v>Q1
2023</c:v>
                </c:pt>
                <c:pt idx="5">
                  <c:v>Q2</c:v>
                </c:pt>
                <c:pt idx="6">
                  <c:v>Q3</c:v>
                </c:pt>
                <c:pt idx="7">
                  <c:v>Q4</c:v>
                </c:pt>
                <c:pt idx="8">
                  <c:v>Q1
2024</c:v>
                </c:pt>
                <c:pt idx="9">
                  <c:v>Q2</c:v>
                </c:pt>
                <c:pt idx="10">
                  <c:v>Q3</c:v>
                </c:pt>
                <c:pt idx="11">
                  <c:v>Q4</c:v>
                </c:pt>
                <c:pt idx="12">
                  <c:v>2025
M1&amp;2</c:v>
                </c:pt>
              </c:strCache>
            </c:strRef>
          </c:cat>
          <c:val>
            <c:numRef>
              <c:f>经常项目!$D$51:$D$63</c:f>
              <c:numCache>
                <c:formatCode>0.0</c:formatCode>
                <c:ptCount val="13"/>
                <c:pt idx="0">
                  <c:v>1261.8975840000001</c:v>
                </c:pt>
                <c:pt idx="1">
                  <c:v>1227.39598</c:v>
                </c:pt>
                <c:pt idx="2" formatCode="0">
                  <c:v>1292.9774609999999</c:v>
                </c:pt>
                <c:pt idx="3" formatCode="0">
                  <c:v>991.86849100000006</c:v>
                </c:pt>
                <c:pt idx="4" formatCode="0.00">
                  <c:v>999.89145200000007</c:v>
                </c:pt>
                <c:pt idx="5">
                  <c:v>1082.021651</c:v>
                </c:pt>
                <c:pt idx="6" formatCode="0">
                  <c:v>995.91265599999997</c:v>
                </c:pt>
                <c:pt idx="7">
                  <c:v>1004.8781839999999</c:v>
                </c:pt>
                <c:pt idx="8" formatCode="0">
                  <c:v>904.23949399999992</c:v>
                </c:pt>
                <c:pt idx="9" formatCode="0">
                  <c:v>1055.72072</c:v>
                </c:pt>
                <c:pt idx="10" formatCode="0">
                  <c:v>1918.8678799999998</c:v>
                </c:pt>
                <c:pt idx="11" formatCode="0">
                  <c:v>2446.3313000000003</c:v>
                </c:pt>
                <c:pt idx="12" formatCode="0">
                  <c:v>1302.52232</c:v>
                </c:pt>
              </c:numCache>
            </c:numRef>
          </c:val>
          <c:extLst xmlns:c16r2="http://schemas.microsoft.com/office/drawing/2015/06/chart">
            <c:ext xmlns:c16="http://schemas.microsoft.com/office/drawing/2014/chart" uri="{C3380CC4-5D6E-409C-BE32-E72D297353CC}">
              <c16:uniqueId val="{00000000-5A6E-478F-83A8-22A5130E4A8D}"/>
            </c:ext>
          </c:extLst>
        </c:ser>
        <c:ser>
          <c:idx val="2"/>
          <c:order val="2"/>
          <c:tx>
            <c:strRef>
              <c:f>经常项目!$E$2</c:f>
              <c:strCache>
                <c:ptCount val="1"/>
                <c:pt idx="0">
                  <c:v>服务</c:v>
                </c:pt>
              </c:strCache>
            </c:strRef>
          </c:tx>
          <c:spPr>
            <a:solidFill>
              <a:srgbClr val="74A3BA"/>
            </a:solidFill>
            <a:ln>
              <a:solidFill>
                <a:srgbClr val="74A3BA"/>
              </a:solidFill>
            </a:ln>
            <a:effectLst/>
          </c:spPr>
          <c:invertIfNegative val="0"/>
          <c:cat>
            <c:strRef>
              <c:f>经常项目!$B$51:$B$63</c:f>
              <c:strCache>
                <c:ptCount val="13"/>
                <c:pt idx="0">
                  <c:v>Q1
2022</c:v>
                </c:pt>
                <c:pt idx="1">
                  <c:v>Q2</c:v>
                </c:pt>
                <c:pt idx="2">
                  <c:v>Q3</c:v>
                </c:pt>
                <c:pt idx="3">
                  <c:v>Q4</c:v>
                </c:pt>
                <c:pt idx="4">
                  <c:v>Q1
2023</c:v>
                </c:pt>
                <c:pt idx="5">
                  <c:v>Q2</c:v>
                </c:pt>
                <c:pt idx="6">
                  <c:v>Q3</c:v>
                </c:pt>
                <c:pt idx="7">
                  <c:v>Q4</c:v>
                </c:pt>
                <c:pt idx="8">
                  <c:v>Q1
2024</c:v>
                </c:pt>
                <c:pt idx="9">
                  <c:v>Q2</c:v>
                </c:pt>
                <c:pt idx="10">
                  <c:v>Q3</c:v>
                </c:pt>
                <c:pt idx="11">
                  <c:v>Q4</c:v>
                </c:pt>
                <c:pt idx="12">
                  <c:v>2025
M1&amp;2</c:v>
                </c:pt>
              </c:strCache>
            </c:strRef>
          </c:cat>
          <c:val>
            <c:numRef>
              <c:f>经常项目!$E$51:$E$62</c:f>
              <c:numCache>
                <c:formatCode>0.0</c:formatCode>
                <c:ptCount val="12"/>
                <c:pt idx="0">
                  <c:v>-115.87209000000001</c:v>
                </c:pt>
                <c:pt idx="1">
                  <c:v>-100.607846</c:v>
                </c:pt>
                <c:pt idx="2" formatCode="0">
                  <c:v>-157.41036</c:v>
                </c:pt>
                <c:pt idx="3" formatCode="0">
                  <c:v>-73.990482</c:v>
                </c:pt>
                <c:pt idx="4" formatCode="0.00">
                  <c:v>-192.968142</c:v>
                </c:pt>
                <c:pt idx="5">
                  <c:v>-217.06253400000003</c:v>
                </c:pt>
                <c:pt idx="6" formatCode="0">
                  <c:v>-319.96130199999999</c:v>
                </c:pt>
                <c:pt idx="7">
                  <c:v>-307.69055000000003</c:v>
                </c:pt>
                <c:pt idx="8" formatCode="0">
                  <c:v>-329.82012600000002</c:v>
                </c:pt>
                <c:pt idx="9" formatCode="0">
                  <c:v>-412.09153499999996</c:v>
                </c:pt>
                <c:pt idx="10" formatCode="0">
                  <c:v>-441.87800899999996</c:v>
                </c:pt>
                <c:pt idx="11" formatCode="0">
                  <c:v>-319.62295300000005</c:v>
                </c:pt>
              </c:numCache>
            </c:numRef>
          </c:val>
          <c:extLst xmlns:c16r2="http://schemas.microsoft.com/office/drawing/2015/06/chart">
            <c:ext xmlns:c16="http://schemas.microsoft.com/office/drawing/2014/chart" uri="{C3380CC4-5D6E-409C-BE32-E72D297353CC}">
              <c16:uniqueId val="{00000001-5A6E-478F-83A8-22A5130E4A8D}"/>
            </c:ext>
          </c:extLst>
        </c:ser>
        <c:ser>
          <c:idx val="3"/>
          <c:order val="3"/>
          <c:tx>
            <c:strRef>
              <c:f>经常项目!$F$2</c:f>
              <c:strCache>
                <c:ptCount val="1"/>
                <c:pt idx="0">
                  <c:v>初次和二次收入</c:v>
                </c:pt>
              </c:strCache>
            </c:strRef>
          </c:tx>
          <c:spPr>
            <a:noFill/>
            <a:ln>
              <a:solidFill>
                <a:srgbClr val="106D9C"/>
              </a:solidFill>
            </a:ln>
            <a:effectLst/>
          </c:spPr>
          <c:invertIfNegative val="0"/>
          <c:cat>
            <c:strRef>
              <c:f>经常项目!$B$51:$B$63</c:f>
              <c:strCache>
                <c:ptCount val="13"/>
                <c:pt idx="0">
                  <c:v>Q1
2022</c:v>
                </c:pt>
                <c:pt idx="1">
                  <c:v>Q2</c:v>
                </c:pt>
                <c:pt idx="2">
                  <c:v>Q3</c:v>
                </c:pt>
                <c:pt idx="3">
                  <c:v>Q4</c:v>
                </c:pt>
                <c:pt idx="4">
                  <c:v>Q1
2023</c:v>
                </c:pt>
                <c:pt idx="5">
                  <c:v>Q2</c:v>
                </c:pt>
                <c:pt idx="6">
                  <c:v>Q3</c:v>
                </c:pt>
                <c:pt idx="7">
                  <c:v>Q4</c:v>
                </c:pt>
                <c:pt idx="8">
                  <c:v>Q1
2024</c:v>
                </c:pt>
                <c:pt idx="9">
                  <c:v>Q2</c:v>
                </c:pt>
                <c:pt idx="10">
                  <c:v>Q3</c:v>
                </c:pt>
                <c:pt idx="11">
                  <c:v>Q4</c:v>
                </c:pt>
                <c:pt idx="12">
                  <c:v>2025
M1&amp;2</c:v>
                </c:pt>
              </c:strCache>
            </c:strRef>
          </c:cat>
          <c:val>
            <c:numRef>
              <c:f>经常项目!$F$51:$F$63</c:f>
              <c:numCache>
                <c:formatCode>0.0</c:formatCode>
                <c:ptCount val="13"/>
                <c:pt idx="0">
                  <c:v>-226.55058299999999</c:v>
                </c:pt>
                <c:pt idx="1">
                  <c:v>-615.46729499999992</c:v>
                </c:pt>
                <c:pt idx="2" formatCode="0">
                  <c:v>-603.00066799999991</c:v>
                </c:pt>
                <c:pt idx="3" formatCode="0">
                  <c:v>-549.751666</c:v>
                </c:pt>
                <c:pt idx="4" formatCode="0.00">
                  <c:v>-304.25128599999999</c:v>
                </c:pt>
                <c:pt idx="5">
                  <c:v>-608.920345</c:v>
                </c:pt>
                <c:pt idx="6" formatCode="0">
                  <c:v>-793.64487000000008</c:v>
                </c:pt>
                <c:pt idx="7">
                  <c:v>-583.32540800000004</c:v>
                </c:pt>
                <c:pt idx="8" formatCode="0">
                  <c:v>-405.76512300000002</c:v>
                </c:pt>
                <c:pt idx="9" formatCode="0">
                  <c:v>-801.05154199999993</c:v>
                </c:pt>
                <c:pt idx="10" formatCode="0">
                  <c:v>-713.18938500000013</c:v>
                </c:pt>
                <c:pt idx="11" formatCode="0">
                  <c:v>-500.02081300000003</c:v>
                </c:pt>
                <c:pt idx="12" formatCode="0">
                  <c:v>-238.876251</c:v>
                </c:pt>
              </c:numCache>
            </c:numRef>
          </c:val>
          <c:extLst xmlns:c16r2="http://schemas.microsoft.com/office/drawing/2015/06/chart">
            <c:ext xmlns:c16="http://schemas.microsoft.com/office/drawing/2014/chart" uri="{C3380CC4-5D6E-409C-BE32-E72D297353CC}">
              <c16:uniqueId val="{00000002-5A6E-478F-83A8-22A5130E4A8D}"/>
            </c:ext>
          </c:extLst>
        </c:ser>
        <c:dLbls>
          <c:showLegendKey val="0"/>
          <c:showVal val="0"/>
          <c:showCatName val="0"/>
          <c:showSerName val="0"/>
          <c:showPercent val="0"/>
          <c:showBubbleSize val="0"/>
        </c:dLbls>
        <c:gapWidth val="219"/>
        <c:overlap val="100"/>
        <c:axId val="378834304"/>
        <c:axId val="378836096"/>
      </c:barChart>
      <c:lineChart>
        <c:grouping val="standard"/>
        <c:varyColors val="0"/>
        <c:ser>
          <c:idx val="0"/>
          <c:order val="0"/>
          <c:tx>
            <c:strRef>
              <c:f>经常项目!$C$2</c:f>
              <c:strCache>
                <c:ptCount val="1"/>
                <c:pt idx="0">
                  <c:v>经常账户</c:v>
                </c:pt>
              </c:strCache>
            </c:strRef>
          </c:tx>
          <c:spPr>
            <a:ln w="28575" cap="rnd" cmpd="sng" algn="ctr">
              <a:solidFill>
                <a:srgbClr val="D17F7D"/>
              </a:solidFill>
              <a:prstDash val="solid"/>
              <a:round/>
            </a:ln>
            <a:effectLst/>
          </c:spPr>
          <c:marker>
            <c:symbol val="none"/>
          </c:marker>
          <c:cat>
            <c:strRef>
              <c:f>经常项目!$B$51:$B$63</c:f>
              <c:strCache>
                <c:ptCount val="13"/>
                <c:pt idx="0">
                  <c:v>Q1
2022</c:v>
                </c:pt>
                <c:pt idx="1">
                  <c:v>Q2</c:v>
                </c:pt>
                <c:pt idx="2">
                  <c:v>Q3</c:v>
                </c:pt>
                <c:pt idx="3">
                  <c:v>Q4</c:v>
                </c:pt>
                <c:pt idx="4">
                  <c:v>Q1
2023</c:v>
                </c:pt>
                <c:pt idx="5">
                  <c:v>Q2</c:v>
                </c:pt>
                <c:pt idx="6">
                  <c:v>Q3</c:v>
                </c:pt>
                <c:pt idx="7">
                  <c:v>Q4</c:v>
                </c:pt>
                <c:pt idx="8">
                  <c:v>Q1
2024</c:v>
                </c:pt>
                <c:pt idx="9">
                  <c:v>Q2</c:v>
                </c:pt>
                <c:pt idx="10">
                  <c:v>Q3</c:v>
                </c:pt>
                <c:pt idx="11">
                  <c:v>Q4</c:v>
                </c:pt>
                <c:pt idx="12">
                  <c:v>2025
M1&amp;2</c:v>
                </c:pt>
              </c:strCache>
            </c:strRef>
          </c:cat>
          <c:val>
            <c:numRef>
              <c:f>经常项目!$C$51:$C$63</c:f>
              <c:numCache>
                <c:formatCode>0.0</c:formatCode>
                <c:ptCount val="13"/>
                <c:pt idx="0">
                  <c:v>919.4749119999999</c:v>
                </c:pt>
                <c:pt idx="1">
                  <c:v>511.32083799999998</c:v>
                </c:pt>
                <c:pt idx="2" formatCode="0">
                  <c:v>532.56643400000007</c:v>
                </c:pt>
                <c:pt idx="3" formatCode="0">
                  <c:v>368.12634299999996</c:v>
                </c:pt>
                <c:pt idx="4" formatCode="0.00">
                  <c:v>502.67202400000002</c:v>
                </c:pt>
                <c:pt idx="5">
                  <c:v>256.038771</c:v>
                </c:pt>
                <c:pt idx="6" formatCode="0">
                  <c:v>-117.693517</c:v>
                </c:pt>
                <c:pt idx="7">
                  <c:v>113.862224</c:v>
                </c:pt>
                <c:pt idx="8" formatCode="0">
                  <c:v>168.654246</c:v>
                </c:pt>
                <c:pt idx="9" formatCode="0">
                  <c:v>-157.422358</c:v>
                </c:pt>
                <c:pt idx="10" formatCode="0">
                  <c:v>763.80048599999998</c:v>
                </c:pt>
                <c:pt idx="11" formatCode="0">
                  <c:v>1626.687533</c:v>
                </c:pt>
                <c:pt idx="12" formatCode="0">
                  <c:v>758.01298299999996</c:v>
                </c:pt>
              </c:numCache>
            </c:numRef>
          </c:val>
          <c:smooth val="0"/>
          <c:extLst xmlns:c16r2="http://schemas.microsoft.com/office/drawing/2015/06/chart">
            <c:ext xmlns:c16="http://schemas.microsoft.com/office/drawing/2014/chart" uri="{C3380CC4-5D6E-409C-BE32-E72D297353CC}">
              <c16:uniqueId val="{00000003-5A6E-478F-83A8-22A5130E4A8D}"/>
            </c:ext>
          </c:extLst>
        </c:ser>
        <c:dLbls>
          <c:showLegendKey val="0"/>
          <c:showVal val="0"/>
          <c:showCatName val="0"/>
          <c:showSerName val="0"/>
          <c:showPercent val="0"/>
          <c:showBubbleSize val="0"/>
        </c:dLbls>
        <c:marker val="1"/>
        <c:smooth val="0"/>
        <c:axId val="378834304"/>
        <c:axId val="378836096"/>
      </c:lineChart>
      <c:catAx>
        <c:axId val="378834304"/>
        <c:scaling>
          <c:orientation val="minMax"/>
        </c:scaling>
        <c:delete val="0"/>
        <c:axPos val="b"/>
        <c:numFmt formatCode="General" sourceLinked="1"/>
        <c:majorTickMark val="out"/>
        <c:minorTickMark val="none"/>
        <c:tickLblPos val="low"/>
        <c:spPr>
          <a:noFill/>
          <a:ln w="15875" cap="flat" cmpd="sng" algn="ctr">
            <a:solidFill>
              <a:schemeClr val="tx1"/>
            </a:solidFill>
            <a:prstDash val="solid"/>
            <a:round/>
          </a:ln>
          <a:effectLst/>
        </c:spPr>
        <c:txPr>
          <a:bodyPr rot="0" vert="horz"/>
          <a:lstStyle/>
          <a:p>
            <a:pPr>
              <a:defRPr/>
            </a:pPr>
            <a:endParaRPr lang="zh-CN"/>
          </a:p>
        </c:txPr>
        <c:crossAx val="378836096"/>
        <c:crosses val="autoZero"/>
        <c:auto val="1"/>
        <c:lblAlgn val="ctr"/>
        <c:lblOffset val="100"/>
        <c:tickLblSkip val="1"/>
        <c:tickMarkSkip val="1"/>
        <c:noMultiLvlLbl val="0"/>
      </c:catAx>
      <c:valAx>
        <c:axId val="378836096"/>
        <c:scaling>
          <c:orientation val="minMax"/>
        </c:scaling>
        <c:delete val="0"/>
        <c:axPos val="l"/>
        <c:title>
          <c:tx>
            <c:rich>
              <a:bodyPr rot="0" vert="eaVert"/>
              <a:lstStyle/>
              <a:p>
                <a:pPr>
                  <a:defRPr/>
                </a:pPr>
                <a:r>
                  <a:rPr lang="zh-CN" altLang="en-US"/>
                  <a:t>亿美元</a:t>
                </a:r>
              </a:p>
            </c:rich>
          </c:tx>
          <c:layout>
            <c:manualLayout>
              <c:xMode val="edge"/>
              <c:yMode val="edge"/>
              <c:x val="0"/>
              <c:y val="1.6052311642862825E-2"/>
            </c:manualLayout>
          </c:layout>
          <c:overlay val="0"/>
        </c:title>
        <c:numFmt formatCode="0.0" sourceLinked="1"/>
        <c:majorTickMark val="out"/>
        <c:minorTickMark val="none"/>
        <c:tickLblPos val="nextTo"/>
        <c:spPr>
          <a:noFill/>
          <a:ln w="15875" cap="flat" cmpd="sng" algn="ctr">
            <a:solidFill>
              <a:schemeClr val="tx1"/>
            </a:solidFill>
            <a:prstDash val="solid"/>
            <a:round/>
          </a:ln>
          <a:effectLst/>
        </c:spPr>
        <c:txPr>
          <a:bodyPr rot="0" vert="horz"/>
          <a:lstStyle/>
          <a:p>
            <a:pPr>
              <a:defRPr/>
            </a:pPr>
            <a:endParaRPr lang="zh-CN"/>
          </a:p>
        </c:txPr>
        <c:crossAx val="378834304"/>
        <c:crosses val="autoZero"/>
        <c:crossBetween val="between"/>
      </c:valAx>
      <c:spPr>
        <a:noFill/>
        <a:ln w="25400">
          <a:noFill/>
        </a:ln>
      </c:spPr>
    </c:plotArea>
    <c:legend>
      <c:legendPos val="b"/>
      <c:layout>
        <c:manualLayout>
          <c:xMode val="edge"/>
          <c:yMode val="edge"/>
          <c:x val="0.11420118343195267"/>
          <c:y val="3.1100004714979489E-2"/>
          <c:w val="0.88402366863905324"/>
          <c:h val="0.10182296872333682"/>
        </c:manualLayout>
      </c:layout>
      <c:overlay val="0"/>
      <c:spPr>
        <a:noFill/>
        <a:ln w="25400">
          <a:noFill/>
        </a:ln>
      </c:spPr>
    </c:legend>
    <c:plotVisOnly val="1"/>
    <c:dispBlanksAs val="gap"/>
    <c:showDLblsOverMax val="0"/>
  </c:chart>
  <c:spPr>
    <a:solidFill>
      <a:schemeClr val="bg1"/>
    </a:solidFill>
    <a:ln w="9525" cap="flat" cmpd="sng" algn="ctr">
      <a:noFill/>
      <a:prstDash val="solid"/>
      <a:round/>
    </a:ln>
    <a:effectLst/>
  </c:spPr>
  <c:txPr>
    <a:bodyPr/>
    <a:lstStyle/>
    <a:p>
      <a:pPr>
        <a:defRPr sz="900" b="0" i="0" u="none" strike="noStrike" baseline="0">
          <a:solidFill>
            <a:srgbClr val="000000"/>
          </a:solidFill>
          <a:latin typeface="Cambria Math" panose="02040503050406030204" pitchFamily="18" charset="0"/>
          <a:ea typeface="楷体"/>
          <a:cs typeface="楷体"/>
        </a:defRPr>
      </a:pPr>
      <a:endParaRPr lang="zh-CN"/>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228520099624819"/>
          <c:y val="0.13668889980118748"/>
          <c:w val="0.79128794867943952"/>
          <c:h val="0.69151921182772091"/>
        </c:manualLayout>
      </c:layout>
      <c:barChart>
        <c:barDir val="col"/>
        <c:grouping val="stacked"/>
        <c:varyColors val="0"/>
        <c:ser>
          <c:idx val="1"/>
          <c:order val="1"/>
          <c:tx>
            <c:strRef>
              <c:f>资本金融项目!$D$2</c:f>
              <c:strCache>
                <c:ptCount val="1"/>
                <c:pt idx="0">
                  <c:v>直接投资</c:v>
                </c:pt>
              </c:strCache>
            </c:strRef>
          </c:tx>
          <c:spPr>
            <a:solidFill>
              <a:srgbClr val="106D9C"/>
            </a:solidFill>
            <a:ln>
              <a:solidFill>
                <a:srgbClr val="106D9C"/>
              </a:solidFill>
            </a:ln>
            <a:effectLst/>
          </c:spPr>
          <c:invertIfNegative val="0"/>
          <c:cat>
            <c:strRef>
              <c:f>资本金融项目!$B$51:$B$63</c:f>
              <c:strCache>
                <c:ptCount val="13"/>
                <c:pt idx="0">
                  <c:v>Q1
2022</c:v>
                </c:pt>
                <c:pt idx="1">
                  <c:v>Q2</c:v>
                </c:pt>
                <c:pt idx="2">
                  <c:v>Q3</c:v>
                </c:pt>
                <c:pt idx="3">
                  <c:v>Q4</c:v>
                </c:pt>
                <c:pt idx="4">
                  <c:v>Q1
2023</c:v>
                </c:pt>
                <c:pt idx="5">
                  <c:v>Q2</c:v>
                </c:pt>
                <c:pt idx="6">
                  <c:v>Q3</c:v>
                </c:pt>
                <c:pt idx="7">
                  <c:v>Q4</c:v>
                </c:pt>
                <c:pt idx="8">
                  <c:v>Q1
2024</c:v>
                </c:pt>
                <c:pt idx="9">
                  <c:v>Q2</c:v>
                </c:pt>
                <c:pt idx="10">
                  <c:v>Q3</c:v>
                </c:pt>
                <c:pt idx="11">
                  <c:v>Q4</c:v>
                </c:pt>
                <c:pt idx="12">
                  <c:v>2025
M1&amp;2</c:v>
                </c:pt>
              </c:strCache>
            </c:strRef>
          </c:cat>
          <c:val>
            <c:numRef>
              <c:f>资本金融项目!$D$51:$D$63</c:f>
              <c:numCache>
                <c:formatCode>0.0</c:formatCode>
                <c:ptCount val="13"/>
                <c:pt idx="0">
                  <c:v>307.09606200000002</c:v>
                </c:pt>
                <c:pt idx="1">
                  <c:v>214.18542200000002</c:v>
                </c:pt>
                <c:pt idx="2">
                  <c:v>-106.087552</c:v>
                </c:pt>
                <c:pt idx="3" formatCode="0.00">
                  <c:v>-84.325605999999993</c:v>
                </c:pt>
                <c:pt idx="4" formatCode="0.00">
                  <c:v>-241.25576000000001</c:v>
                </c:pt>
                <c:pt idx="5">
                  <c:v>-186.134288</c:v>
                </c:pt>
                <c:pt idx="6" formatCode="0">
                  <c:v>-464.89404999999999</c:v>
                </c:pt>
                <c:pt idx="7">
                  <c:v>-292.66546299999999</c:v>
                </c:pt>
                <c:pt idx="8" formatCode="0">
                  <c:v>-278.834564</c:v>
                </c:pt>
                <c:pt idx="9" formatCode="0">
                  <c:v>-533.62023199999999</c:v>
                </c:pt>
                <c:pt idx="10" formatCode="0">
                  <c:v>-255.335105</c:v>
                </c:pt>
                <c:pt idx="11" formatCode="0">
                  <c:v>-227.35800599999999</c:v>
                </c:pt>
                <c:pt idx="12" formatCode="0">
                  <c:v>-418.22531900000001</c:v>
                </c:pt>
              </c:numCache>
            </c:numRef>
          </c:val>
          <c:extLst xmlns:c16r2="http://schemas.microsoft.com/office/drawing/2015/06/chart">
            <c:ext xmlns:c16="http://schemas.microsoft.com/office/drawing/2014/chart" uri="{C3380CC4-5D6E-409C-BE32-E72D297353CC}">
              <c16:uniqueId val="{00000000-034E-4D7B-9C9D-522BF5742200}"/>
            </c:ext>
          </c:extLst>
        </c:ser>
        <c:ser>
          <c:idx val="2"/>
          <c:order val="2"/>
          <c:tx>
            <c:strRef>
              <c:f>资本金融项目!$E$2</c:f>
              <c:strCache>
                <c:ptCount val="1"/>
                <c:pt idx="0">
                  <c:v>证券投资</c:v>
                </c:pt>
              </c:strCache>
            </c:strRef>
          </c:tx>
          <c:spPr>
            <a:solidFill>
              <a:srgbClr val="74A3BA"/>
            </a:solidFill>
            <a:ln>
              <a:solidFill>
                <a:srgbClr val="74A3BA"/>
              </a:solidFill>
            </a:ln>
            <a:effectLst/>
          </c:spPr>
          <c:invertIfNegative val="0"/>
          <c:cat>
            <c:strRef>
              <c:f>资本金融项目!$B$51:$B$63</c:f>
              <c:strCache>
                <c:ptCount val="13"/>
                <c:pt idx="0">
                  <c:v>Q1
2022</c:v>
                </c:pt>
                <c:pt idx="1">
                  <c:v>Q2</c:v>
                </c:pt>
                <c:pt idx="2">
                  <c:v>Q3</c:v>
                </c:pt>
                <c:pt idx="3">
                  <c:v>Q4</c:v>
                </c:pt>
                <c:pt idx="4">
                  <c:v>Q1
2023</c:v>
                </c:pt>
                <c:pt idx="5">
                  <c:v>Q2</c:v>
                </c:pt>
                <c:pt idx="6">
                  <c:v>Q3</c:v>
                </c:pt>
                <c:pt idx="7">
                  <c:v>Q4</c:v>
                </c:pt>
                <c:pt idx="8">
                  <c:v>Q1
2024</c:v>
                </c:pt>
                <c:pt idx="9">
                  <c:v>Q2</c:v>
                </c:pt>
                <c:pt idx="10">
                  <c:v>Q3</c:v>
                </c:pt>
                <c:pt idx="11">
                  <c:v>Q4</c:v>
                </c:pt>
                <c:pt idx="12">
                  <c:v>2025
M1&amp;2</c:v>
                </c:pt>
              </c:strCache>
            </c:strRef>
          </c:cat>
          <c:val>
            <c:numRef>
              <c:f>资本金融项目!$E$51:$E$63</c:f>
              <c:numCache>
                <c:formatCode>0.0</c:formatCode>
                <c:ptCount val="13"/>
                <c:pt idx="0">
                  <c:v>-665.06942200000003</c:v>
                </c:pt>
                <c:pt idx="1">
                  <c:v>-519.65881300000001</c:v>
                </c:pt>
                <c:pt idx="2">
                  <c:v>-500.43541099999999</c:v>
                </c:pt>
                <c:pt idx="3" formatCode="0.00">
                  <c:v>-233.29360500000004</c:v>
                </c:pt>
                <c:pt idx="4" formatCode="0.00">
                  <c:v>45.542700000000011</c:v>
                </c:pt>
                <c:pt idx="5">
                  <c:v>78.42240000000001</c:v>
                </c:pt>
                <c:pt idx="6" formatCode="0">
                  <c:v>-446.111132</c:v>
                </c:pt>
                <c:pt idx="7">
                  <c:v>149.708035</c:v>
                </c:pt>
                <c:pt idx="8" formatCode="0">
                  <c:v>109.539531</c:v>
                </c:pt>
                <c:pt idx="9" formatCode="0">
                  <c:v>53.971327000000002</c:v>
                </c:pt>
                <c:pt idx="10" formatCode="0">
                  <c:v>79.588891000000004</c:v>
                </c:pt>
                <c:pt idx="11" formatCode="0">
                  <c:v>-764.23909200000003</c:v>
                </c:pt>
                <c:pt idx="12" formatCode="0">
                  <c:v>-347.85742899999997</c:v>
                </c:pt>
              </c:numCache>
            </c:numRef>
          </c:val>
          <c:extLst xmlns:c16r2="http://schemas.microsoft.com/office/drawing/2015/06/chart">
            <c:ext xmlns:c16="http://schemas.microsoft.com/office/drawing/2014/chart" uri="{C3380CC4-5D6E-409C-BE32-E72D297353CC}">
              <c16:uniqueId val="{00000001-034E-4D7B-9C9D-522BF5742200}"/>
            </c:ext>
          </c:extLst>
        </c:ser>
        <c:ser>
          <c:idx val="3"/>
          <c:order val="3"/>
          <c:tx>
            <c:strRef>
              <c:f>资本金融项目!$F$2</c:f>
              <c:strCache>
                <c:ptCount val="1"/>
                <c:pt idx="0">
                  <c:v>其他投资</c:v>
                </c:pt>
              </c:strCache>
            </c:strRef>
          </c:tx>
          <c:spPr>
            <a:noFill/>
            <a:ln>
              <a:solidFill>
                <a:srgbClr val="106D9C"/>
              </a:solidFill>
            </a:ln>
            <a:effectLst/>
          </c:spPr>
          <c:invertIfNegative val="0"/>
          <c:cat>
            <c:strRef>
              <c:f>资本金融项目!$B$51:$B$63</c:f>
              <c:strCache>
                <c:ptCount val="13"/>
                <c:pt idx="0">
                  <c:v>Q1
2022</c:v>
                </c:pt>
                <c:pt idx="1">
                  <c:v>Q2</c:v>
                </c:pt>
                <c:pt idx="2">
                  <c:v>Q3</c:v>
                </c:pt>
                <c:pt idx="3">
                  <c:v>Q4</c:v>
                </c:pt>
                <c:pt idx="4">
                  <c:v>Q1
2023</c:v>
                </c:pt>
                <c:pt idx="5">
                  <c:v>Q2</c:v>
                </c:pt>
                <c:pt idx="6">
                  <c:v>Q3</c:v>
                </c:pt>
                <c:pt idx="7">
                  <c:v>Q4</c:v>
                </c:pt>
                <c:pt idx="8">
                  <c:v>Q1
2024</c:v>
                </c:pt>
                <c:pt idx="9">
                  <c:v>Q2</c:v>
                </c:pt>
                <c:pt idx="10">
                  <c:v>Q3</c:v>
                </c:pt>
                <c:pt idx="11">
                  <c:v>Q4</c:v>
                </c:pt>
                <c:pt idx="12">
                  <c:v>2025
M1&amp;2</c:v>
                </c:pt>
              </c:strCache>
            </c:strRef>
          </c:cat>
          <c:val>
            <c:numRef>
              <c:f>资本金融项目!$F$51:$F$62</c:f>
              <c:numCache>
                <c:formatCode>0.0</c:formatCode>
                <c:ptCount val="12"/>
                <c:pt idx="0">
                  <c:v>-5.0180910000000001</c:v>
                </c:pt>
                <c:pt idx="1">
                  <c:v>-79.750453999999991</c:v>
                </c:pt>
                <c:pt idx="2">
                  <c:v>-96.575205999999994</c:v>
                </c:pt>
                <c:pt idx="3" formatCode="0.00">
                  <c:v>-116.89100400000001</c:v>
                </c:pt>
                <c:pt idx="4" formatCode="0.00">
                  <c:v>3.9911499999999998</c:v>
                </c:pt>
                <c:pt idx="5">
                  <c:v>-67.485011</c:v>
                </c:pt>
                <c:pt idx="6" formatCode="0">
                  <c:v>-96.907237000000009</c:v>
                </c:pt>
                <c:pt idx="7">
                  <c:v>-57.159711999999999</c:v>
                </c:pt>
                <c:pt idx="8" formatCode="0">
                  <c:v>3.3444580000000004</c:v>
                </c:pt>
                <c:pt idx="9" formatCode="0">
                  <c:v>-26.784181</c:v>
                </c:pt>
                <c:pt idx="10" formatCode="0">
                  <c:v>-30.561851000000001</c:v>
                </c:pt>
                <c:pt idx="11" formatCode="0">
                  <c:v>15.035864</c:v>
                </c:pt>
              </c:numCache>
            </c:numRef>
          </c:val>
          <c:extLst xmlns:c16r2="http://schemas.microsoft.com/office/drawing/2015/06/chart">
            <c:ext xmlns:c16="http://schemas.microsoft.com/office/drawing/2014/chart" uri="{C3380CC4-5D6E-409C-BE32-E72D297353CC}">
              <c16:uniqueId val="{00000002-034E-4D7B-9C9D-522BF5742200}"/>
            </c:ext>
          </c:extLst>
        </c:ser>
        <c:dLbls>
          <c:showLegendKey val="0"/>
          <c:showVal val="0"/>
          <c:showCatName val="0"/>
          <c:showSerName val="0"/>
          <c:showPercent val="0"/>
          <c:showBubbleSize val="0"/>
        </c:dLbls>
        <c:gapWidth val="219"/>
        <c:overlap val="100"/>
        <c:axId val="379614720"/>
        <c:axId val="379616256"/>
      </c:barChart>
      <c:lineChart>
        <c:grouping val="standard"/>
        <c:varyColors val="0"/>
        <c:ser>
          <c:idx val="0"/>
          <c:order val="0"/>
          <c:tx>
            <c:strRef>
              <c:f>资本金融项目!$C$2</c:f>
              <c:strCache>
                <c:ptCount val="1"/>
                <c:pt idx="0">
                  <c:v>金融账户</c:v>
                </c:pt>
              </c:strCache>
            </c:strRef>
          </c:tx>
          <c:spPr>
            <a:ln w="28575" cap="rnd" cmpd="sng" algn="ctr">
              <a:solidFill>
                <a:srgbClr val="D17F7D"/>
              </a:solidFill>
              <a:prstDash val="solid"/>
              <a:round/>
            </a:ln>
            <a:effectLst/>
          </c:spPr>
          <c:marker>
            <c:symbol val="none"/>
          </c:marker>
          <c:cat>
            <c:strRef>
              <c:f>资本金融项目!$B$51:$B$63</c:f>
              <c:strCache>
                <c:ptCount val="13"/>
                <c:pt idx="0">
                  <c:v>Q1
2022</c:v>
                </c:pt>
                <c:pt idx="1">
                  <c:v>Q2</c:v>
                </c:pt>
                <c:pt idx="2">
                  <c:v>Q3</c:v>
                </c:pt>
                <c:pt idx="3">
                  <c:v>Q4</c:v>
                </c:pt>
                <c:pt idx="4">
                  <c:v>Q1
2023</c:v>
                </c:pt>
                <c:pt idx="5">
                  <c:v>Q2</c:v>
                </c:pt>
                <c:pt idx="6">
                  <c:v>Q3</c:v>
                </c:pt>
                <c:pt idx="7">
                  <c:v>Q4</c:v>
                </c:pt>
                <c:pt idx="8">
                  <c:v>Q1
2024</c:v>
                </c:pt>
                <c:pt idx="9">
                  <c:v>Q2</c:v>
                </c:pt>
                <c:pt idx="10">
                  <c:v>Q3</c:v>
                </c:pt>
                <c:pt idx="11">
                  <c:v>Q4</c:v>
                </c:pt>
                <c:pt idx="12">
                  <c:v>2025
M1&amp;2</c:v>
                </c:pt>
              </c:strCache>
            </c:strRef>
          </c:cat>
          <c:val>
            <c:numRef>
              <c:f>资本金融项目!$C$51:$C$63</c:f>
              <c:numCache>
                <c:formatCode>0.0</c:formatCode>
                <c:ptCount val="13"/>
                <c:pt idx="0">
                  <c:v>-365.51386600000001</c:v>
                </c:pt>
                <c:pt idx="1">
                  <c:v>-385.030914</c:v>
                </c:pt>
                <c:pt idx="2">
                  <c:v>-703.72566900000004</c:v>
                </c:pt>
                <c:pt idx="3" formatCode="0.00">
                  <c:v>-434.61636099999998</c:v>
                </c:pt>
                <c:pt idx="4" formatCode="0.00">
                  <c:v>-191.68525700000004</c:v>
                </c:pt>
                <c:pt idx="5">
                  <c:v>-176.04194800000002</c:v>
                </c:pt>
                <c:pt idx="6" formatCode="0">
                  <c:v>-1009.375076</c:v>
                </c:pt>
                <c:pt idx="7">
                  <c:v>-200.84302700000001</c:v>
                </c:pt>
                <c:pt idx="8" formatCode="0">
                  <c:v>-166.203497</c:v>
                </c:pt>
                <c:pt idx="9" formatCode="0">
                  <c:v>-507.39556600000003</c:v>
                </c:pt>
                <c:pt idx="10" formatCode="0">
                  <c:v>-206.31568499999997</c:v>
                </c:pt>
                <c:pt idx="11" formatCode="0">
                  <c:v>-976.64870300000007</c:v>
                </c:pt>
                <c:pt idx="12" formatCode="0">
                  <c:v>-757.24174900000003</c:v>
                </c:pt>
              </c:numCache>
            </c:numRef>
          </c:val>
          <c:smooth val="0"/>
          <c:extLst xmlns:c16r2="http://schemas.microsoft.com/office/drawing/2015/06/chart">
            <c:ext xmlns:c16="http://schemas.microsoft.com/office/drawing/2014/chart" uri="{C3380CC4-5D6E-409C-BE32-E72D297353CC}">
              <c16:uniqueId val="{00000003-034E-4D7B-9C9D-522BF5742200}"/>
            </c:ext>
          </c:extLst>
        </c:ser>
        <c:dLbls>
          <c:showLegendKey val="0"/>
          <c:showVal val="0"/>
          <c:showCatName val="0"/>
          <c:showSerName val="0"/>
          <c:showPercent val="0"/>
          <c:showBubbleSize val="0"/>
        </c:dLbls>
        <c:marker val="1"/>
        <c:smooth val="0"/>
        <c:axId val="379614720"/>
        <c:axId val="379616256"/>
      </c:lineChart>
      <c:catAx>
        <c:axId val="379614720"/>
        <c:scaling>
          <c:orientation val="minMax"/>
        </c:scaling>
        <c:delete val="0"/>
        <c:axPos val="b"/>
        <c:numFmt formatCode="General" sourceLinked="1"/>
        <c:majorTickMark val="out"/>
        <c:minorTickMark val="none"/>
        <c:tickLblPos val="low"/>
        <c:spPr>
          <a:noFill/>
          <a:ln w="15875" cap="flat" cmpd="sng" algn="ctr">
            <a:solidFill>
              <a:schemeClr val="tx1"/>
            </a:solidFill>
            <a:prstDash val="solid"/>
            <a:round/>
          </a:ln>
          <a:effectLst/>
        </c:spPr>
        <c:txPr>
          <a:bodyPr rot="0" vert="horz"/>
          <a:lstStyle/>
          <a:p>
            <a:pPr>
              <a:defRPr/>
            </a:pPr>
            <a:endParaRPr lang="zh-CN"/>
          </a:p>
        </c:txPr>
        <c:crossAx val="379616256"/>
        <c:crosses val="autoZero"/>
        <c:auto val="1"/>
        <c:lblAlgn val="ctr"/>
        <c:lblOffset val="100"/>
        <c:tickLblSkip val="1"/>
        <c:tickMarkSkip val="1"/>
        <c:noMultiLvlLbl val="0"/>
      </c:catAx>
      <c:valAx>
        <c:axId val="379616256"/>
        <c:scaling>
          <c:orientation val="minMax"/>
        </c:scaling>
        <c:delete val="0"/>
        <c:axPos val="l"/>
        <c:title>
          <c:tx>
            <c:rich>
              <a:bodyPr rot="0" vert="eaVert"/>
              <a:lstStyle/>
              <a:p>
                <a:pPr>
                  <a:defRPr/>
                </a:pPr>
                <a:r>
                  <a:rPr lang="zh-CN" altLang="en-US"/>
                  <a:t>亿美元</a:t>
                </a:r>
              </a:p>
            </c:rich>
          </c:tx>
          <c:layout>
            <c:manualLayout>
              <c:xMode val="edge"/>
              <c:yMode val="edge"/>
              <c:x val="2.6426540973035813E-3"/>
              <c:y val="1.7400177048874806E-2"/>
            </c:manualLayout>
          </c:layout>
          <c:overlay val="0"/>
        </c:title>
        <c:numFmt formatCode="0.0" sourceLinked="1"/>
        <c:majorTickMark val="out"/>
        <c:minorTickMark val="none"/>
        <c:tickLblPos val="nextTo"/>
        <c:spPr>
          <a:noFill/>
          <a:ln w="15875" cap="flat" cmpd="sng" algn="ctr">
            <a:solidFill>
              <a:schemeClr val="tx1"/>
            </a:solidFill>
            <a:prstDash val="solid"/>
            <a:round/>
          </a:ln>
          <a:effectLst/>
        </c:spPr>
        <c:txPr>
          <a:bodyPr rot="0" vert="horz"/>
          <a:lstStyle/>
          <a:p>
            <a:pPr>
              <a:defRPr/>
            </a:pPr>
            <a:endParaRPr lang="zh-CN"/>
          </a:p>
        </c:txPr>
        <c:crossAx val="379614720"/>
        <c:crosses val="autoZero"/>
        <c:crossBetween val="between"/>
      </c:valAx>
      <c:spPr>
        <a:noFill/>
        <a:ln w="25400">
          <a:noFill/>
        </a:ln>
      </c:spPr>
    </c:plotArea>
    <c:legend>
      <c:legendPos val="b"/>
      <c:layout>
        <c:manualLayout>
          <c:xMode val="edge"/>
          <c:yMode val="edge"/>
          <c:x val="0.15135317213413718"/>
          <c:y val="2.2053301029678982E-2"/>
          <c:w val="0.66645476195584541"/>
          <c:h val="0.10328891580860085"/>
        </c:manualLayout>
      </c:layout>
      <c:overlay val="0"/>
      <c:spPr>
        <a:noFill/>
        <a:ln w="3175">
          <a:noFill/>
        </a:ln>
      </c:spPr>
    </c:legend>
    <c:plotVisOnly val="1"/>
    <c:dispBlanksAs val="gap"/>
    <c:showDLblsOverMax val="0"/>
  </c:chart>
  <c:spPr>
    <a:solidFill>
      <a:schemeClr val="bg1"/>
    </a:solidFill>
    <a:ln w="9525" cap="flat" cmpd="sng" algn="ctr">
      <a:noFill/>
      <a:prstDash val="solid"/>
      <a:round/>
    </a:ln>
    <a:effectLst/>
  </c:spPr>
  <c:txPr>
    <a:bodyPr/>
    <a:lstStyle/>
    <a:p>
      <a:pPr>
        <a:defRPr sz="900" b="0" i="0" u="none" strike="noStrike" baseline="0">
          <a:solidFill>
            <a:srgbClr val="000000"/>
          </a:solidFill>
          <a:latin typeface="Cambria Math" panose="02040503050406030204" pitchFamily="18" charset="0"/>
          <a:ea typeface="楷体"/>
          <a:cs typeface="楷体"/>
        </a:defRPr>
      </a:pPr>
      <a:endParaRPr lang="zh-CN"/>
    </a:p>
  </c:txPr>
  <c:externalData r:id="rId2">
    <c:autoUpdate val="0"/>
  </c:externalData>
  <c:userShapes r:id="rId3"/>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06473410330699"/>
          <c:y val="6.0065926744464399E-2"/>
          <c:w val="0.85193455973328003"/>
          <c:h val="0.87986814651107104"/>
        </c:manualLayout>
      </c:layout>
      <c:lineChart>
        <c:grouping val="standard"/>
        <c:varyColors val="0"/>
        <c:ser>
          <c:idx val="0"/>
          <c:order val="0"/>
          <c:tx>
            <c:strRef>
              <c:f>'3大现货价格'!$L$3996</c:f>
              <c:strCache>
                <c:ptCount val="1"/>
                <c:pt idx="0">
                  <c:v>布伦特原油</c:v>
                </c:pt>
              </c:strCache>
            </c:strRef>
          </c:tx>
          <c:spPr>
            <a:ln w="19050" cap="rnd" cmpd="sng" algn="ctr">
              <a:solidFill>
                <a:srgbClr val="106D9C"/>
              </a:solidFill>
              <a:prstDash val="solid"/>
              <a:round/>
            </a:ln>
          </c:spPr>
          <c:marker>
            <c:symbol val="none"/>
          </c:marker>
          <c:cat>
            <c:strRef>
              <c:f>'3大现货价格'!$H$3000:$H$5562</c:f>
              <c:strCache>
                <c:ptCount val="2182"/>
                <c:pt idx="0">
                  <c:v>4月
2018</c:v>
                </c:pt>
                <c:pt idx="1">
                  <c:v>4月
2018</c:v>
                </c:pt>
                <c:pt idx="2">
                  <c:v>4月
2018</c:v>
                </c:pt>
                <c:pt idx="3">
                  <c:v>4月
2018</c:v>
                </c:pt>
                <c:pt idx="4">
                  <c:v>4月
2018</c:v>
                </c:pt>
                <c:pt idx="5">
                  <c:v>4月
2018</c:v>
                </c:pt>
                <c:pt idx="6">
                  <c:v>4月
2018</c:v>
                </c:pt>
                <c:pt idx="7">
                  <c:v>4月
2018</c:v>
                </c:pt>
                <c:pt idx="8">
                  <c:v>4月
2018</c:v>
                </c:pt>
                <c:pt idx="9">
                  <c:v>4月
2018</c:v>
                </c:pt>
                <c:pt idx="10">
                  <c:v>4月
2018</c:v>
                </c:pt>
                <c:pt idx="11">
                  <c:v>4月
2018</c:v>
                </c:pt>
                <c:pt idx="12">
                  <c:v>4月
2018</c:v>
                </c:pt>
                <c:pt idx="13">
                  <c:v>4月
2018</c:v>
                </c:pt>
                <c:pt idx="14">
                  <c:v>4月
2018</c:v>
                </c:pt>
                <c:pt idx="15">
                  <c:v>4月
2018</c:v>
                </c:pt>
                <c:pt idx="16">
                  <c:v>4月
2018</c:v>
                </c:pt>
                <c:pt idx="17">
                  <c:v>4月
2018</c:v>
                </c:pt>
                <c:pt idx="18">
                  <c:v>4月
2018</c:v>
                </c:pt>
                <c:pt idx="19">
                  <c:v>4月
2018</c:v>
                </c:pt>
                <c:pt idx="20">
                  <c:v>5月</c:v>
                </c:pt>
                <c:pt idx="21">
                  <c:v>5月</c:v>
                </c:pt>
                <c:pt idx="22">
                  <c:v>5月</c:v>
                </c:pt>
                <c:pt idx="23">
                  <c:v>5月</c:v>
                </c:pt>
                <c:pt idx="24">
                  <c:v>5月</c:v>
                </c:pt>
                <c:pt idx="25">
                  <c:v>5月</c:v>
                </c:pt>
                <c:pt idx="26">
                  <c:v>5月</c:v>
                </c:pt>
                <c:pt idx="27">
                  <c:v>5月</c:v>
                </c:pt>
                <c:pt idx="28">
                  <c:v>5月</c:v>
                </c:pt>
                <c:pt idx="29">
                  <c:v>5月</c:v>
                </c:pt>
                <c:pt idx="30">
                  <c:v>5月</c:v>
                </c:pt>
                <c:pt idx="31">
                  <c:v>5月</c:v>
                </c:pt>
                <c:pt idx="32">
                  <c:v>5月</c:v>
                </c:pt>
                <c:pt idx="33">
                  <c:v>5月</c:v>
                </c:pt>
                <c:pt idx="34">
                  <c:v>5月</c:v>
                </c:pt>
                <c:pt idx="35">
                  <c:v>5月</c:v>
                </c:pt>
                <c:pt idx="36">
                  <c:v>5月</c:v>
                </c:pt>
                <c:pt idx="37">
                  <c:v>5月</c:v>
                </c:pt>
                <c:pt idx="38">
                  <c:v>5月</c:v>
                </c:pt>
                <c:pt idx="39">
                  <c:v>5月</c:v>
                </c:pt>
                <c:pt idx="40">
                  <c:v>5月</c:v>
                </c:pt>
                <c:pt idx="41">
                  <c:v>5月</c:v>
                </c:pt>
                <c:pt idx="42">
                  <c:v>5月</c:v>
                </c:pt>
                <c:pt idx="43">
                  <c:v>5月</c:v>
                </c:pt>
                <c:pt idx="44">
                  <c:v>5月</c:v>
                </c:pt>
                <c:pt idx="45">
                  <c:v>5月</c:v>
                </c:pt>
                <c:pt idx="46">
                  <c:v>5月</c:v>
                </c:pt>
                <c:pt idx="47">
                  <c:v>5月</c:v>
                </c:pt>
                <c:pt idx="48">
                  <c:v>5月</c:v>
                </c:pt>
                <c:pt idx="49">
                  <c:v>5月</c:v>
                </c:pt>
                <c:pt idx="50">
                  <c:v>5月</c:v>
                </c:pt>
                <c:pt idx="51">
                  <c:v>6月</c:v>
                </c:pt>
                <c:pt idx="52">
                  <c:v>6月</c:v>
                </c:pt>
                <c:pt idx="53">
                  <c:v>6月</c:v>
                </c:pt>
                <c:pt idx="54">
                  <c:v>6月</c:v>
                </c:pt>
                <c:pt idx="55">
                  <c:v>6月</c:v>
                </c:pt>
                <c:pt idx="56">
                  <c:v>6月</c:v>
                </c:pt>
                <c:pt idx="57">
                  <c:v>6月</c:v>
                </c:pt>
                <c:pt idx="58">
                  <c:v>6月</c:v>
                </c:pt>
                <c:pt idx="59">
                  <c:v>6月</c:v>
                </c:pt>
                <c:pt idx="60">
                  <c:v>6月</c:v>
                </c:pt>
                <c:pt idx="61">
                  <c:v>6月</c:v>
                </c:pt>
                <c:pt idx="62">
                  <c:v>6月</c:v>
                </c:pt>
                <c:pt idx="63">
                  <c:v>6月</c:v>
                </c:pt>
                <c:pt idx="64">
                  <c:v>6月</c:v>
                </c:pt>
                <c:pt idx="65">
                  <c:v>6月</c:v>
                </c:pt>
                <c:pt idx="66">
                  <c:v>6月</c:v>
                </c:pt>
                <c:pt idx="67">
                  <c:v>6月</c:v>
                </c:pt>
                <c:pt idx="68">
                  <c:v>6月</c:v>
                </c:pt>
                <c:pt idx="69">
                  <c:v>6月</c:v>
                </c:pt>
                <c:pt idx="70">
                  <c:v>6月</c:v>
                </c:pt>
                <c:pt idx="71">
                  <c:v>6月</c:v>
                </c:pt>
                <c:pt idx="72">
                  <c:v>6月</c:v>
                </c:pt>
                <c:pt idx="73">
                  <c:v>6月</c:v>
                </c:pt>
                <c:pt idx="74">
                  <c:v>6月</c:v>
                </c:pt>
                <c:pt idx="75">
                  <c:v>6月</c:v>
                </c:pt>
                <c:pt idx="76">
                  <c:v>6月</c:v>
                </c:pt>
                <c:pt idx="77">
                  <c:v>6月</c:v>
                </c:pt>
                <c:pt idx="78">
                  <c:v>6月</c:v>
                </c:pt>
                <c:pt idx="79">
                  <c:v>6月</c:v>
                </c:pt>
                <c:pt idx="80">
                  <c:v>6月</c:v>
                </c:pt>
                <c:pt idx="81">
                  <c:v>7月</c:v>
                </c:pt>
                <c:pt idx="82">
                  <c:v>7月</c:v>
                </c:pt>
                <c:pt idx="83">
                  <c:v>7月</c:v>
                </c:pt>
                <c:pt idx="84">
                  <c:v>7月</c:v>
                </c:pt>
                <c:pt idx="85">
                  <c:v>7月</c:v>
                </c:pt>
                <c:pt idx="86">
                  <c:v>7月</c:v>
                </c:pt>
                <c:pt idx="87">
                  <c:v>7月</c:v>
                </c:pt>
                <c:pt idx="88">
                  <c:v>7月</c:v>
                </c:pt>
                <c:pt idx="89">
                  <c:v>7月</c:v>
                </c:pt>
                <c:pt idx="90">
                  <c:v>7月</c:v>
                </c:pt>
                <c:pt idx="91">
                  <c:v>7月</c:v>
                </c:pt>
                <c:pt idx="92">
                  <c:v>7月</c:v>
                </c:pt>
                <c:pt idx="93">
                  <c:v>7月</c:v>
                </c:pt>
                <c:pt idx="94">
                  <c:v>7月</c:v>
                </c:pt>
                <c:pt idx="95">
                  <c:v>7月</c:v>
                </c:pt>
                <c:pt idx="96">
                  <c:v>7月</c:v>
                </c:pt>
                <c:pt idx="97">
                  <c:v>7月</c:v>
                </c:pt>
                <c:pt idx="98">
                  <c:v>7月</c:v>
                </c:pt>
                <c:pt idx="99">
                  <c:v>7月</c:v>
                </c:pt>
                <c:pt idx="100">
                  <c:v>7月</c:v>
                </c:pt>
                <c:pt idx="101">
                  <c:v>7月</c:v>
                </c:pt>
                <c:pt idx="102">
                  <c:v>7月</c:v>
                </c:pt>
                <c:pt idx="103">
                  <c:v>7月</c:v>
                </c:pt>
                <c:pt idx="104">
                  <c:v>7月</c:v>
                </c:pt>
                <c:pt idx="105">
                  <c:v>7月</c:v>
                </c:pt>
                <c:pt idx="106">
                  <c:v>7月</c:v>
                </c:pt>
                <c:pt idx="107">
                  <c:v>7月</c:v>
                </c:pt>
                <c:pt idx="108">
                  <c:v>7月</c:v>
                </c:pt>
                <c:pt idx="109">
                  <c:v>7月</c:v>
                </c:pt>
                <c:pt idx="110">
                  <c:v>7月</c:v>
                </c:pt>
                <c:pt idx="111">
                  <c:v>7月</c:v>
                </c:pt>
                <c:pt idx="112">
                  <c:v>8月</c:v>
                </c:pt>
                <c:pt idx="113">
                  <c:v>8月</c:v>
                </c:pt>
                <c:pt idx="114">
                  <c:v>8月</c:v>
                </c:pt>
                <c:pt idx="115">
                  <c:v>8月</c:v>
                </c:pt>
                <c:pt idx="116">
                  <c:v>8月</c:v>
                </c:pt>
                <c:pt idx="117">
                  <c:v>8月</c:v>
                </c:pt>
                <c:pt idx="118">
                  <c:v>8月</c:v>
                </c:pt>
                <c:pt idx="119">
                  <c:v>8月</c:v>
                </c:pt>
                <c:pt idx="120">
                  <c:v>8月</c:v>
                </c:pt>
                <c:pt idx="121">
                  <c:v>8月</c:v>
                </c:pt>
                <c:pt idx="122">
                  <c:v>8月</c:v>
                </c:pt>
                <c:pt idx="123">
                  <c:v>8月</c:v>
                </c:pt>
                <c:pt idx="124">
                  <c:v>8月</c:v>
                </c:pt>
                <c:pt idx="125">
                  <c:v>8月</c:v>
                </c:pt>
                <c:pt idx="126">
                  <c:v>8月</c:v>
                </c:pt>
                <c:pt idx="127">
                  <c:v>8月</c:v>
                </c:pt>
                <c:pt idx="128">
                  <c:v>8月</c:v>
                </c:pt>
                <c:pt idx="129">
                  <c:v>8月</c:v>
                </c:pt>
                <c:pt idx="130">
                  <c:v>8月</c:v>
                </c:pt>
                <c:pt idx="131">
                  <c:v>8月</c:v>
                </c:pt>
                <c:pt idx="132">
                  <c:v>8月</c:v>
                </c:pt>
                <c:pt idx="133">
                  <c:v>8月</c:v>
                </c:pt>
                <c:pt idx="134">
                  <c:v>8月</c:v>
                </c:pt>
                <c:pt idx="135">
                  <c:v>8月</c:v>
                </c:pt>
                <c:pt idx="136">
                  <c:v>8月</c:v>
                </c:pt>
                <c:pt idx="137">
                  <c:v>8月</c:v>
                </c:pt>
                <c:pt idx="138">
                  <c:v>8月</c:v>
                </c:pt>
                <c:pt idx="139">
                  <c:v>8月</c:v>
                </c:pt>
                <c:pt idx="140">
                  <c:v>8月</c:v>
                </c:pt>
                <c:pt idx="141">
                  <c:v>8月</c:v>
                </c:pt>
                <c:pt idx="142">
                  <c:v>8月</c:v>
                </c:pt>
                <c:pt idx="143">
                  <c:v>9月</c:v>
                </c:pt>
                <c:pt idx="144">
                  <c:v>9月</c:v>
                </c:pt>
                <c:pt idx="145">
                  <c:v>9月</c:v>
                </c:pt>
                <c:pt idx="146">
                  <c:v>9月</c:v>
                </c:pt>
                <c:pt idx="147">
                  <c:v>9月</c:v>
                </c:pt>
                <c:pt idx="148">
                  <c:v>9月</c:v>
                </c:pt>
                <c:pt idx="149">
                  <c:v>9月</c:v>
                </c:pt>
                <c:pt idx="150">
                  <c:v>9月</c:v>
                </c:pt>
                <c:pt idx="151">
                  <c:v>9月</c:v>
                </c:pt>
                <c:pt idx="152">
                  <c:v>9月</c:v>
                </c:pt>
                <c:pt idx="153">
                  <c:v>9月</c:v>
                </c:pt>
                <c:pt idx="154">
                  <c:v>9月</c:v>
                </c:pt>
                <c:pt idx="155">
                  <c:v>9月</c:v>
                </c:pt>
                <c:pt idx="156">
                  <c:v>9月</c:v>
                </c:pt>
                <c:pt idx="157">
                  <c:v>9月</c:v>
                </c:pt>
                <c:pt idx="158">
                  <c:v>9月</c:v>
                </c:pt>
                <c:pt idx="159">
                  <c:v>9月</c:v>
                </c:pt>
                <c:pt idx="160">
                  <c:v>9月</c:v>
                </c:pt>
                <c:pt idx="161">
                  <c:v>9月</c:v>
                </c:pt>
                <c:pt idx="162">
                  <c:v>9月</c:v>
                </c:pt>
                <c:pt idx="163">
                  <c:v>9月</c:v>
                </c:pt>
                <c:pt idx="164">
                  <c:v>9月</c:v>
                </c:pt>
                <c:pt idx="165">
                  <c:v>9月</c:v>
                </c:pt>
                <c:pt idx="166">
                  <c:v>9月</c:v>
                </c:pt>
                <c:pt idx="167">
                  <c:v>9月</c:v>
                </c:pt>
                <c:pt idx="168">
                  <c:v>9月</c:v>
                </c:pt>
                <c:pt idx="169">
                  <c:v>9月</c:v>
                </c:pt>
                <c:pt idx="170">
                  <c:v>9月</c:v>
                </c:pt>
                <c:pt idx="171">
                  <c:v>9月</c:v>
                </c:pt>
                <c:pt idx="172">
                  <c:v>9月</c:v>
                </c:pt>
                <c:pt idx="173">
                  <c:v>10月</c:v>
                </c:pt>
                <c:pt idx="174">
                  <c:v>10月</c:v>
                </c:pt>
                <c:pt idx="175">
                  <c:v>10月</c:v>
                </c:pt>
                <c:pt idx="176">
                  <c:v>10月</c:v>
                </c:pt>
                <c:pt idx="177">
                  <c:v>10月</c:v>
                </c:pt>
                <c:pt idx="178">
                  <c:v>10月</c:v>
                </c:pt>
                <c:pt idx="179">
                  <c:v>10月</c:v>
                </c:pt>
                <c:pt idx="180">
                  <c:v>10月</c:v>
                </c:pt>
                <c:pt idx="181">
                  <c:v>10月</c:v>
                </c:pt>
                <c:pt idx="182">
                  <c:v>10月</c:v>
                </c:pt>
                <c:pt idx="183">
                  <c:v>10月</c:v>
                </c:pt>
                <c:pt idx="184">
                  <c:v>10月</c:v>
                </c:pt>
                <c:pt idx="185">
                  <c:v>10月</c:v>
                </c:pt>
                <c:pt idx="186">
                  <c:v>10月</c:v>
                </c:pt>
                <c:pt idx="187">
                  <c:v>10月</c:v>
                </c:pt>
                <c:pt idx="188">
                  <c:v>10月</c:v>
                </c:pt>
                <c:pt idx="189">
                  <c:v>10月</c:v>
                </c:pt>
                <c:pt idx="190">
                  <c:v>10月</c:v>
                </c:pt>
                <c:pt idx="191">
                  <c:v>10月</c:v>
                </c:pt>
                <c:pt idx="192">
                  <c:v>10月</c:v>
                </c:pt>
                <c:pt idx="193">
                  <c:v>10月</c:v>
                </c:pt>
                <c:pt idx="194">
                  <c:v>10月</c:v>
                </c:pt>
                <c:pt idx="195">
                  <c:v>10月</c:v>
                </c:pt>
                <c:pt idx="196">
                  <c:v>10月</c:v>
                </c:pt>
                <c:pt idx="197">
                  <c:v>10月</c:v>
                </c:pt>
                <c:pt idx="198">
                  <c:v>10月</c:v>
                </c:pt>
                <c:pt idx="199">
                  <c:v>10月</c:v>
                </c:pt>
                <c:pt idx="200">
                  <c:v>10月</c:v>
                </c:pt>
                <c:pt idx="201">
                  <c:v>10月</c:v>
                </c:pt>
                <c:pt idx="202">
                  <c:v>10月</c:v>
                </c:pt>
                <c:pt idx="203">
                  <c:v>10月</c:v>
                </c:pt>
                <c:pt idx="204">
                  <c:v>11月</c:v>
                </c:pt>
                <c:pt idx="205">
                  <c:v>11月</c:v>
                </c:pt>
                <c:pt idx="206">
                  <c:v>11月</c:v>
                </c:pt>
                <c:pt idx="207">
                  <c:v>11月</c:v>
                </c:pt>
                <c:pt idx="208">
                  <c:v>11月</c:v>
                </c:pt>
                <c:pt idx="209">
                  <c:v>11月</c:v>
                </c:pt>
                <c:pt idx="210">
                  <c:v>11月</c:v>
                </c:pt>
                <c:pt idx="211">
                  <c:v>11月</c:v>
                </c:pt>
                <c:pt idx="212">
                  <c:v>11月</c:v>
                </c:pt>
                <c:pt idx="213">
                  <c:v>11月</c:v>
                </c:pt>
                <c:pt idx="214">
                  <c:v>11月</c:v>
                </c:pt>
                <c:pt idx="215">
                  <c:v>11月</c:v>
                </c:pt>
                <c:pt idx="216">
                  <c:v>11月</c:v>
                </c:pt>
                <c:pt idx="217">
                  <c:v>11月</c:v>
                </c:pt>
                <c:pt idx="218">
                  <c:v>11月</c:v>
                </c:pt>
                <c:pt idx="219">
                  <c:v>11月</c:v>
                </c:pt>
                <c:pt idx="220">
                  <c:v>11月</c:v>
                </c:pt>
                <c:pt idx="221">
                  <c:v>11月</c:v>
                </c:pt>
                <c:pt idx="222">
                  <c:v>11月</c:v>
                </c:pt>
                <c:pt idx="223">
                  <c:v>11月</c:v>
                </c:pt>
                <c:pt idx="224">
                  <c:v>11月</c:v>
                </c:pt>
                <c:pt idx="225">
                  <c:v>11月</c:v>
                </c:pt>
                <c:pt idx="226">
                  <c:v>11月</c:v>
                </c:pt>
                <c:pt idx="227">
                  <c:v>11月</c:v>
                </c:pt>
                <c:pt idx="228">
                  <c:v>11月</c:v>
                </c:pt>
                <c:pt idx="229">
                  <c:v>11月</c:v>
                </c:pt>
                <c:pt idx="230">
                  <c:v>11月</c:v>
                </c:pt>
                <c:pt idx="231">
                  <c:v>11月</c:v>
                </c:pt>
                <c:pt idx="232">
                  <c:v>11月</c:v>
                </c:pt>
                <c:pt idx="233">
                  <c:v>11月</c:v>
                </c:pt>
                <c:pt idx="234">
                  <c:v>12月</c:v>
                </c:pt>
                <c:pt idx="235">
                  <c:v>12月</c:v>
                </c:pt>
                <c:pt idx="236">
                  <c:v>12月</c:v>
                </c:pt>
                <c:pt idx="237">
                  <c:v>12月</c:v>
                </c:pt>
                <c:pt idx="238">
                  <c:v>12月</c:v>
                </c:pt>
                <c:pt idx="239">
                  <c:v>12月</c:v>
                </c:pt>
                <c:pt idx="240">
                  <c:v>12月</c:v>
                </c:pt>
                <c:pt idx="241">
                  <c:v>12月</c:v>
                </c:pt>
                <c:pt idx="242">
                  <c:v>12月</c:v>
                </c:pt>
                <c:pt idx="243">
                  <c:v>12月</c:v>
                </c:pt>
                <c:pt idx="244">
                  <c:v>12月</c:v>
                </c:pt>
                <c:pt idx="245">
                  <c:v>12月</c:v>
                </c:pt>
                <c:pt idx="246">
                  <c:v>12月</c:v>
                </c:pt>
                <c:pt idx="247">
                  <c:v>12月</c:v>
                </c:pt>
                <c:pt idx="248">
                  <c:v>12月</c:v>
                </c:pt>
                <c:pt idx="249">
                  <c:v>12月</c:v>
                </c:pt>
                <c:pt idx="250">
                  <c:v>12月</c:v>
                </c:pt>
                <c:pt idx="251">
                  <c:v>12月</c:v>
                </c:pt>
                <c:pt idx="252">
                  <c:v>12月</c:v>
                </c:pt>
                <c:pt idx="253">
                  <c:v>12月</c:v>
                </c:pt>
                <c:pt idx="254">
                  <c:v>12月</c:v>
                </c:pt>
                <c:pt idx="255">
                  <c:v>12月</c:v>
                </c:pt>
                <c:pt idx="256">
                  <c:v>12月</c:v>
                </c:pt>
                <c:pt idx="257">
                  <c:v>12月</c:v>
                </c:pt>
                <c:pt idx="258">
                  <c:v>12月</c:v>
                </c:pt>
                <c:pt idx="259">
                  <c:v>12月</c:v>
                </c:pt>
                <c:pt idx="260">
                  <c:v>12月</c:v>
                </c:pt>
                <c:pt idx="261">
                  <c:v>12月</c:v>
                </c:pt>
                <c:pt idx="262">
                  <c:v>12月</c:v>
                </c:pt>
                <c:pt idx="263">
                  <c:v>12月</c:v>
                </c:pt>
                <c:pt idx="264">
                  <c:v>12月</c:v>
                </c:pt>
                <c:pt idx="265">
                  <c:v>1月
2019</c:v>
                </c:pt>
                <c:pt idx="266">
                  <c:v>1月
2019</c:v>
                </c:pt>
                <c:pt idx="267">
                  <c:v>1月
2019</c:v>
                </c:pt>
                <c:pt idx="268">
                  <c:v>1月
2019</c:v>
                </c:pt>
                <c:pt idx="269">
                  <c:v>1月
2019</c:v>
                </c:pt>
                <c:pt idx="270">
                  <c:v>1月
2019</c:v>
                </c:pt>
                <c:pt idx="271">
                  <c:v>1月
2019</c:v>
                </c:pt>
                <c:pt idx="272">
                  <c:v>1月
2019</c:v>
                </c:pt>
                <c:pt idx="273">
                  <c:v>1月
2019</c:v>
                </c:pt>
                <c:pt idx="274">
                  <c:v>1月
2019</c:v>
                </c:pt>
                <c:pt idx="275">
                  <c:v>1月
2019</c:v>
                </c:pt>
                <c:pt idx="276">
                  <c:v>1月
2019</c:v>
                </c:pt>
                <c:pt idx="277">
                  <c:v>1月
2019</c:v>
                </c:pt>
                <c:pt idx="278">
                  <c:v>1月
2019</c:v>
                </c:pt>
                <c:pt idx="279">
                  <c:v>1月
2019</c:v>
                </c:pt>
                <c:pt idx="280">
                  <c:v>1月
2019</c:v>
                </c:pt>
                <c:pt idx="281">
                  <c:v>1月
2019</c:v>
                </c:pt>
                <c:pt idx="282">
                  <c:v>1月
2019</c:v>
                </c:pt>
                <c:pt idx="283">
                  <c:v>1月
2019</c:v>
                </c:pt>
                <c:pt idx="284">
                  <c:v>1月
2019</c:v>
                </c:pt>
                <c:pt idx="285">
                  <c:v>1月
2019</c:v>
                </c:pt>
                <c:pt idx="286">
                  <c:v>1月
2019</c:v>
                </c:pt>
                <c:pt idx="287">
                  <c:v>1月
2019</c:v>
                </c:pt>
                <c:pt idx="288">
                  <c:v>1月
2019</c:v>
                </c:pt>
                <c:pt idx="289">
                  <c:v>1月
2019</c:v>
                </c:pt>
                <c:pt idx="290">
                  <c:v>1月
2019</c:v>
                </c:pt>
                <c:pt idx="291">
                  <c:v>1月
2019</c:v>
                </c:pt>
                <c:pt idx="292">
                  <c:v>1月
2019</c:v>
                </c:pt>
                <c:pt idx="293">
                  <c:v>1月
2019</c:v>
                </c:pt>
                <c:pt idx="294">
                  <c:v>1月
2019</c:v>
                </c:pt>
                <c:pt idx="295">
                  <c:v>1月
2019</c:v>
                </c:pt>
                <c:pt idx="296">
                  <c:v>2月</c:v>
                </c:pt>
                <c:pt idx="297">
                  <c:v>2月</c:v>
                </c:pt>
                <c:pt idx="298">
                  <c:v>2月</c:v>
                </c:pt>
                <c:pt idx="299">
                  <c:v>2月</c:v>
                </c:pt>
                <c:pt idx="300">
                  <c:v>2月</c:v>
                </c:pt>
                <c:pt idx="301">
                  <c:v>2月</c:v>
                </c:pt>
                <c:pt idx="302">
                  <c:v>2月</c:v>
                </c:pt>
                <c:pt idx="303">
                  <c:v>2月</c:v>
                </c:pt>
                <c:pt idx="304">
                  <c:v>2月</c:v>
                </c:pt>
                <c:pt idx="305">
                  <c:v>2月</c:v>
                </c:pt>
                <c:pt idx="306">
                  <c:v>2月</c:v>
                </c:pt>
                <c:pt idx="307">
                  <c:v>2月</c:v>
                </c:pt>
                <c:pt idx="308">
                  <c:v>2月</c:v>
                </c:pt>
                <c:pt idx="309">
                  <c:v>2月</c:v>
                </c:pt>
                <c:pt idx="310">
                  <c:v>2月</c:v>
                </c:pt>
                <c:pt idx="311">
                  <c:v>2月</c:v>
                </c:pt>
                <c:pt idx="312">
                  <c:v>2月</c:v>
                </c:pt>
                <c:pt idx="313">
                  <c:v>2月</c:v>
                </c:pt>
                <c:pt idx="314">
                  <c:v>2月</c:v>
                </c:pt>
                <c:pt idx="315">
                  <c:v>2月</c:v>
                </c:pt>
                <c:pt idx="316">
                  <c:v>2月</c:v>
                </c:pt>
                <c:pt idx="317">
                  <c:v>2月</c:v>
                </c:pt>
                <c:pt idx="318">
                  <c:v>2月</c:v>
                </c:pt>
                <c:pt idx="319">
                  <c:v>2月</c:v>
                </c:pt>
                <c:pt idx="320">
                  <c:v>2月</c:v>
                </c:pt>
                <c:pt idx="321">
                  <c:v>2月</c:v>
                </c:pt>
                <c:pt idx="322">
                  <c:v>2月</c:v>
                </c:pt>
                <c:pt idx="323">
                  <c:v>2月</c:v>
                </c:pt>
                <c:pt idx="324">
                  <c:v>3月</c:v>
                </c:pt>
                <c:pt idx="325">
                  <c:v>3月</c:v>
                </c:pt>
                <c:pt idx="326">
                  <c:v>3月</c:v>
                </c:pt>
                <c:pt idx="327">
                  <c:v>3月</c:v>
                </c:pt>
                <c:pt idx="328">
                  <c:v>3月</c:v>
                </c:pt>
                <c:pt idx="329">
                  <c:v>3月</c:v>
                </c:pt>
                <c:pt idx="330">
                  <c:v>3月</c:v>
                </c:pt>
                <c:pt idx="331">
                  <c:v>3月</c:v>
                </c:pt>
                <c:pt idx="332">
                  <c:v>3月</c:v>
                </c:pt>
                <c:pt idx="333">
                  <c:v>3月</c:v>
                </c:pt>
                <c:pt idx="334">
                  <c:v>3月</c:v>
                </c:pt>
                <c:pt idx="335">
                  <c:v>3月</c:v>
                </c:pt>
                <c:pt idx="336">
                  <c:v>3月</c:v>
                </c:pt>
                <c:pt idx="337">
                  <c:v>3月</c:v>
                </c:pt>
                <c:pt idx="338">
                  <c:v>3月</c:v>
                </c:pt>
                <c:pt idx="339">
                  <c:v>3月</c:v>
                </c:pt>
                <c:pt idx="340">
                  <c:v>3月</c:v>
                </c:pt>
                <c:pt idx="341">
                  <c:v>3月</c:v>
                </c:pt>
                <c:pt idx="342">
                  <c:v>3月</c:v>
                </c:pt>
                <c:pt idx="343">
                  <c:v>3月</c:v>
                </c:pt>
                <c:pt idx="344">
                  <c:v>3月</c:v>
                </c:pt>
                <c:pt idx="345">
                  <c:v>3月</c:v>
                </c:pt>
                <c:pt idx="346">
                  <c:v>3月</c:v>
                </c:pt>
                <c:pt idx="347">
                  <c:v>3月</c:v>
                </c:pt>
                <c:pt idx="348">
                  <c:v>3月</c:v>
                </c:pt>
                <c:pt idx="349">
                  <c:v>3月</c:v>
                </c:pt>
                <c:pt idx="350">
                  <c:v>3月</c:v>
                </c:pt>
                <c:pt idx="351">
                  <c:v>3月</c:v>
                </c:pt>
                <c:pt idx="352">
                  <c:v>3月</c:v>
                </c:pt>
                <c:pt idx="353">
                  <c:v>3月</c:v>
                </c:pt>
                <c:pt idx="354">
                  <c:v>3月</c:v>
                </c:pt>
                <c:pt idx="355">
                  <c:v>4月</c:v>
                </c:pt>
                <c:pt idx="356">
                  <c:v>4月</c:v>
                </c:pt>
                <c:pt idx="357">
                  <c:v>4月</c:v>
                </c:pt>
                <c:pt idx="358">
                  <c:v>4月</c:v>
                </c:pt>
                <c:pt idx="359">
                  <c:v>4月</c:v>
                </c:pt>
                <c:pt idx="360">
                  <c:v>4月</c:v>
                </c:pt>
                <c:pt idx="361">
                  <c:v>4月</c:v>
                </c:pt>
                <c:pt idx="362">
                  <c:v>4月</c:v>
                </c:pt>
                <c:pt idx="363">
                  <c:v>4月</c:v>
                </c:pt>
                <c:pt idx="364">
                  <c:v>4月</c:v>
                </c:pt>
                <c:pt idx="365">
                  <c:v>4月</c:v>
                </c:pt>
                <c:pt idx="366">
                  <c:v>4月</c:v>
                </c:pt>
                <c:pt idx="367">
                  <c:v>4月</c:v>
                </c:pt>
                <c:pt idx="368">
                  <c:v>4月</c:v>
                </c:pt>
                <c:pt idx="369">
                  <c:v>4月</c:v>
                </c:pt>
                <c:pt idx="370">
                  <c:v>4月</c:v>
                </c:pt>
                <c:pt idx="371">
                  <c:v>4月</c:v>
                </c:pt>
                <c:pt idx="372">
                  <c:v>4月</c:v>
                </c:pt>
                <c:pt idx="373">
                  <c:v>4月</c:v>
                </c:pt>
                <c:pt idx="374">
                  <c:v>4月</c:v>
                </c:pt>
                <c:pt idx="375">
                  <c:v>4月</c:v>
                </c:pt>
                <c:pt idx="376">
                  <c:v>4月</c:v>
                </c:pt>
                <c:pt idx="377">
                  <c:v>4月</c:v>
                </c:pt>
                <c:pt idx="378">
                  <c:v>4月</c:v>
                </c:pt>
                <c:pt idx="379">
                  <c:v>4月</c:v>
                </c:pt>
                <c:pt idx="380">
                  <c:v>4月</c:v>
                </c:pt>
                <c:pt idx="381">
                  <c:v>4月</c:v>
                </c:pt>
                <c:pt idx="382">
                  <c:v>4月</c:v>
                </c:pt>
                <c:pt idx="383">
                  <c:v>4月</c:v>
                </c:pt>
                <c:pt idx="384">
                  <c:v>4月</c:v>
                </c:pt>
                <c:pt idx="385">
                  <c:v>5月</c:v>
                </c:pt>
                <c:pt idx="386">
                  <c:v>5月</c:v>
                </c:pt>
                <c:pt idx="387">
                  <c:v>5月</c:v>
                </c:pt>
                <c:pt idx="388">
                  <c:v>5月</c:v>
                </c:pt>
                <c:pt idx="389">
                  <c:v>5月</c:v>
                </c:pt>
                <c:pt idx="390">
                  <c:v>5月</c:v>
                </c:pt>
                <c:pt idx="391">
                  <c:v>5月</c:v>
                </c:pt>
                <c:pt idx="392">
                  <c:v>5月</c:v>
                </c:pt>
                <c:pt idx="393">
                  <c:v>5月</c:v>
                </c:pt>
                <c:pt idx="394">
                  <c:v>5月</c:v>
                </c:pt>
                <c:pt idx="395">
                  <c:v>5月</c:v>
                </c:pt>
                <c:pt idx="396">
                  <c:v>5月</c:v>
                </c:pt>
                <c:pt idx="397">
                  <c:v>5月</c:v>
                </c:pt>
                <c:pt idx="398">
                  <c:v>5月</c:v>
                </c:pt>
                <c:pt idx="399">
                  <c:v>5月</c:v>
                </c:pt>
                <c:pt idx="400">
                  <c:v>5月</c:v>
                </c:pt>
                <c:pt idx="401">
                  <c:v>5月</c:v>
                </c:pt>
                <c:pt idx="402">
                  <c:v>5月</c:v>
                </c:pt>
                <c:pt idx="403">
                  <c:v>5月</c:v>
                </c:pt>
                <c:pt idx="404">
                  <c:v>5月</c:v>
                </c:pt>
                <c:pt idx="405">
                  <c:v>5月</c:v>
                </c:pt>
                <c:pt idx="406">
                  <c:v>5月</c:v>
                </c:pt>
                <c:pt idx="407">
                  <c:v>5月</c:v>
                </c:pt>
                <c:pt idx="408">
                  <c:v>5月</c:v>
                </c:pt>
                <c:pt idx="409">
                  <c:v>5月</c:v>
                </c:pt>
                <c:pt idx="410">
                  <c:v>5月</c:v>
                </c:pt>
                <c:pt idx="411">
                  <c:v>5月</c:v>
                </c:pt>
                <c:pt idx="412">
                  <c:v>5月</c:v>
                </c:pt>
                <c:pt idx="413">
                  <c:v>5月</c:v>
                </c:pt>
                <c:pt idx="414">
                  <c:v>5月</c:v>
                </c:pt>
                <c:pt idx="415">
                  <c:v>5月</c:v>
                </c:pt>
                <c:pt idx="416">
                  <c:v>6月</c:v>
                </c:pt>
                <c:pt idx="417">
                  <c:v>6月</c:v>
                </c:pt>
                <c:pt idx="418">
                  <c:v>6月</c:v>
                </c:pt>
                <c:pt idx="419">
                  <c:v>6月</c:v>
                </c:pt>
                <c:pt idx="420">
                  <c:v>6月</c:v>
                </c:pt>
                <c:pt idx="421">
                  <c:v>6月</c:v>
                </c:pt>
                <c:pt idx="422">
                  <c:v>6月</c:v>
                </c:pt>
                <c:pt idx="423">
                  <c:v>6月</c:v>
                </c:pt>
                <c:pt idx="424">
                  <c:v>6月</c:v>
                </c:pt>
                <c:pt idx="425">
                  <c:v>6月</c:v>
                </c:pt>
                <c:pt idx="426">
                  <c:v>6月</c:v>
                </c:pt>
                <c:pt idx="427">
                  <c:v>6月</c:v>
                </c:pt>
                <c:pt idx="428">
                  <c:v>6月</c:v>
                </c:pt>
                <c:pt idx="429">
                  <c:v>6月</c:v>
                </c:pt>
                <c:pt idx="430">
                  <c:v>6月</c:v>
                </c:pt>
                <c:pt idx="431">
                  <c:v>6月</c:v>
                </c:pt>
                <c:pt idx="432">
                  <c:v>6月</c:v>
                </c:pt>
                <c:pt idx="433">
                  <c:v>6月</c:v>
                </c:pt>
                <c:pt idx="434">
                  <c:v>6月</c:v>
                </c:pt>
                <c:pt idx="435">
                  <c:v>6月</c:v>
                </c:pt>
                <c:pt idx="436">
                  <c:v>6月</c:v>
                </c:pt>
                <c:pt idx="437">
                  <c:v>6月</c:v>
                </c:pt>
                <c:pt idx="438">
                  <c:v>6月</c:v>
                </c:pt>
                <c:pt idx="439">
                  <c:v>6月</c:v>
                </c:pt>
                <c:pt idx="440">
                  <c:v>6月</c:v>
                </c:pt>
                <c:pt idx="441">
                  <c:v>6月</c:v>
                </c:pt>
                <c:pt idx="442">
                  <c:v>6月</c:v>
                </c:pt>
                <c:pt idx="443">
                  <c:v>6月</c:v>
                </c:pt>
                <c:pt idx="444">
                  <c:v>6月</c:v>
                </c:pt>
                <c:pt idx="445">
                  <c:v>6月</c:v>
                </c:pt>
                <c:pt idx="446">
                  <c:v>7月</c:v>
                </c:pt>
                <c:pt idx="447">
                  <c:v>7月</c:v>
                </c:pt>
                <c:pt idx="448">
                  <c:v>7月</c:v>
                </c:pt>
                <c:pt idx="449">
                  <c:v>7月</c:v>
                </c:pt>
                <c:pt idx="450">
                  <c:v>7月</c:v>
                </c:pt>
                <c:pt idx="451">
                  <c:v>7月</c:v>
                </c:pt>
                <c:pt idx="452">
                  <c:v>7月</c:v>
                </c:pt>
                <c:pt idx="453">
                  <c:v>7月</c:v>
                </c:pt>
                <c:pt idx="454">
                  <c:v>7月</c:v>
                </c:pt>
                <c:pt idx="455">
                  <c:v>7月</c:v>
                </c:pt>
                <c:pt idx="456">
                  <c:v>7月</c:v>
                </c:pt>
                <c:pt idx="457">
                  <c:v>7月</c:v>
                </c:pt>
                <c:pt idx="458">
                  <c:v>7月</c:v>
                </c:pt>
                <c:pt idx="459">
                  <c:v>7月</c:v>
                </c:pt>
                <c:pt idx="460">
                  <c:v>7月</c:v>
                </c:pt>
                <c:pt idx="461">
                  <c:v>7月</c:v>
                </c:pt>
                <c:pt idx="462">
                  <c:v>7月</c:v>
                </c:pt>
                <c:pt idx="463">
                  <c:v>7月</c:v>
                </c:pt>
                <c:pt idx="464">
                  <c:v>7月</c:v>
                </c:pt>
                <c:pt idx="465">
                  <c:v>7月</c:v>
                </c:pt>
                <c:pt idx="466">
                  <c:v>7月</c:v>
                </c:pt>
                <c:pt idx="467">
                  <c:v>7月</c:v>
                </c:pt>
                <c:pt idx="468">
                  <c:v>7月</c:v>
                </c:pt>
                <c:pt idx="469">
                  <c:v>7月</c:v>
                </c:pt>
                <c:pt idx="470">
                  <c:v>7月</c:v>
                </c:pt>
                <c:pt idx="471">
                  <c:v>7月</c:v>
                </c:pt>
                <c:pt idx="472">
                  <c:v>7月</c:v>
                </c:pt>
                <c:pt idx="473">
                  <c:v>7月</c:v>
                </c:pt>
                <c:pt idx="474">
                  <c:v>7月</c:v>
                </c:pt>
                <c:pt idx="475">
                  <c:v>7月</c:v>
                </c:pt>
                <c:pt idx="476">
                  <c:v>7月</c:v>
                </c:pt>
                <c:pt idx="477">
                  <c:v>8月</c:v>
                </c:pt>
                <c:pt idx="478">
                  <c:v>8月</c:v>
                </c:pt>
                <c:pt idx="479">
                  <c:v>8月</c:v>
                </c:pt>
                <c:pt idx="480">
                  <c:v>8月</c:v>
                </c:pt>
                <c:pt idx="481">
                  <c:v>8月</c:v>
                </c:pt>
                <c:pt idx="482">
                  <c:v>8月</c:v>
                </c:pt>
                <c:pt idx="483">
                  <c:v>8月</c:v>
                </c:pt>
                <c:pt idx="484">
                  <c:v>8月</c:v>
                </c:pt>
                <c:pt idx="485">
                  <c:v>8月</c:v>
                </c:pt>
                <c:pt idx="486">
                  <c:v>8月</c:v>
                </c:pt>
                <c:pt idx="487">
                  <c:v>8月</c:v>
                </c:pt>
                <c:pt idx="488">
                  <c:v>8月</c:v>
                </c:pt>
                <c:pt idx="489">
                  <c:v>8月</c:v>
                </c:pt>
                <c:pt idx="490">
                  <c:v>8月</c:v>
                </c:pt>
                <c:pt idx="491">
                  <c:v>8月</c:v>
                </c:pt>
                <c:pt idx="492">
                  <c:v>8月</c:v>
                </c:pt>
                <c:pt idx="493">
                  <c:v>8月</c:v>
                </c:pt>
                <c:pt idx="494">
                  <c:v>8月</c:v>
                </c:pt>
                <c:pt idx="495">
                  <c:v>8月</c:v>
                </c:pt>
                <c:pt idx="496">
                  <c:v>8月</c:v>
                </c:pt>
                <c:pt idx="497">
                  <c:v>8月</c:v>
                </c:pt>
                <c:pt idx="498">
                  <c:v>8月</c:v>
                </c:pt>
                <c:pt idx="499">
                  <c:v>8月</c:v>
                </c:pt>
                <c:pt idx="500">
                  <c:v>8月</c:v>
                </c:pt>
                <c:pt idx="501">
                  <c:v>8月</c:v>
                </c:pt>
                <c:pt idx="502">
                  <c:v>8月</c:v>
                </c:pt>
                <c:pt idx="503">
                  <c:v>8月</c:v>
                </c:pt>
                <c:pt idx="504">
                  <c:v>8月</c:v>
                </c:pt>
                <c:pt idx="505">
                  <c:v>8月</c:v>
                </c:pt>
                <c:pt idx="506">
                  <c:v>8月</c:v>
                </c:pt>
                <c:pt idx="507">
                  <c:v>8月</c:v>
                </c:pt>
                <c:pt idx="508">
                  <c:v>9月</c:v>
                </c:pt>
                <c:pt idx="509">
                  <c:v>9月</c:v>
                </c:pt>
                <c:pt idx="510">
                  <c:v>9月</c:v>
                </c:pt>
                <c:pt idx="511">
                  <c:v>9月</c:v>
                </c:pt>
                <c:pt idx="512">
                  <c:v>9月</c:v>
                </c:pt>
                <c:pt idx="513">
                  <c:v>9月</c:v>
                </c:pt>
                <c:pt idx="514">
                  <c:v>9月</c:v>
                </c:pt>
                <c:pt idx="515">
                  <c:v>9月</c:v>
                </c:pt>
                <c:pt idx="516">
                  <c:v>9月</c:v>
                </c:pt>
                <c:pt idx="517">
                  <c:v>9月</c:v>
                </c:pt>
                <c:pt idx="518">
                  <c:v>9月</c:v>
                </c:pt>
                <c:pt idx="519">
                  <c:v>9月</c:v>
                </c:pt>
                <c:pt idx="520">
                  <c:v>9月</c:v>
                </c:pt>
                <c:pt idx="521">
                  <c:v>9月</c:v>
                </c:pt>
                <c:pt idx="522">
                  <c:v>9月</c:v>
                </c:pt>
                <c:pt idx="523">
                  <c:v>9月</c:v>
                </c:pt>
                <c:pt idx="524">
                  <c:v>9月</c:v>
                </c:pt>
                <c:pt idx="525">
                  <c:v>9月</c:v>
                </c:pt>
                <c:pt idx="526">
                  <c:v>9月</c:v>
                </c:pt>
                <c:pt idx="527">
                  <c:v>9月</c:v>
                </c:pt>
                <c:pt idx="528">
                  <c:v>9月</c:v>
                </c:pt>
                <c:pt idx="529">
                  <c:v>9月</c:v>
                </c:pt>
                <c:pt idx="530">
                  <c:v>9月</c:v>
                </c:pt>
                <c:pt idx="531">
                  <c:v>9月</c:v>
                </c:pt>
                <c:pt idx="532">
                  <c:v>9月</c:v>
                </c:pt>
                <c:pt idx="533">
                  <c:v>9月</c:v>
                </c:pt>
                <c:pt idx="534">
                  <c:v>9月</c:v>
                </c:pt>
                <c:pt idx="535">
                  <c:v>9月</c:v>
                </c:pt>
                <c:pt idx="536">
                  <c:v>9月</c:v>
                </c:pt>
                <c:pt idx="537">
                  <c:v>9月</c:v>
                </c:pt>
                <c:pt idx="538">
                  <c:v>10月</c:v>
                </c:pt>
                <c:pt idx="539">
                  <c:v>10月</c:v>
                </c:pt>
                <c:pt idx="540">
                  <c:v>10月</c:v>
                </c:pt>
                <c:pt idx="541">
                  <c:v>10月</c:v>
                </c:pt>
                <c:pt idx="542">
                  <c:v>10月</c:v>
                </c:pt>
                <c:pt idx="543">
                  <c:v>10月</c:v>
                </c:pt>
                <c:pt idx="544">
                  <c:v>10月</c:v>
                </c:pt>
                <c:pt idx="545">
                  <c:v>10月</c:v>
                </c:pt>
                <c:pt idx="546">
                  <c:v>10月</c:v>
                </c:pt>
                <c:pt idx="547">
                  <c:v>10月</c:v>
                </c:pt>
                <c:pt idx="548">
                  <c:v>10月</c:v>
                </c:pt>
                <c:pt idx="549">
                  <c:v>10月</c:v>
                </c:pt>
                <c:pt idx="550">
                  <c:v>10月</c:v>
                </c:pt>
                <c:pt idx="551">
                  <c:v>10月</c:v>
                </c:pt>
                <c:pt idx="552">
                  <c:v>10月</c:v>
                </c:pt>
                <c:pt idx="553">
                  <c:v>10月</c:v>
                </c:pt>
                <c:pt idx="554">
                  <c:v>10月</c:v>
                </c:pt>
                <c:pt idx="555">
                  <c:v>10月</c:v>
                </c:pt>
                <c:pt idx="556">
                  <c:v>10月</c:v>
                </c:pt>
                <c:pt idx="557">
                  <c:v>10月</c:v>
                </c:pt>
                <c:pt idx="558">
                  <c:v>10月</c:v>
                </c:pt>
                <c:pt idx="559">
                  <c:v>10月</c:v>
                </c:pt>
                <c:pt idx="560">
                  <c:v>10月</c:v>
                </c:pt>
                <c:pt idx="561">
                  <c:v>10月</c:v>
                </c:pt>
                <c:pt idx="562">
                  <c:v>10月</c:v>
                </c:pt>
                <c:pt idx="563">
                  <c:v>10月</c:v>
                </c:pt>
                <c:pt idx="564">
                  <c:v>10月</c:v>
                </c:pt>
                <c:pt idx="565">
                  <c:v>10月</c:v>
                </c:pt>
                <c:pt idx="566">
                  <c:v>10月</c:v>
                </c:pt>
                <c:pt idx="567">
                  <c:v>10月</c:v>
                </c:pt>
                <c:pt idx="568">
                  <c:v>10月</c:v>
                </c:pt>
                <c:pt idx="569">
                  <c:v>11月</c:v>
                </c:pt>
                <c:pt idx="570">
                  <c:v>11月</c:v>
                </c:pt>
                <c:pt idx="571">
                  <c:v>11月</c:v>
                </c:pt>
                <c:pt idx="572">
                  <c:v>11月</c:v>
                </c:pt>
                <c:pt idx="573">
                  <c:v>11月</c:v>
                </c:pt>
                <c:pt idx="574">
                  <c:v>11月</c:v>
                </c:pt>
                <c:pt idx="575">
                  <c:v>11月</c:v>
                </c:pt>
                <c:pt idx="576">
                  <c:v>11月</c:v>
                </c:pt>
                <c:pt idx="577">
                  <c:v>11月</c:v>
                </c:pt>
                <c:pt idx="578">
                  <c:v>11月</c:v>
                </c:pt>
                <c:pt idx="579">
                  <c:v>11月</c:v>
                </c:pt>
                <c:pt idx="580">
                  <c:v>11月</c:v>
                </c:pt>
                <c:pt idx="581">
                  <c:v>11月</c:v>
                </c:pt>
                <c:pt idx="582">
                  <c:v>11月</c:v>
                </c:pt>
                <c:pt idx="583">
                  <c:v>11月</c:v>
                </c:pt>
                <c:pt idx="584">
                  <c:v>11月</c:v>
                </c:pt>
                <c:pt idx="585">
                  <c:v>11月</c:v>
                </c:pt>
                <c:pt idx="586">
                  <c:v>11月</c:v>
                </c:pt>
                <c:pt idx="587">
                  <c:v>11月</c:v>
                </c:pt>
                <c:pt idx="588">
                  <c:v>11月</c:v>
                </c:pt>
                <c:pt idx="589">
                  <c:v>11月</c:v>
                </c:pt>
                <c:pt idx="590">
                  <c:v>11月</c:v>
                </c:pt>
                <c:pt idx="591">
                  <c:v>11月</c:v>
                </c:pt>
                <c:pt idx="592">
                  <c:v>11月</c:v>
                </c:pt>
                <c:pt idx="593">
                  <c:v>11月</c:v>
                </c:pt>
                <c:pt idx="594">
                  <c:v>11月</c:v>
                </c:pt>
                <c:pt idx="595">
                  <c:v>11月</c:v>
                </c:pt>
                <c:pt idx="596">
                  <c:v>11月</c:v>
                </c:pt>
                <c:pt idx="597">
                  <c:v>11月</c:v>
                </c:pt>
                <c:pt idx="598">
                  <c:v>11月</c:v>
                </c:pt>
                <c:pt idx="599">
                  <c:v>12月
2019</c:v>
                </c:pt>
                <c:pt idx="600">
                  <c:v>12月
2019</c:v>
                </c:pt>
                <c:pt idx="601">
                  <c:v>12月
2019</c:v>
                </c:pt>
                <c:pt idx="602">
                  <c:v>12月
2019</c:v>
                </c:pt>
                <c:pt idx="603">
                  <c:v>12月
2019</c:v>
                </c:pt>
                <c:pt idx="604">
                  <c:v>12月
2019</c:v>
                </c:pt>
                <c:pt idx="605">
                  <c:v>12月
2019</c:v>
                </c:pt>
                <c:pt idx="606">
                  <c:v>12月
2019</c:v>
                </c:pt>
                <c:pt idx="607">
                  <c:v>12月
2019</c:v>
                </c:pt>
                <c:pt idx="608">
                  <c:v>12月
2019</c:v>
                </c:pt>
                <c:pt idx="609">
                  <c:v>12月
2019</c:v>
                </c:pt>
                <c:pt idx="610">
                  <c:v>12月
2019</c:v>
                </c:pt>
                <c:pt idx="611">
                  <c:v>12月
2019</c:v>
                </c:pt>
                <c:pt idx="612">
                  <c:v>12月
2019</c:v>
                </c:pt>
                <c:pt idx="613">
                  <c:v>12月
2019</c:v>
                </c:pt>
                <c:pt idx="614">
                  <c:v>12月
2019</c:v>
                </c:pt>
                <c:pt idx="615">
                  <c:v>12月
2019</c:v>
                </c:pt>
                <c:pt idx="616">
                  <c:v>12月
2019</c:v>
                </c:pt>
                <c:pt idx="617">
                  <c:v>12月
2019</c:v>
                </c:pt>
                <c:pt idx="618">
                  <c:v>12月
2019</c:v>
                </c:pt>
                <c:pt idx="619">
                  <c:v>12月
2019</c:v>
                </c:pt>
                <c:pt idx="620">
                  <c:v>12月
2019</c:v>
                </c:pt>
                <c:pt idx="621">
                  <c:v>12月
2019</c:v>
                </c:pt>
                <c:pt idx="622">
                  <c:v>12月
2019</c:v>
                </c:pt>
                <c:pt idx="623">
                  <c:v>12月
2019</c:v>
                </c:pt>
                <c:pt idx="624">
                  <c:v>12月
2019</c:v>
                </c:pt>
                <c:pt idx="625">
                  <c:v>12月
2019</c:v>
                </c:pt>
                <c:pt idx="626">
                  <c:v>12月
2019</c:v>
                </c:pt>
                <c:pt idx="627">
                  <c:v>12月
2019</c:v>
                </c:pt>
                <c:pt idx="628">
                  <c:v>12月
2019</c:v>
                </c:pt>
                <c:pt idx="629">
                  <c:v>12月
2019</c:v>
                </c:pt>
                <c:pt idx="630">
                  <c:v>1月
2020</c:v>
                </c:pt>
                <c:pt idx="631">
                  <c:v>1月
2020</c:v>
                </c:pt>
                <c:pt idx="632">
                  <c:v>1月
2020</c:v>
                </c:pt>
                <c:pt idx="633">
                  <c:v>1月
2020</c:v>
                </c:pt>
                <c:pt idx="634">
                  <c:v>1月
2020</c:v>
                </c:pt>
                <c:pt idx="635">
                  <c:v>1月
2020</c:v>
                </c:pt>
                <c:pt idx="636">
                  <c:v>1月
2020</c:v>
                </c:pt>
                <c:pt idx="637">
                  <c:v>1月
2020</c:v>
                </c:pt>
                <c:pt idx="638">
                  <c:v>1月
2020</c:v>
                </c:pt>
                <c:pt idx="639">
                  <c:v>1月
2020</c:v>
                </c:pt>
                <c:pt idx="640">
                  <c:v>1月
2020</c:v>
                </c:pt>
                <c:pt idx="641">
                  <c:v>1月
2020</c:v>
                </c:pt>
                <c:pt idx="642">
                  <c:v>1月
2020</c:v>
                </c:pt>
                <c:pt idx="643">
                  <c:v>1月
2020</c:v>
                </c:pt>
                <c:pt idx="644">
                  <c:v>1月
2020</c:v>
                </c:pt>
                <c:pt idx="645">
                  <c:v>1月
2020</c:v>
                </c:pt>
                <c:pt idx="646">
                  <c:v>1月
2020</c:v>
                </c:pt>
                <c:pt idx="647">
                  <c:v>1月
2020</c:v>
                </c:pt>
                <c:pt idx="648">
                  <c:v>1月
2020</c:v>
                </c:pt>
                <c:pt idx="649">
                  <c:v>1月
2020</c:v>
                </c:pt>
                <c:pt idx="650">
                  <c:v>1月
2020</c:v>
                </c:pt>
                <c:pt idx="651">
                  <c:v>1月
2020</c:v>
                </c:pt>
                <c:pt idx="652">
                  <c:v>1月
2020</c:v>
                </c:pt>
                <c:pt idx="653">
                  <c:v>1月
2020</c:v>
                </c:pt>
                <c:pt idx="654">
                  <c:v>1月
2020</c:v>
                </c:pt>
                <c:pt idx="655">
                  <c:v>1月
2020</c:v>
                </c:pt>
                <c:pt idx="656">
                  <c:v>1月
2020</c:v>
                </c:pt>
                <c:pt idx="657">
                  <c:v>1月
2020</c:v>
                </c:pt>
                <c:pt idx="658">
                  <c:v>1月
2020</c:v>
                </c:pt>
                <c:pt idx="659">
                  <c:v>1月
2020</c:v>
                </c:pt>
                <c:pt idx="660">
                  <c:v>1月
2020</c:v>
                </c:pt>
                <c:pt idx="661">
                  <c:v>2月</c:v>
                </c:pt>
                <c:pt idx="662">
                  <c:v>2月</c:v>
                </c:pt>
                <c:pt idx="663">
                  <c:v>2月</c:v>
                </c:pt>
                <c:pt idx="664">
                  <c:v>2月</c:v>
                </c:pt>
                <c:pt idx="665">
                  <c:v>2月</c:v>
                </c:pt>
                <c:pt idx="666">
                  <c:v>2月</c:v>
                </c:pt>
                <c:pt idx="667">
                  <c:v>2月</c:v>
                </c:pt>
                <c:pt idx="668">
                  <c:v>2月</c:v>
                </c:pt>
                <c:pt idx="669">
                  <c:v>2月</c:v>
                </c:pt>
                <c:pt idx="670">
                  <c:v>2月</c:v>
                </c:pt>
                <c:pt idx="671">
                  <c:v>2月</c:v>
                </c:pt>
                <c:pt idx="672">
                  <c:v>2月</c:v>
                </c:pt>
                <c:pt idx="673">
                  <c:v>2月</c:v>
                </c:pt>
                <c:pt idx="674">
                  <c:v>2月</c:v>
                </c:pt>
                <c:pt idx="675">
                  <c:v>2月</c:v>
                </c:pt>
                <c:pt idx="676">
                  <c:v>2月</c:v>
                </c:pt>
                <c:pt idx="677">
                  <c:v>2月</c:v>
                </c:pt>
                <c:pt idx="678">
                  <c:v>2月</c:v>
                </c:pt>
                <c:pt idx="679">
                  <c:v>2月</c:v>
                </c:pt>
                <c:pt idx="680">
                  <c:v>2月</c:v>
                </c:pt>
                <c:pt idx="681">
                  <c:v>2月</c:v>
                </c:pt>
                <c:pt idx="682">
                  <c:v>2月</c:v>
                </c:pt>
                <c:pt idx="683">
                  <c:v>2月</c:v>
                </c:pt>
                <c:pt idx="684">
                  <c:v>2月</c:v>
                </c:pt>
                <c:pt idx="685">
                  <c:v>2月</c:v>
                </c:pt>
                <c:pt idx="686">
                  <c:v>2月</c:v>
                </c:pt>
                <c:pt idx="687">
                  <c:v>2月</c:v>
                </c:pt>
                <c:pt idx="688">
                  <c:v>2月</c:v>
                </c:pt>
                <c:pt idx="689">
                  <c:v>2月</c:v>
                </c:pt>
                <c:pt idx="690">
                  <c:v>3月
2020</c:v>
                </c:pt>
                <c:pt idx="691">
                  <c:v>3月
2020</c:v>
                </c:pt>
                <c:pt idx="692">
                  <c:v>3月
2020</c:v>
                </c:pt>
                <c:pt idx="693">
                  <c:v>3月
2020</c:v>
                </c:pt>
                <c:pt idx="694">
                  <c:v>3月
2020</c:v>
                </c:pt>
                <c:pt idx="695">
                  <c:v>3月
2020</c:v>
                </c:pt>
                <c:pt idx="696">
                  <c:v>3月
2020</c:v>
                </c:pt>
                <c:pt idx="697">
                  <c:v>3月
2020</c:v>
                </c:pt>
                <c:pt idx="698">
                  <c:v>3月
2020</c:v>
                </c:pt>
                <c:pt idx="699">
                  <c:v>3月
2020</c:v>
                </c:pt>
                <c:pt idx="700">
                  <c:v>3月
2020</c:v>
                </c:pt>
                <c:pt idx="701">
                  <c:v>3月
2020</c:v>
                </c:pt>
                <c:pt idx="702">
                  <c:v>3月
2020</c:v>
                </c:pt>
                <c:pt idx="703">
                  <c:v>3月
2020</c:v>
                </c:pt>
                <c:pt idx="704">
                  <c:v>3月
2020</c:v>
                </c:pt>
                <c:pt idx="705">
                  <c:v>3月
2020</c:v>
                </c:pt>
                <c:pt idx="706">
                  <c:v>3月
2020</c:v>
                </c:pt>
                <c:pt idx="707">
                  <c:v>3月
2020</c:v>
                </c:pt>
                <c:pt idx="708">
                  <c:v>3月
2020</c:v>
                </c:pt>
                <c:pt idx="709">
                  <c:v>3月
2020</c:v>
                </c:pt>
                <c:pt idx="710">
                  <c:v>3月
2020</c:v>
                </c:pt>
                <c:pt idx="711">
                  <c:v>3月
2020</c:v>
                </c:pt>
                <c:pt idx="712">
                  <c:v>3月
2020</c:v>
                </c:pt>
                <c:pt idx="713">
                  <c:v>3月
2020</c:v>
                </c:pt>
                <c:pt idx="714">
                  <c:v>3月
2020</c:v>
                </c:pt>
                <c:pt idx="715">
                  <c:v>3月
2020</c:v>
                </c:pt>
                <c:pt idx="716">
                  <c:v>3月
2020</c:v>
                </c:pt>
                <c:pt idx="717">
                  <c:v>3月
2020</c:v>
                </c:pt>
                <c:pt idx="718">
                  <c:v>3月
2020</c:v>
                </c:pt>
                <c:pt idx="719">
                  <c:v>3月
2020</c:v>
                </c:pt>
                <c:pt idx="720">
                  <c:v>3月
2020</c:v>
                </c:pt>
                <c:pt idx="721">
                  <c:v>4月
2020</c:v>
                </c:pt>
                <c:pt idx="722">
                  <c:v>4月
2020</c:v>
                </c:pt>
                <c:pt idx="723">
                  <c:v>4月
2020</c:v>
                </c:pt>
                <c:pt idx="724">
                  <c:v>4月
2020</c:v>
                </c:pt>
                <c:pt idx="725">
                  <c:v>4月
2020</c:v>
                </c:pt>
                <c:pt idx="726">
                  <c:v>4月
2020</c:v>
                </c:pt>
                <c:pt idx="727">
                  <c:v>4月
2020</c:v>
                </c:pt>
                <c:pt idx="728">
                  <c:v>4月
2020</c:v>
                </c:pt>
                <c:pt idx="729">
                  <c:v>4月
2020</c:v>
                </c:pt>
                <c:pt idx="730">
                  <c:v>4月
2020</c:v>
                </c:pt>
                <c:pt idx="731">
                  <c:v>4月
2020</c:v>
                </c:pt>
                <c:pt idx="732">
                  <c:v>4月
2020</c:v>
                </c:pt>
                <c:pt idx="733">
                  <c:v>4月
2020</c:v>
                </c:pt>
                <c:pt idx="734">
                  <c:v>4月
2020</c:v>
                </c:pt>
                <c:pt idx="735">
                  <c:v>4月
2020</c:v>
                </c:pt>
                <c:pt idx="736">
                  <c:v>4月
2020</c:v>
                </c:pt>
                <c:pt idx="737">
                  <c:v>4月
2020</c:v>
                </c:pt>
                <c:pt idx="738">
                  <c:v>4月
2020</c:v>
                </c:pt>
                <c:pt idx="739">
                  <c:v>4月
2020</c:v>
                </c:pt>
                <c:pt idx="740">
                  <c:v>4月
2020</c:v>
                </c:pt>
                <c:pt idx="741">
                  <c:v>4月
2020</c:v>
                </c:pt>
                <c:pt idx="742">
                  <c:v>4月
2020</c:v>
                </c:pt>
                <c:pt idx="743">
                  <c:v>4月
2020</c:v>
                </c:pt>
                <c:pt idx="744">
                  <c:v>4月
2020</c:v>
                </c:pt>
                <c:pt idx="745">
                  <c:v>4月
2020</c:v>
                </c:pt>
                <c:pt idx="746">
                  <c:v>4月
2020</c:v>
                </c:pt>
                <c:pt idx="747">
                  <c:v>4月
2020</c:v>
                </c:pt>
                <c:pt idx="748">
                  <c:v>4月
2020</c:v>
                </c:pt>
                <c:pt idx="749">
                  <c:v>4月
2020</c:v>
                </c:pt>
                <c:pt idx="750">
                  <c:v>4月
2020</c:v>
                </c:pt>
                <c:pt idx="751">
                  <c:v>5月</c:v>
                </c:pt>
                <c:pt idx="752">
                  <c:v>5月</c:v>
                </c:pt>
                <c:pt idx="753">
                  <c:v>5月</c:v>
                </c:pt>
                <c:pt idx="754">
                  <c:v>5月</c:v>
                </c:pt>
                <c:pt idx="755">
                  <c:v>5月</c:v>
                </c:pt>
                <c:pt idx="756">
                  <c:v>5月</c:v>
                </c:pt>
                <c:pt idx="757">
                  <c:v>5月</c:v>
                </c:pt>
                <c:pt idx="758">
                  <c:v>5月</c:v>
                </c:pt>
                <c:pt idx="759">
                  <c:v>5月</c:v>
                </c:pt>
                <c:pt idx="760">
                  <c:v>5月</c:v>
                </c:pt>
                <c:pt idx="761">
                  <c:v>5月</c:v>
                </c:pt>
                <c:pt idx="762">
                  <c:v>5月</c:v>
                </c:pt>
                <c:pt idx="763">
                  <c:v>5月</c:v>
                </c:pt>
                <c:pt idx="764">
                  <c:v>5月</c:v>
                </c:pt>
                <c:pt idx="765">
                  <c:v>5月</c:v>
                </c:pt>
                <c:pt idx="766">
                  <c:v>5月</c:v>
                </c:pt>
                <c:pt idx="767">
                  <c:v>5月</c:v>
                </c:pt>
                <c:pt idx="768">
                  <c:v>5月</c:v>
                </c:pt>
                <c:pt idx="769">
                  <c:v>5月</c:v>
                </c:pt>
                <c:pt idx="770">
                  <c:v>5月</c:v>
                </c:pt>
                <c:pt idx="771">
                  <c:v>5月</c:v>
                </c:pt>
                <c:pt idx="772">
                  <c:v>5月</c:v>
                </c:pt>
                <c:pt idx="773">
                  <c:v>5月</c:v>
                </c:pt>
                <c:pt idx="774">
                  <c:v>5月</c:v>
                </c:pt>
                <c:pt idx="775">
                  <c:v>5月</c:v>
                </c:pt>
                <c:pt idx="776">
                  <c:v>5月</c:v>
                </c:pt>
                <c:pt idx="777">
                  <c:v>5月</c:v>
                </c:pt>
                <c:pt idx="778">
                  <c:v>5月</c:v>
                </c:pt>
                <c:pt idx="779">
                  <c:v>5月</c:v>
                </c:pt>
                <c:pt idx="780">
                  <c:v>5月</c:v>
                </c:pt>
                <c:pt idx="781">
                  <c:v>5月</c:v>
                </c:pt>
                <c:pt idx="782">
                  <c:v>6月
2020</c:v>
                </c:pt>
                <c:pt idx="783">
                  <c:v>6月
2020</c:v>
                </c:pt>
                <c:pt idx="784">
                  <c:v>6月
2020</c:v>
                </c:pt>
                <c:pt idx="785">
                  <c:v>6月
2020</c:v>
                </c:pt>
                <c:pt idx="786">
                  <c:v>6月
2020</c:v>
                </c:pt>
                <c:pt idx="787">
                  <c:v>6月
2020</c:v>
                </c:pt>
                <c:pt idx="788">
                  <c:v>6月
2020</c:v>
                </c:pt>
                <c:pt idx="789">
                  <c:v>6月
2020</c:v>
                </c:pt>
                <c:pt idx="790">
                  <c:v>6月
2020</c:v>
                </c:pt>
                <c:pt idx="791">
                  <c:v>6月
2020</c:v>
                </c:pt>
                <c:pt idx="792">
                  <c:v>6月
2020</c:v>
                </c:pt>
                <c:pt idx="793">
                  <c:v>6月
2020</c:v>
                </c:pt>
                <c:pt idx="794">
                  <c:v>6月
2020</c:v>
                </c:pt>
                <c:pt idx="795">
                  <c:v>6月
2020</c:v>
                </c:pt>
                <c:pt idx="796">
                  <c:v>6月
2020</c:v>
                </c:pt>
                <c:pt idx="797">
                  <c:v>6月
2020</c:v>
                </c:pt>
                <c:pt idx="798">
                  <c:v>6月
2020</c:v>
                </c:pt>
                <c:pt idx="799">
                  <c:v>6月
2020</c:v>
                </c:pt>
                <c:pt idx="800">
                  <c:v>6月
2020</c:v>
                </c:pt>
                <c:pt idx="801">
                  <c:v>6月
2020</c:v>
                </c:pt>
                <c:pt idx="802">
                  <c:v>6月
2020</c:v>
                </c:pt>
                <c:pt idx="803">
                  <c:v>6月
2020</c:v>
                </c:pt>
                <c:pt idx="804">
                  <c:v>6月
2020</c:v>
                </c:pt>
                <c:pt idx="805">
                  <c:v>6月
2020</c:v>
                </c:pt>
                <c:pt idx="806">
                  <c:v>6月
2020</c:v>
                </c:pt>
                <c:pt idx="807">
                  <c:v>6月
2020</c:v>
                </c:pt>
                <c:pt idx="808">
                  <c:v>6月
2020</c:v>
                </c:pt>
                <c:pt idx="809">
                  <c:v>6月
2020</c:v>
                </c:pt>
                <c:pt idx="810">
                  <c:v>6月
2020</c:v>
                </c:pt>
                <c:pt idx="811">
                  <c:v>6月
2020</c:v>
                </c:pt>
                <c:pt idx="812">
                  <c:v>7月</c:v>
                </c:pt>
                <c:pt idx="813">
                  <c:v>7月</c:v>
                </c:pt>
                <c:pt idx="814">
                  <c:v>7月</c:v>
                </c:pt>
                <c:pt idx="815">
                  <c:v>7月</c:v>
                </c:pt>
                <c:pt idx="816">
                  <c:v>7月</c:v>
                </c:pt>
                <c:pt idx="817">
                  <c:v>7月</c:v>
                </c:pt>
                <c:pt idx="818">
                  <c:v>7月</c:v>
                </c:pt>
                <c:pt idx="819">
                  <c:v>7月</c:v>
                </c:pt>
                <c:pt idx="820">
                  <c:v>7月</c:v>
                </c:pt>
                <c:pt idx="821">
                  <c:v>7月</c:v>
                </c:pt>
                <c:pt idx="822">
                  <c:v>7月</c:v>
                </c:pt>
                <c:pt idx="823">
                  <c:v>7月</c:v>
                </c:pt>
                <c:pt idx="824">
                  <c:v>7月</c:v>
                </c:pt>
                <c:pt idx="825">
                  <c:v>7月</c:v>
                </c:pt>
                <c:pt idx="826">
                  <c:v>7月</c:v>
                </c:pt>
                <c:pt idx="827">
                  <c:v>7月</c:v>
                </c:pt>
                <c:pt idx="828">
                  <c:v>7月</c:v>
                </c:pt>
                <c:pt idx="829">
                  <c:v>7月</c:v>
                </c:pt>
                <c:pt idx="830">
                  <c:v>7月</c:v>
                </c:pt>
                <c:pt idx="831">
                  <c:v>7月</c:v>
                </c:pt>
                <c:pt idx="832">
                  <c:v>7月</c:v>
                </c:pt>
                <c:pt idx="833">
                  <c:v>7月</c:v>
                </c:pt>
                <c:pt idx="834">
                  <c:v>7月</c:v>
                </c:pt>
                <c:pt idx="835">
                  <c:v>7月</c:v>
                </c:pt>
                <c:pt idx="836">
                  <c:v>7月</c:v>
                </c:pt>
                <c:pt idx="837">
                  <c:v>7月</c:v>
                </c:pt>
                <c:pt idx="838">
                  <c:v>7月</c:v>
                </c:pt>
                <c:pt idx="839">
                  <c:v>7月</c:v>
                </c:pt>
                <c:pt idx="840">
                  <c:v>7月</c:v>
                </c:pt>
                <c:pt idx="841">
                  <c:v>7月</c:v>
                </c:pt>
                <c:pt idx="842">
                  <c:v>7月</c:v>
                </c:pt>
                <c:pt idx="843">
                  <c:v>8月
2020</c:v>
                </c:pt>
                <c:pt idx="844">
                  <c:v>8月
2020</c:v>
                </c:pt>
                <c:pt idx="845">
                  <c:v>8月
2020</c:v>
                </c:pt>
                <c:pt idx="846">
                  <c:v>8月
2020</c:v>
                </c:pt>
                <c:pt idx="847">
                  <c:v>8月
2020</c:v>
                </c:pt>
                <c:pt idx="848">
                  <c:v>8月
2020</c:v>
                </c:pt>
                <c:pt idx="849">
                  <c:v>8月
2020</c:v>
                </c:pt>
                <c:pt idx="850">
                  <c:v>8月
2020</c:v>
                </c:pt>
                <c:pt idx="851">
                  <c:v>8月
2020</c:v>
                </c:pt>
                <c:pt idx="852">
                  <c:v>8月
2020</c:v>
                </c:pt>
                <c:pt idx="853">
                  <c:v>8月
2020</c:v>
                </c:pt>
                <c:pt idx="854">
                  <c:v>8月
2020</c:v>
                </c:pt>
                <c:pt idx="855">
                  <c:v>8月
2020</c:v>
                </c:pt>
                <c:pt idx="856">
                  <c:v>8月
2020</c:v>
                </c:pt>
                <c:pt idx="857">
                  <c:v>8月
2020</c:v>
                </c:pt>
                <c:pt idx="858">
                  <c:v>8月
2020</c:v>
                </c:pt>
                <c:pt idx="859">
                  <c:v>8月
2020</c:v>
                </c:pt>
                <c:pt idx="860">
                  <c:v>8月
2020</c:v>
                </c:pt>
                <c:pt idx="861">
                  <c:v>8月
2020</c:v>
                </c:pt>
                <c:pt idx="862">
                  <c:v>8月
2020</c:v>
                </c:pt>
                <c:pt idx="863">
                  <c:v>8月
2020</c:v>
                </c:pt>
                <c:pt idx="864">
                  <c:v>8月
2020</c:v>
                </c:pt>
                <c:pt idx="865">
                  <c:v>8月
2020</c:v>
                </c:pt>
                <c:pt idx="866">
                  <c:v>8月
2020</c:v>
                </c:pt>
                <c:pt idx="867">
                  <c:v>8月
2020</c:v>
                </c:pt>
                <c:pt idx="868">
                  <c:v>8月
2020</c:v>
                </c:pt>
                <c:pt idx="869">
                  <c:v>8月
2020</c:v>
                </c:pt>
                <c:pt idx="870">
                  <c:v>8月
2020</c:v>
                </c:pt>
                <c:pt idx="871">
                  <c:v>8月
2020</c:v>
                </c:pt>
                <c:pt idx="872">
                  <c:v>8月
2020</c:v>
                </c:pt>
                <c:pt idx="873">
                  <c:v>8月
2020</c:v>
                </c:pt>
                <c:pt idx="874">
                  <c:v>9月</c:v>
                </c:pt>
                <c:pt idx="875">
                  <c:v>9月</c:v>
                </c:pt>
                <c:pt idx="876">
                  <c:v>9月</c:v>
                </c:pt>
                <c:pt idx="877">
                  <c:v>9月</c:v>
                </c:pt>
                <c:pt idx="878">
                  <c:v>9月</c:v>
                </c:pt>
                <c:pt idx="879">
                  <c:v>9月</c:v>
                </c:pt>
                <c:pt idx="880">
                  <c:v>9月</c:v>
                </c:pt>
                <c:pt idx="881">
                  <c:v>9月</c:v>
                </c:pt>
                <c:pt idx="882">
                  <c:v>9月</c:v>
                </c:pt>
                <c:pt idx="883">
                  <c:v>9月</c:v>
                </c:pt>
                <c:pt idx="884">
                  <c:v>9月</c:v>
                </c:pt>
                <c:pt idx="885">
                  <c:v>9月</c:v>
                </c:pt>
                <c:pt idx="886">
                  <c:v>9月</c:v>
                </c:pt>
                <c:pt idx="887">
                  <c:v>9月</c:v>
                </c:pt>
                <c:pt idx="888">
                  <c:v>9月</c:v>
                </c:pt>
                <c:pt idx="889">
                  <c:v>9月</c:v>
                </c:pt>
                <c:pt idx="890">
                  <c:v>9月</c:v>
                </c:pt>
                <c:pt idx="891">
                  <c:v>9月</c:v>
                </c:pt>
                <c:pt idx="892">
                  <c:v>9月</c:v>
                </c:pt>
                <c:pt idx="893">
                  <c:v>9月</c:v>
                </c:pt>
                <c:pt idx="894">
                  <c:v>9月</c:v>
                </c:pt>
                <c:pt idx="895">
                  <c:v>9月</c:v>
                </c:pt>
                <c:pt idx="896">
                  <c:v>9月</c:v>
                </c:pt>
                <c:pt idx="897">
                  <c:v>9月</c:v>
                </c:pt>
                <c:pt idx="898">
                  <c:v>9月</c:v>
                </c:pt>
                <c:pt idx="899">
                  <c:v>9月</c:v>
                </c:pt>
                <c:pt idx="900">
                  <c:v>9月</c:v>
                </c:pt>
                <c:pt idx="901">
                  <c:v>9月</c:v>
                </c:pt>
                <c:pt idx="902">
                  <c:v>9月</c:v>
                </c:pt>
                <c:pt idx="903">
                  <c:v>9月</c:v>
                </c:pt>
                <c:pt idx="904">
                  <c:v>10月</c:v>
                </c:pt>
                <c:pt idx="905">
                  <c:v>10月</c:v>
                </c:pt>
                <c:pt idx="906">
                  <c:v>10月</c:v>
                </c:pt>
                <c:pt idx="907">
                  <c:v>10月</c:v>
                </c:pt>
                <c:pt idx="908">
                  <c:v>10月</c:v>
                </c:pt>
                <c:pt idx="909">
                  <c:v>10月</c:v>
                </c:pt>
                <c:pt idx="910">
                  <c:v>10月</c:v>
                </c:pt>
                <c:pt idx="911">
                  <c:v>10月</c:v>
                </c:pt>
                <c:pt idx="912">
                  <c:v>10月</c:v>
                </c:pt>
                <c:pt idx="913">
                  <c:v>10月</c:v>
                </c:pt>
                <c:pt idx="914">
                  <c:v>10月</c:v>
                </c:pt>
                <c:pt idx="915">
                  <c:v>10月</c:v>
                </c:pt>
                <c:pt idx="916">
                  <c:v>10月</c:v>
                </c:pt>
                <c:pt idx="917">
                  <c:v>10月</c:v>
                </c:pt>
                <c:pt idx="918">
                  <c:v>10月</c:v>
                </c:pt>
                <c:pt idx="919">
                  <c:v>10月</c:v>
                </c:pt>
                <c:pt idx="920">
                  <c:v>10月</c:v>
                </c:pt>
                <c:pt idx="921">
                  <c:v>10月</c:v>
                </c:pt>
                <c:pt idx="922">
                  <c:v>10月</c:v>
                </c:pt>
                <c:pt idx="923">
                  <c:v>10月</c:v>
                </c:pt>
                <c:pt idx="924">
                  <c:v>10月</c:v>
                </c:pt>
                <c:pt idx="925">
                  <c:v>10月</c:v>
                </c:pt>
                <c:pt idx="926">
                  <c:v>10月</c:v>
                </c:pt>
                <c:pt idx="927">
                  <c:v>10月</c:v>
                </c:pt>
                <c:pt idx="928">
                  <c:v>10月</c:v>
                </c:pt>
                <c:pt idx="929">
                  <c:v>10月</c:v>
                </c:pt>
                <c:pt idx="930">
                  <c:v>10月</c:v>
                </c:pt>
                <c:pt idx="931">
                  <c:v>10月</c:v>
                </c:pt>
                <c:pt idx="932">
                  <c:v>10月</c:v>
                </c:pt>
                <c:pt idx="933">
                  <c:v>10月</c:v>
                </c:pt>
                <c:pt idx="934">
                  <c:v>10月</c:v>
                </c:pt>
                <c:pt idx="935">
                  <c:v>11月</c:v>
                </c:pt>
                <c:pt idx="936">
                  <c:v>11月</c:v>
                </c:pt>
                <c:pt idx="937">
                  <c:v>11月</c:v>
                </c:pt>
                <c:pt idx="938">
                  <c:v>11月</c:v>
                </c:pt>
                <c:pt idx="939">
                  <c:v>11月</c:v>
                </c:pt>
                <c:pt idx="940">
                  <c:v>11月</c:v>
                </c:pt>
                <c:pt idx="941">
                  <c:v>11月</c:v>
                </c:pt>
                <c:pt idx="942">
                  <c:v>11月</c:v>
                </c:pt>
                <c:pt idx="943">
                  <c:v>11月</c:v>
                </c:pt>
                <c:pt idx="944">
                  <c:v>11月</c:v>
                </c:pt>
                <c:pt idx="945">
                  <c:v>11月</c:v>
                </c:pt>
                <c:pt idx="946">
                  <c:v>11月</c:v>
                </c:pt>
                <c:pt idx="947">
                  <c:v>11月</c:v>
                </c:pt>
                <c:pt idx="948">
                  <c:v>11月</c:v>
                </c:pt>
                <c:pt idx="949">
                  <c:v>11月</c:v>
                </c:pt>
                <c:pt idx="950">
                  <c:v>11月</c:v>
                </c:pt>
                <c:pt idx="951">
                  <c:v>11月</c:v>
                </c:pt>
                <c:pt idx="952">
                  <c:v>11月</c:v>
                </c:pt>
                <c:pt idx="953">
                  <c:v>11月</c:v>
                </c:pt>
                <c:pt idx="954">
                  <c:v>11月</c:v>
                </c:pt>
                <c:pt idx="955">
                  <c:v>11月</c:v>
                </c:pt>
                <c:pt idx="956">
                  <c:v>11月</c:v>
                </c:pt>
                <c:pt idx="957">
                  <c:v>11月</c:v>
                </c:pt>
                <c:pt idx="958">
                  <c:v>11月</c:v>
                </c:pt>
                <c:pt idx="959">
                  <c:v>11月</c:v>
                </c:pt>
                <c:pt idx="960">
                  <c:v>11月</c:v>
                </c:pt>
                <c:pt idx="961">
                  <c:v>11月</c:v>
                </c:pt>
                <c:pt idx="962">
                  <c:v>11月</c:v>
                </c:pt>
                <c:pt idx="963">
                  <c:v>11月</c:v>
                </c:pt>
                <c:pt idx="964">
                  <c:v>11月</c:v>
                </c:pt>
                <c:pt idx="965">
                  <c:v>12月</c:v>
                </c:pt>
                <c:pt idx="966">
                  <c:v>12月</c:v>
                </c:pt>
                <c:pt idx="967">
                  <c:v>12月</c:v>
                </c:pt>
                <c:pt idx="968">
                  <c:v>12月</c:v>
                </c:pt>
                <c:pt idx="969">
                  <c:v>12月</c:v>
                </c:pt>
                <c:pt idx="970">
                  <c:v>12月</c:v>
                </c:pt>
                <c:pt idx="971">
                  <c:v>12月</c:v>
                </c:pt>
                <c:pt idx="972">
                  <c:v>12月</c:v>
                </c:pt>
                <c:pt idx="973">
                  <c:v>12月</c:v>
                </c:pt>
                <c:pt idx="974">
                  <c:v>12月</c:v>
                </c:pt>
                <c:pt idx="975">
                  <c:v>12月</c:v>
                </c:pt>
                <c:pt idx="976">
                  <c:v>12月</c:v>
                </c:pt>
                <c:pt idx="977">
                  <c:v>12月</c:v>
                </c:pt>
                <c:pt idx="978">
                  <c:v>12月</c:v>
                </c:pt>
                <c:pt idx="979">
                  <c:v>12月</c:v>
                </c:pt>
                <c:pt idx="980">
                  <c:v>12月</c:v>
                </c:pt>
                <c:pt idx="981">
                  <c:v>12月</c:v>
                </c:pt>
                <c:pt idx="982">
                  <c:v>12月</c:v>
                </c:pt>
                <c:pt idx="983">
                  <c:v>12月</c:v>
                </c:pt>
                <c:pt idx="984">
                  <c:v>12月</c:v>
                </c:pt>
                <c:pt idx="985">
                  <c:v>12月</c:v>
                </c:pt>
                <c:pt idx="986">
                  <c:v>12月</c:v>
                </c:pt>
                <c:pt idx="987">
                  <c:v>12月</c:v>
                </c:pt>
                <c:pt idx="988">
                  <c:v>12月</c:v>
                </c:pt>
                <c:pt idx="989">
                  <c:v>12月</c:v>
                </c:pt>
                <c:pt idx="990">
                  <c:v>12月</c:v>
                </c:pt>
                <c:pt idx="991">
                  <c:v>12月</c:v>
                </c:pt>
                <c:pt idx="992">
                  <c:v>12月</c:v>
                </c:pt>
                <c:pt idx="993">
                  <c:v>12月</c:v>
                </c:pt>
                <c:pt idx="994">
                  <c:v>12月</c:v>
                </c:pt>
                <c:pt idx="995">
                  <c:v>12月</c:v>
                </c:pt>
                <c:pt idx="996">
                  <c:v>1月
2021</c:v>
                </c:pt>
                <c:pt idx="997">
                  <c:v>1月
2021</c:v>
                </c:pt>
                <c:pt idx="998">
                  <c:v>1月
2021</c:v>
                </c:pt>
                <c:pt idx="999">
                  <c:v>1月
2021</c:v>
                </c:pt>
                <c:pt idx="1000">
                  <c:v>1月
2021</c:v>
                </c:pt>
                <c:pt idx="1001">
                  <c:v>1月
2021</c:v>
                </c:pt>
                <c:pt idx="1002">
                  <c:v>1月
2021</c:v>
                </c:pt>
                <c:pt idx="1003">
                  <c:v>1月
2021</c:v>
                </c:pt>
                <c:pt idx="1004">
                  <c:v>1月
2021</c:v>
                </c:pt>
                <c:pt idx="1005">
                  <c:v>1月
2021</c:v>
                </c:pt>
                <c:pt idx="1006">
                  <c:v>1月
2021</c:v>
                </c:pt>
                <c:pt idx="1007">
                  <c:v>1月
2021</c:v>
                </c:pt>
                <c:pt idx="1008">
                  <c:v>1月
2021</c:v>
                </c:pt>
                <c:pt idx="1009">
                  <c:v>1月
2021</c:v>
                </c:pt>
                <c:pt idx="1010">
                  <c:v>1月
2021</c:v>
                </c:pt>
                <c:pt idx="1011">
                  <c:v>1月
2021</c:v>
                </c:pt>
                <c:pt idx="1012">
                  <c:v>1月
2021</c:v>
                </c:pt>
                <c:pt idx="1013">
                  <c:v>1月
2021</c:v>
                </c:pt>
                <c:pt idx="1014">
                  <c:v>1月
2021</c:v>
                </c:pt>
                <c:pt idx="1015">
                  <c:v>1月
2021</c:v>
                </c:pt>
                <c:pt idx="1016">
                  <c:v>1月
2021</c:v>
                </c:pt>
                <c:pt idx="1017">
                  <c:v>1月
2021</c:v>
                </c:pt>
                <c:pt idx="1018">
                  <c:v>1月
2021</c:v>
                </c:pt>
                <c:pt idx="1019">
                  <c:v>1月
2021</c:v>
                </c:pt>
                <c:pt idx="1020">
                  <c:v>1月
2021</c:v>
                </c:pt>
                <c:pt idx="1021">
                  <c:v>1月
2021</c:v>
                </c:pt>
                <c:pt idx="1022">
                  <c:v>1月
2021</c:v>
                </c:pt>
                <c:pt idx="1023">
                  <c:v>1月
2021</c:v>
                </c:pt>
                <c:pt idx="1024">
                  <c:v>1月
2021</c:v>
                </c:pt>
                <c:pt idx="1025">
                  <c:v>1月
2021</c:v>
                </c:pt>
                <c:pt idx="1026">
                  <c:v>1月
2021</c:v>
                </c:pt>
                <c:pt idx="1027">
                  <c:v>2月
2021</c:v>
                </c:pt>
                <c:pt idx="1028">
                  <c:v>2月
2021</c:v>
                </c:pt>
                <c:pt idx="1029">
                  <c:v>2月
2021</c:v>
                </c:pt>
                <c:pt idx="1030">
                  <c:v>2月
2021</c:v>
                </c:pt>
                <c:pt idx="1031">
                  <c:v>2月
2021</c:v>
                </c:pt>
                <c:pt idx="1032">
                  <c:v>2月
2021</c:v>
                </c:pt>
                <c:pt idx="1033">
                  <c:v>2月
2021</c:v>
                </c:pt>
                <c:pt idx="1034">
                  <c:v>2月
2021</c:v>
                </c:pt>
                <c:pt idx="1035">
                  <c:v>2月
2021</c:v>
                </c:pt>
                <c:pt idx="1036">
                  <c:v>2月
2021</c:v>
                </c:pt>
                <c:pt idx="1037">
                  <c:v>2月
2021</c:v>
                </c:pt>
                <c:pt idx="1038">
                  <c:v>2月
2021</c:v>
                </c:pt>
                <c:pt idx="1039">
                  <c:v>2月
2021</c:v>
                </c:pt>
                <c:pt idx="1040">
                  <c:v>2月
2021</c:v>
                </c:pt>
                <c:pt idx="1041">
                  <c:v>2月
2021</c:v>
                </c:pt>
                <c:pt idx="1042">
                  <c:v>2月
2021</c:v>
                </c:pt>
                <c:pt idx="1043">
                  <c:v>2月
2021</c:v>
                </c:pt>
                <c:pt idx="1044">
                  <c:v>2月
2021</c:v>
                </c:pt>
                <c:pt idx="1045">
                  <c:v>2月
2021</c:v>
                </c:pt>
                <c:pt idx="1046">
                  <c:v>2月
2021</c:v>
                </c:pt>
                <c:pt idx="1047">
                  <c:v>2月
2021</c:v>
                </c:pt>
                <c:pt idx="1048">
                  <c:v>2月
2021</c:v>
                </c:pt>
                <c:pt idx="1049">
                  <c:v>2月
2021</c:v>
                </c:pt>
                <c:pt idx="1050">
                  <c:v>2月
2021</c:v>
                </c:pt>
                <c:pt idx="1051">
                  <c:v>2月
2021</c:v>
                </c:pt>
                <c:pt idx="1052">
                  <c:v>2月
2021</c:v>
                </c:pt>
                <c:pt idx="1053">
                  <c:v>2月
2021</c:v>
                </c:pt>
                <c:pt idx="1054">
                  <c:v>2月
2021</c:v>
                </c:pt>
                <c:pt idx="1055">
                  <c:v>3月
2021</c:v>
                </c:pt>
                <c:pt idx="1056">
                  <c:v>3月
2021</c:v>
                </c:pt>
                <c:pt idx="1057">
                  <c:v>3月
2021</c:v>
                </c:pt>
                <c:pt idx="1058">
                  <c:v>3月
2021</c:v>
                </c:pt>
                <c:pt idx="1059">
                  <c:v>3月
2021</c:v>
                </c:pt>
                <c:pt idx="1060">
                  <c:v>3月
2021</c:v>
                </c:pt>
                <c:pt idx="1061">
                  <c:v>3月
2021</c:v>
                </c:pt>
                <c:pt idx="1062">
                  <c:v>3月
2021</c:v>
                </c:pt>
                <c:pt idx="1063">
                  <c:v>3月
2021</c:v>
                </c:pt>
                <c:pt idx="1064">
                  <c:v>3月
2021</c:v>
                </c:pt>
                <c:pt idx="1065">
                  <c:v>3月
2021</c:v>
                </c:pt>
                <c:pt idx="1066">
                  <c:v>3月
2021</c:v>
                </c:pt>
                <c:pt idx="1067">
                  <c:v>3月
2021</c:v>
                </c:pt>
                <c:pt idx="1068">
                  <c:v>3月
2021</c:v>
                </c:pt>
                <c:pt idx="1069">
                  <c:v>3月
2021</c:v>
                </c:pt>
                <c:pt idx="1070">
                  <c:v>3月
2021</c:v>
                </c:pt>
                <c:pt idx="1071">
                  <c:v>3月
2021</c:v>
                </c:pt>
                <c:pt idx="1072">
                  <c:v>3月
2021</c:v>
                </c:pt>
                <c:pt idx="1073">
                  <c:v>3月
2021</c:v>
                </c:pt>
                <c:pt idx="1074">
                  <c:v>3月
2021</c:v>
                </c:pt>
                <c:pt idx="1075">
                  <c:v>3月
2021</c:v>
                </c:pt>
                <c:pt idx="1076">
                  <c:v>3月
2021</c:v>
                </c:pt>
                <c:pt idx="1077">
                  <c:v>3月
2021</c:v>
                </c:pt>
                <c:pt idx="1078">
                  <c:v>3月
2021</c:v>
                </c:pt>
                <c:pt idx="1079">
                  <c:v>3月
2021</c:v>
                </c:pt>
                <c:pt idx="1080">
                  <c:v>3月
2021</c:v>
                </c:pt>
                <c:pt idx="1081">
                  <c:v>3月
2021</c:v>
                </c:pt>
                <c:pt idx="1082">
                  <c:v>3月
2021</c:v>
                </c:pt>
                <c:pt idx="1083">
                  <c:v>3月
2021</c:v>
                </c:pt>
                <c:pt idx="1084">
                  <c:v>3月
2021</c:v>
                </c:pt>
                <c:pt idx="1085">
                  <c:v>3月
2021</c:v>
                </c:pt>
                <c:pt idx="1086">
                  <c:v>4月
2021</c:v>
                </c:pt>
                <c:pt idx="1087">
                  <c:v>4月
2021</c:v>
                </c:pt>
                <c:pt idx="1088">
                  <c:v>4月
2021</c:v>
                </c:pt>
                <c:pt idx="1089">
                  <c:v>4月
2021</c:v>
                </c:pt>
                <c:pt idx="1090">
                  <c:v>4月
2021</c:v>
                </c:pt>
                <c:pt idx="1091">
                  <c:v>4月
2021</c:v>
                </c:pt>
                <c:pt idx="1092">
                  <c:v>4月
2021</c:v>
                </c:pt>
                <c:pt idx="1093">
                  <c:v>4月
2021</c:v>
                </c:pt>
                <c:pt idx="1094">
                  <c:v>4月
2021</c:v>
                </c:pt>
                <c:pt idx="1095">
                  <c:v>4月
2021</c:v>
                </c:pt>
                <c:pt idx="1096">
                  <c:v>4月
2021</c:v>
                </c:pt>
                <c:pt idx="1097">
                  <c:v>4月
2021</c:v>
                </c:pt>
                <c:pt idx="1098">
                  <c:v>4月
2021</c:v>
                </c:pt>
                <c:pt idx="1099">
                  <c:v>4月
2021</c:v>
                </c:pt>
                <c:pt idx="1100">
                  <c:v>4月
2021</c:v>
                </c:pt>
                <c:pt idx="1101">
                  <c:v>4月
2021</c:v>
                </c:pt>
                <c:pt idx="1102">
                  <c:v>4月
2021</c:v>
                </c:pt>
                <c:pt idx="1103">
                  <c:v>4月
2021</c:v>
                </c:pt>
                <c:pt idx="1104">
                  <c:v>4月
2021</c:v>
                </c:pt>
                <c:pt idx="1105">
                  <c:v>4月
2021</c:v>
                </c:pt>
                <c:pt idx="1106">
                  <c:v>4月
2021</c:v>
                </c:pt>
                <c:pt idx="1107">
                  <c:v>4月
2021</c:v>
                </c:pt>
                <c:pt idx="1108">
                  <c:v>4月
2021</c:v>
                </c:pt>
                <c:pt idx="1109">
                  <c:v>4月
2021</c:v>
                </c:pt>
                <c:pt idx="1110">
                  <c:v>4月
2021</c:v>
                </c:pt>
                <c:pt idx="1111">
                  <c:v>4月
2021</c:v>
                </c:pt>
                <c:pt idx="1112">
                  <c:v>4月
2021</c:v>
                </c:pt>
                <c:pt idx="1113">
                  <c:v>4月
2021</c:v>
                </c:pt>
                <c:pt idx="1114">
                  <c:v>4月
2021</c:v>
                </c:pt>
                <c:pt idx="1115">
                  <c:v>4月
2021</c:v>
                </c:pt>
                <c:pt idx="1116">
                  <c:v>5月
2021</c:v>
                </c:pt>
                <c:pt idx="1117">
                  <c:v>5月
2021</c:v>
                </c:pt>
                <c:pt idx="1118">
                  <c:v>5月
2021</c:v>
                </c:pt>
                <c:pt idx="1119">
                  <c:v>5月
2021</c:v>
                </c:pt>
                <c:pt idx="1120">
                  <c:v>5月
2021</c:v>
                </c:pt>
                <c:pt idx="1121">
                  <c:v>5月
2021</c:v>
                </c:pt>
                <c:pt idx="1122">
                  <c:v>5月
2021</c:v>
                </c:pt>
                <c:pt idx="1123">
                  <c:v>5月
2021</c:v>
                </c:pt>
                <c:pt idx="1124">
                  <c:v>5月
2021</c:v>
                </c:pt>
                <c:pt idx="1125">
                  <c:v>5月
2021</c:v>
                </c:pt>
                <c:pt idx="1126">
                  <c:v>5月
2021</c:v>
                </c:pt>
                <c:pt idx="1127">
                  <c:v>5月
2021</c:v>
                </c:pt>
                <c:pt idx="1128">
                  <c:v>5月
2021</c:v>
                </c:pt>
                <c:pt idx="1129">
                  <c:v>5月
2021</c:v>
                </c:pt>
                <c:pt idx="1130">
                  <c:v>5月
2021</c:v>
                </c:pt>
                <c:pt idx="1131">
                  <c:v>5月
2021</c:v>
                </c:pt>
                <c:pt idx="1132">
                  <c:v>5月
2021</c:v>
                </c:pt>
                <c:pt idx="1133">
                  <c:v>5月
2021</c:v>
                </c:pt>
                <c:pt idx="1134">
                  <c:v>5月
2021</c:v>
                </c:pt>
                <c:pt idx="1135">
                  <c:v>5月
2021</c:v>
                </c:pt>
                <c:pt idx="1136">
                  <c:v>5月
2021</c:v>
                </c:pt>
                <c:pt idx="1137">
                  <c:v>5月
2021</c:v>
                </c:pt>
                <c:pt idx="1138">
                  <c:v>5月
2021</c:v>
                </c:pt>
                <c:pt idx="1139">
                  <c:v>5月
2021</c:v>
                </c:pt>
                <c:pt idx="1140">
                  <c:v>5月
2021</c:v>
                </c:pt>
                <c:pt idx="1141">
                  <c:v>5月
2021</c:v>
                </c:pt>
                <c:pt idx="1142">
                  <c:v>5月
2021</c:v>
                </c:pt>
                <c:pt idx="1143">
                  <c:v>5月
2021</c:v>
                </c:pt>
                <c:pt idx="1144">
                  <c:v>5月
2021</c:v>
                </c:pt>
                <c:pt idx="1145">
                  <c:v>5月
2021</c:v>
                </c:pt>
                <c:pt idx="1146">
                  <c:v>5月
2021</c:v>
                </c:pt>
                <c:pt idx="1147">
                  <c:v>6月
2021</c:v>
                </c:pt>
                <c:pt idx="1148">
                  <c:v>6月
2021</c:v>
                </c:pt>
                <c:pt idx="1149">
                  <c:v>6月
2021</c:v>
                </c:pt>
                <c:pt idx="1150">
                  <c:v>6月
2021</c:v>
                </c:pt>
                <c:pt idx="1151">
                  <c:v>6月
2021</c:v>
                </c:pt>
                <c:pt idx="1152">
                  <c:v>6月
2021</c:v>
                </c:pt>
                <c:pt idx="1153">
                  <c:v>6月
2021</c:v>
                </c:pt>
                <c:pt idx="1154">
                  <c:v>6月
2021</c:v>
                </c:pt>
                <c:pt idx="1155">
                  <c:v>6月
2021</c:v>
                </c:pt>
                <c:pt idx="1156">
                  <c:v>6月
2021</c:v>
                </c:pt>
                <c:pt idx="1157">
                  <c:v>6月
2021</c:v>
                </c:pt>
                <c:pt idx="1158">
                  <c:v>6月
2021</c:v>
                </c:pt>
                <c:pt idx="1159">
                  <c:v>6月
2021</c:v>
                </c:pt>
                <c:pt idx="1160">
                  <c:v>6月
2021</c:v>
                </c:pt>
                <c:pt idx="1161">
                  <c:v>6月
2021</c:v>
                </c:pt>
                <c:pt idx="1162">
                  <c:v>6月
2021</c:v>
                </c:pt>
                <c:pt idx="1163">
                  <c:v>6月
2021</c:v>
                </c:pt>
                <c:pt idx="1164">
                  <c:v>6月
2021</c:v>
                </c:pt>
                <c:pt idx="1165">
                  <c:v>6月
2021</c:v>
                </c:pt>
                <c:pt idx="1166">
                  <c:v>6月
2021</c:v>
                </c:pt>
                <c:pt idx="1167">
                  <c:v>6月
2021</c:v>
                </c:pt>
                <c:pt idx="1168">
                  <c:v>6月
2021</c:v>
                </c:pt>
                <c:pt idx="1169">
                  <c:v>6月
2021</c:v>
                </c:pt>
                <c:pt idx="1170">
                  <c:v>6月
2021</c:v>
                </c:pt>
                <c:pt idx="1171">
                  <c:v>6月
2021</c:v>
                </c:pt>
                <c:pt idx="1172">
                  <c:v>6月
2021</c:v>
                </c:pt>
                <c:pt idx="1173">
                  <c:v>6月
2021</c:v>
                </c:pt>
                <c:pt idx="1174">
                  <c:v>6月
2021</c:v>
                </c:pt>
                <c:pt idx="1175">
                  <c:v>6月
2021</c:v>
                </c:pt>
                <c:pt idx="1176">
                  <c:v>6月
2021</c:v>
                </c:pt>
                <c:pt idx="1177">
                  <c:v>7月
</c:v>
                </c:pt>
                <c:pt idx="1178">
                  <c:v>7月
</c:v>
                </c:pt>
                <c:pt idx="1179">
                  <c:v>7月
</c:v>
                </c:pt>
                <c:pt idx="1180">
                  <c:v>7月
</c:v>
                </c:pt>
                <c:pt idx="1181">
                  <c:v>7月
</c:v>
                </c:pt>
                <c:pt idx="1182">
                  <c:v>7月
</c:v>
                </c:pt>
                <c:pt idx="1183">
                  <c:v>7月
</c:v>
                </c:pt>
                <c:pt idx="1184">
                  <c:v>7月
</c:v>
                </c:pt>
                <c:pt idx="1185">
                  <c:v>7月
</c:v>
                </c:pt>
                <c:pt idx="1186">
                  <c:v>7月
</c:v>
                </c:pt>
                <c:pt idx="1187">
                  <c:v>7月
</c:v>
                </c:pt>
                <c:pt idx="1188">
                  <c:v>7月
</c:v>
                </c:pt>
                <c:pt idx="1189">
                  <c:v>7月
</c:v>
                </c:pt>
                <c:pt idx="1190">
                  <c:v>7月
</c:v>
                </c:pt>
                <c:pt idx="1191">
                  <c:v>7月
</c:v>
                </c:pt>
                <c:pt idx="1192">
                  <c:v>7月
</c:v>
                </c:pt>
                <c:pt idx="1193">
                  <c:v>7月
</c:v>
                </c:pt>
                <c:pt idx="1194">
                  <c:v>7月
</c:v>
                </c:pt>
                <c:pt idx="1195">
                  <c:v>7月
</c:v>
                </c:pt>
                <c:pt idx="1196">
                  <c:v>7月
</c:v>
                </c:pt>
                <c:pt idx="1197">
                  <c:v>7月
</c:v>
                </c:pt>
                <c:pt idx="1198">
                  <c:v>7月
</c:v>
                </c:pt>
                <c:pt idx="1199">
                  <c:v>7月
</c:v>
                </c:pt>
                <c:pt idx="1200">
                  <c:v>7月
</c:v>
                </c:pt>
                <c:pt idx="1201">
                  <c:v>7月
</c:v>
                </c:pt>
                <c:pt idx="1202">
                  <c:v>7月
</c:v>
                </c:pt>
                <c:pt idx="1203">
                  <c:v>7月
</c:v>
                </c:pt>
                <c:pt idx="1204">
                  <c:v>7月
</c:v>
                </c:pt>
                <c:pt idx="1205">
                  <c:v>7月
</c:v>
                </c:pt>
                <c:pt idx="1206">
                  <c:v>7月
</c:v>
                </c:pt>
                <c:pt idx="1207">
                  <c:v>7月
</c:v>
                </c:pt>
                <c:pt idx="1208">
                  <c:v>8月
2021</c:v>
                </c:pt>
                <c:pt idx="1209">
                  <c:v>8月
2021</c:v>
                </c:pt>
                <c:pt idx="1210">
                  <c:v>8月
2021</c:v>
                </c:pt>
                <c:pt idx="1211">
                  <c:v>8月
2021</c:v>
                </c:pt>
                <c:pt idx="1212">
                  <c:v>8月
2021</c:v>
                </c:pt>
                <c:pt idx="1213">
                  <c:v>8月
2021</c:v>
                </c:pt>
                <c:pt idx="1214">
                  <c:v>8月
2021</c:v>
                </c:pt>
                <c:pt idx="1215">
                  <c:v>8月
2021</c:v>
                </c:pt>
                <c:pt idx="1216">
                  <c:v>8月
2021</c:v>
                </c:pt>
                <c:pt idx="1217">
                  <c:v>8月
2021</c:v>
                </c:pt>
                <c:pt idx="1218">
                  <c:v>8月
2021</c:v>
                </c:pt>
                <c:pt idx="1219">
                  <c:v>8月
2021</c:v>
                </c:pt>
                <c:pt idx="1220">
                  <c:v>8月
2021</c:v>
                </c:pt>
                <c:pt idx="1221">
                  <c:v>8月
2021</c:v>
                </c:pt>
                <c:pt idx="1222">
                  <c:v>8月
2021</c:v>
                </c:pt>
                <c:pt idx="1223">
                  <c:v>8月
2021</c:v>
                </c:pt>
                <c:pt idx="1224">
                  <c:v>8月
2021</c:v>
                </c:pt>
                <c:pt idx="1225">
                  <c:v>8月
2021</c:v>
                </c:pt>
                <c:pt idx="1226">
                  <c:v>8月
2021</c:v>
                </c:pt>
                <c:pt idx="1227">
                  <c:v>8月
2021</c:v>
                </c:pt>
                <c:pt idx="1228">
                  <c:v>8月
2021</c:v>
                </c:pt>
                <c:pt idx="1229">
                  <c:v>8月
2021</c:v>
                </c:pt>
                <c:pt idx="1230">
                  <c:v>8月
2021</c:v>
                </c:pt>
                <c:pt idx="1231">
                  <c:v>8月
2021</c:v>
                </c:pt>
                <c:pt idx="1232">
                  <c:v>8月
2021</c:v>
                </c:pt>
                <c:pt idx="1233">
                  <c:v>8月
2021</c:v>
                </c:pt>
                <c:pt idx="1234">
                  <c:v>8月
2021</c:v>
                </c:pt>
                <c:pt idx="1235">
                  <c:v>8月
2021</c:v>
                </c:pt>
                <c:pt idx="1236">
                  <c:v>8月
2021</c:v>
                </c:pt>
                <c:pt idx="1237">
                  <c:v>8月
2021</c:v>
                </c:pt>
                <c:pt idx="1238">
                  <c:v>8月
2021</c:v>
                </c:pt>
                <c:pt idx="1239">
                  <c:v>9月
2021</c:v>
                </c:pt>
                <c:pt idx="1240">
                  <c:v>9月
2021</c:v>
                </c:pt>
                <c:pt idx="1241">
                  <c:v>9月
2021</c:v>
                </c:pt>
                <c:pt idx="1242">
                  <c:v>9月
2021</c:v>
                </c:pt>
                <c:pt idx="1243">
                  <c:v>9月
2021</c:v>
                </c:pt>
                <c:pt idx="1244">
                  <c:v>9月
2021</c:v>
                </c:pt>
                <c:pt idx="1245">
                  <c:v>9月
2021</c:v>
                </c:pt>
                <c:pt idx="1246">
                  <c:v>9月
2021</c:v>
                </c:pt>
                <c:pt idx="1247">
                  <c:v>9月
2021</c:v>
                </c:pt>
                <c:pt idx="1248">
                  <c:v>9月
2021</c:v>
                </c:pt>
                <c:pt idx="1249">
                  <c:v>9月
2021</c:v>
                </c:pt>
                <c:pt idx="1250">
                  <c:v>9月
2021</c:v>
                </c:pt>
                <c:pt idx="1251">
                  <c:v>9月
2021</c:v>
                </c:pt>
                <c:pt idx="1252">
                  <c:v>9月
2021</c:v>
                </c:pt>
                <c:pt idx="1253">
                  <c:v>9月
2021</c:v>
                </c:pt>
                <c:pt idx="1254">
                  <c:v>9月
2021</c:v>
                </c:pt>
                <c:pt idx="1255">
                  <c:v>9月
2021</c:v>
                </c:pt>
                <c:pt idx="1256">
                  <c:v>9月
2021</c:v>
                </c:pt>
                <c:pt idx="1257">
                  <c:v>9月
2021</c:v>
                </c:pt>
                <c:pt idx="1258">
                  <c:v>9月
2021</c:v>
                </c:pt>
                <c:pt idx="1259">
                  <c:v>9月
2021</c:v>
                </c:pt>
                <c:pt idx="1260">
                  <c:v>9月
2021</c:v>
                </c:pt>
                <c:pt idx="1261">
                  <c:v>9月
2021</c:v>
                </c:pt>
                <c:pt idx="1262">
                  <c:v>9月
2021</c:v>
                </c:pt>
                <c:pt idx="1263">
                  <c:v>9月
2021</c:v>
                </c:pt>
                <c:pt idx="1264">
                  <c:v>9月
2021</c:v>
                </c:pt>
                <c:pt idx="1265">
                  <c:v>9月
2021</c:v>
                </c:pt>
                <c:pt idx="1266">
                  <c:v>9月
2021</c:v>
                </c:pt>
                <c:pt idx="1267">
                  <c:v>9月
2021</c:v>
                </c:pt>
                <c:pt idx="1268">
                  <c:v>9月
2021</c:v>
                </c:pt>
                <c:pt idx="1269">
                  <c:v>10月
2021</c:v>
                </c:pt>
                <c:pt idx="1270">
                  <c:v>10月
2021</c:v>
                </c:pt>
                <c:pt idx="1271">
                  <c:v>10月
2021</c:v>
                </c:pt>
                <c:pt idx="1272">
                  <c:v>10月
2021</c:v>
                </c:pt>
                <c:pt idx="1273">
                  <c:v>10月
2021</c:v>
                </c:pt>
                <c:pt idx="1274">
                  <c:v>10月
2021</c:v>
                </c:pt>
                <c:pt idx="1275">
                  <c:v>10月
2021</c:v>
                </c:pt>
                <c:pt idx="1276">
                  <c:v>10月
2021</c:v>
                </c:pt>
                <c:pt idx="1277">
                  <c:v>10月
2021</c:v>
                </c:pt>
                <c:pt idx="1278">
                  <c:v>10月
2021</c:v>
                </c:pt>
                <c:pt idx="1279">
                  <c:v>10月
2021</c:v>
                </c:pt>
                <c:pt idx="1280">
                  <c:v>10月
2021</c:v>
                </c:pt>
                <c:pt idx="1281">
                  <c:v>10月
2021</c:v>
                </c:pt>
                <c:pt idx="1282">
                  <c:v>10月
2021</c:v>
                </c:pt>
                <c:pt idx="1283">
                  <c:v>10月
2021</c:v>
                </c:pt>
                <c:pt idx="1284">
                  <c:v>10月
2021</c:v>
                </c:pt>
                <c:pt idx="1285">
                  <c:v>10月
2021</c:v>
                </c:pt>
                <c:pt idx="1286">
                  <c:v>10月
2021</c:v>
                </c:pt>
                <c:pt idx="1287">
                  <c:v>10月
2021</c:v>
                </c:pt>
                <c:pt idx="1288">
                  <c:v>10月
2021</c:v>
                </c:pt>
                <c:pt idx="1289">
                  <c:v>10月
2021</c:v>
                </c:pt>
                <c:pt idx="1290">
                  <c:v>10月
2021</c:v>
                </c:pt>
                <c:pt idx="1291">
                  <c:v>10月
2021</c:v>
                </c:pt>
                <c:pt idx="1292">
                  <c:v>10月
2021</c:v>
                </c:pt>
                <c:pt idx="1293">
                  <c:v>10月
2021</c:v>
                </c:pt>
                <c:pt idx="1294">
                  <c:v>10月
2021</c:v>
                </c:pt>
                <c:pt idx="1295">
                  <c:v>10月
2021</c:v>
                </c:pt>
                <c:pt idx="1296">
                  <c:v>10月
2021</c:v>
                </c:pt>
                <c:pt idx="1297">
                  <c:v>10月
2021</c:v>
                </c:pt>
                <c:pt idx="1298">
                  <c:v>10月
2021</c:v>
                </c:pt>
                <c:pt idx="1299">
                  <c:v>10月
2021</c:v>
                </c:pt>
                <c:pt idx="1300">
                  <c:v>11月
2021</c:v>
                </c:pt>
                <c:pt idx="1301">
                  <c:v>11月
2021</c:v>
                </c:pt>
                <c:pt idx="1302">
                  <c:v>11月
2021</c:v>
                </c:pt>
                <c:pt idx="1303">
                  <c:v>11月
2021</c:v>
                </c:pt>
                <c:pt idx="1304">
                  <c:v>11月
2021</c:v>
                </c:pt>
                <c:pt idx="1305">
                  <c:v>11月
2021</c:v>
                </c:pt>
                <c:pt idx="1306">
                  <c:v>11月
2021</c:v>
                </c:pt>
                <c:pt idx="1307">
                  <c:v>11月
2021</c:v>
                </c:pt>
                <c:pt idx="1308">
                  <c:v>11月
2021</c:v>
                </c:pt>
                <c:pt idx="1309">
                  <c:v>11月
2021</c:v>
                </c:pt>
                <c:pt idx="1310">
                  <c:v>11月
2021</c:v>
                </c:pt>
                <c:pt idx="1311">
                  <c:v>11月
2021</c:v>
                </c:pt>
                <c:pt idx="1312">
                  <c:v>11月
2021</c:v>
                </c:pt>
                <c:pt idx="1313">
                  <c:v>11月
2021</c:v>
                </c:pt>
                <c:pt idx="1314">
                  <c:v>11月
2021</c:v>
                </c:pt>
                <c:pt idx="1315">
                  <c:v>11月
2021</c:v>
                </c:pt>
                <c:pt idx="1316">
                  <c:v>11月
2021</c:v>
                </c:pt>
                <c:pt idx="1317">
                  <c:v>11月
2021</c:v>
                </c:pt>
                <c:pt idx="1318">
                  <c:v>11月
2021</c:v>
                </c:pt>
                <c:pt idx="1319">
                  <c:v>11月
2021</c:v>
                </c:pt>
                <c:pt idx="1320">
                  <c:v>11月
2021</c:v>
                </c:pt>
                <c:pt idx="1321">
                  <c:v>11月
2021</c:v>
                </c:pt>
                <c:pt idx="1322">
                  <c:v>11月
2021</c:v>
                </c:pt>
                <c:pt idx="1323">
                  <c:v>11月
2021</c:v>
                </c:pt>
                <c:pt idx="1324">
                  <c:v>11月
2021</c:v>
                </c:pt>
                <c:pt idx="1325">
                  <c:v>11月
2021</c:v>
                </c:pt>
                <c:pt idx="1326">
                  <c:v>11月
2021</c:v>
                </c:pt>
                <c:pt idx="1327">
                  <c:v>11月
2021</c:v>
                </c:pt>
                <c:pt idx="1328">
                  <c:v>11月
2021</c:v>
                </c:pt>
                <c:pt idx="1329">
                  <c:v>11月
2021</c:v>
                </c:pt>
                <c:pt idx="1330">
                  <c:v>12月
2021</c:v>
                </c:pt>
                <c:pt idx="1331">
                  <c:v>12月
2021</c:v>
                </c:pt>
                <c:pt idx="1332">
                  <c:v>12月
2021</c:v>
                </c:pt>
                <c:pt idx="1333">
                  <c:v>12月
2021</c:v>
                </c:pt>
                <c:pt idx="1334">
                  <c:v>12月
2021</c:v>
                </c:pt>
                <c:pt idx="1335">
                  <c:v>12月
2021</c:v>
                </c:pt>
                <c:pt idx="1336">
                  <c:v>12月
2021</c:v>
                </c:pt>
                <c:pt idx="1337">
                  <c:v>12月
2021</c:v>
                </c:pt>
                <c:pt idx="1338">
                  <c:v>12月
2021</c:v>
                </c:pt>
                <c:pt idx="1339">
                  <c:v>12月
2021</c:v>
                </c:pt>
                <c:pt idx="1340">
                  <c:v>12月
2021</c:v>
                </c:pt>
                <c:pt idx="1341">
                  <c:v>12月
2021</c:v>
                </c:pt>
                <c:pt idx="1342">
                  <c:v>12月
2021</c:v>
                </c:pt>
                <c:pt idx="1343">
                  <c:v>12月
2021</c:v>
                </c:pt>
                <c:pt idx="1344">
                  <c:v>12月
2021</c:v>
                </c:pt>
                <c:pt idx="1345">
                  <c:v>12月
2021</c:v>
                </c:pt>
                <c:pt idx="1346">
                  <c:v>12月
2021</c:v>
                </c:pt>
                <c:pt idx="1347">
                  <c:v>12月
2021</c:v>
                </c:pt>
                <c:pt idx="1348">
                  <c:v>12月
2021</c:v>
                </c:pt>
                <c:pt idx="1349">
                  <c:v>12月
2021</c:v>
                </c:pt>
                <c:pt idx="1350">
                  <c:v>12月
2021</c:v>
                </c:pt>
                <c:pt idx="1351">
                  <c:v>12月
2021</c:v>
                </c:pt>
                <c:pt idx="1352">
                  <c:v>12月
2021</c:v>
                </c:pt>
                <c:pt idx="1353">
                  <c:v>12月
2021</c:v>
                </c:pt>
                <c:pt idx="1354">
                  <c:v>12月
2021</c:v>
                </c:pt>
                <c:pt idx="1355">
                  <c:v>12月
2021</c:v>
                </c:pt>
                <c:pt idx="1356">
                  <c:v>12月
2021</c:v>
                </c:pt>
                <c:pt idx="1357">
                  <c:v>12月
2021</c:v>
                </c:pt>
                <c:pt idx="1358">
                  <c:v>12月
2021</c:v>
                </c:pt>
                <c:pt idx="1359">
                  <c:v>12月
2021</c:v>
                </c:pt>
                <c:pt idx="1360">
                  <c:v>12月
2021</c:v>
                </c:pt>
                <c:pt idx="1361">
                  <c:v>1月
2022</c:v>
                </c:pt>
                <c:pt idx="1362">
                  <c:v>1月
2022</c:v>
                </c:pt>
                <c:pt idx="1363">
                  <c:v>1月
2022</c:v>
                </c:pt>
                <c:pt idx="1364">
                  <c:v>1月
2022</c:v>
                </c:pt>
                <c:pt idx="1365">
                  <c:v>1月
2022</c:v>
                </c:pt>
                <c:pt idx="1366">
                  <c:v>1月
2022</c:v>
                </c:pt>
                <c:pt idx="1367">
                  <c:v>1月
2022</c:v>
                </c:pt>
                <c:pt idx="1368">
                  <c:v>1月
2022</c:v>
                </c:pt>
                <c:pt idx="1369">
                  <c:v>1月
2022</c:v>
                </c:pt>
                <c:pt idx="1370">
                  <c:v>1月
2022</c:v>
                </c:pt>
                <c:pt idx="1371">
                  <c:v>1月
2022</c:v>
                </c:pt>
                <c:pt idx="1372">
                  <c:v>1月
2022</c:v>
                </c:pt>
                <c:pt idx="1373">
                  <c:v>1月
2022</c:v>
                </c:pt>
                <c:pt idx="1374">
                  <c:v>1月
2022</c:v>
                </c:pt>
                <c:pt idx="1375">
                  <c:v>1月
2022</c:v>
                </c:pt>
                <c:pt idx="1376">
                  <c:v>1月
2022</c:v>
                </c:pt>
                <c:pt idx="1377">
                  <c:v>1月
2022</c:v>
                </c:pt>
                <c:pt idx="1378">
                  <c:v>1月
2022</c:v>
                </c:pt>
                <c:pt idx="1379">
                  <c:v>1月
2022</c:v>
                </c:pt>
                <c:pt idx="1380">
                  <c:v>1月
2022</c:v>
                </c:pt>
                <c:pt idx="1381">
                  <c:v>1月
2022</c:v>
                </c:pt>
                <c:pt idx="1382">
                  <c:v>1月
2022</c:v>
                </c:pt>
                <c:pt idx="1383">
                  <c:v>1月
2022</c:v>
                </c:pt>
                <c:pt idx="1384">
                  <c:v>1月
2022</c:v>
                </c:pt>
                <c:pt idx="1385">
                  <c:v>1月
2022</c:v>
                </c:pt>
                <c:pt idx="1386">
                  <c:v>1月
2022</c:v>
                </c:pt>
                <c:pt idx="1387">
                  <c:v>1月
2022</c:v>
                </c:pt>
                <c:pt idx="1388">
                  <c:v>1月
2022</c:v>
                </c:pt>
                <c:pt idx="1389">
                  <c:v>1月
2022</c:v>
                </c:pt>
                <c:pt idx="1390">
                  <c:v>1月
2022</c:v>
                </c:pt>
                <c:pt idx="1391">
                  <c:v>1月
2022</c:v>
                </c:pt>
                <c:pt idx="1392">
                  <c:v>2月
2022</c:v>
                </c:pt>
                <c:pt idx="1393">
                  <c:v>2月
2022</c:v>
                </c:pt>
                <c:pt idx="1394">
                  <c:v>2月
2022</c:v>
                </c:pt>
                <c:pt idx="1395">
                  <c:v>2月
2022</c:v>
                </c:pt>
                <c:pt idx="1396">
                  <c:v>2月
2022</c:v>
                </c:pt>
                <c:pt idx="1397">
                  <c:v>2月
2022</c:v>
                </c:pt>
                <c:pt idx="1398">
                  <c:v>2月
2022</c:v>
                </c:pt>
                <c:pt idx="1399">
                  <c:v>2月
2022</c:v>
                </c:pt>
                <c:pt idx="1400">
                  <c:v>2月
2022</c:v>
                </c:pt>
                <c:pt idx="1401">
                  <c:v>2月
2022</c:v>
                </c:pt>
                <c:pt idx="1402">
                  <c:v>2月
2022</c:v>
                </c:pt>
                <c:pt idx="1403">
                  <c:v>2月
2022</c:v>
                </c:pt>
                <c:pt idx="1404">
                  <c:v>2月
2022</c:v>
                </c:pt>
                <c:pt idx="1405">
                  <c:v>2月
2022</c:v>
                </c:pt>
                <c:pt idx="1406">
                  <c:v>2月
2022</c:v>
                </c:pt>
                <c:pt idx="1407">
                  <c:v>2月
2022</c:v>
                </c:pt>
                <c:pt idx="1408">
                  <c:v>2月
2022</c:v>
                </c:pt>
                <c:pt idx="1409">
                  <c:v>2月
2022</c:v>
                </c:pt>
                <c:pt idx="1410">
                  <c:v>2月
2022</c:v>
                </c:pt>
                <c:pt idx="1411">
                  <c:v>2月
2022</c:v>
                </c:pt>
                <c:pt idx="1412">
                  <c:v>2月
2022</c:v>
                </c:pt>
                <c:pt idx="1413">
                  <c:v>2月
2022</c:v>
                </c:pt>
                <c:pt idx="1414">
                  <c:v>2月
2022</c:v>
                </c:pt>
                <c:pt idx="1415">
                  <c:v>2月
2022</c:v>
                </c:pt>
                <c:pt idx="1416">
                  <c:v>2月
2022</c:v>
                </c:pt>
                <c:pt idx="1417">
                  <c:v>2月
2022</c:v>
                </c:pt>
                <c:pt idx="1418">
                  <c:v>2月
2022</c:v>
                </c:pt>
                <c:pt idx="1419">
                  <c:v>2月
2022</c:v>
                </c:pt>
                <c:pt idx="1420">
                  <c:v>3月
2022</c:v>
                </c:pt>
                <c:pt idx="1421">
                  <c:v>3月
2022</c:v>
                </c:pt>
                <c:pt idx="1422">
                  <c:v>3月
2022</c:v>
                </c:pt>
                <c:pt idx="1423">
                  <c:v>3月
2022</c:v>
                </c:pt>
                <c:pt idx="1424">
                  <c:v>3月
2022</c:v>
                </c:pt>
                <c:pt idx="1425">
                  <c:v>3月
2022</c:v>
                </c:pt>
                <c:pt idx="1426">
                  <c:v>3月
2022</c:v>
                </c:pt>
                <c:pt idx="1427">
                  <c:v>3月
2022</c:v>
                </c:pt>
                <c:pt idx="1428">
                  <c:v>3月
2022</c:v>
                </c:pt>
                <c:pt idx="1429">
                  <c:v>3月
2022</c:v>
                </c:pt>
                <c:pt idx="1430">
                  <c:v>3月
2022</c:v>
                </c:pt>
                <c:pt idx="1431">
                  <c:v>3月
2022</c:v>
                </c:pt>
                <c:pt idx="1432">
                  <c:v>3月
2022</c:v>
                </c:pt>
                <c:pt idx="1433">
                  <c:v>3月
2022</c:v>
                </c:pt>
                <c:pt idx="1434">
                  <c:v>3月
2022</c:v>
                </c:pt>
                <c:pt idx="1435">
                  <c:v>3月
2022</c:v>
                </c:pt>
                <c:pt idx="1436">
                  <c:v>3月
2022</c:v>
                </c:pt>
                <c:pt idx="1437">
                  <c:v>3月
2022</c:v>
                </c:pt>
                <c:pt idx="1438">
                  <c:v>3月
2022</c:v>
                </c:pt>
                <c:pt idx="1439">
                  <c:v>3月
2022</c:v>
                </c:pt>
                <c:pt idx="1440">
                  <c:v>3月
2022</c:v>
                </c:pt>
                <c:pt idx="1441">
                  <c:v>3月
2022</c:v>
                </c:pt>
                <c:pt idx="1442">
                  <c:v>3月
2022</c:v>
                </c:pt>
                <c:pt idx="1443">
                  <c:v>3月
2022</c:v>
                </c:pt>
                <c:pt idx="1444">
                  <c:v>3月
2022</c:v>
                </c:pt>
                <c:pt idx="1445">
                  <c:v>3月
2022</c:v>
                </c:pt>
                <c:pt idx="1446">
                  <c:v>3月
2022</c:v>
                </c:pt>
                <c:pt idx="1447">
                  <c:v>3月
2022</c:v>
                </c:pt>
                <c:pt idx="1448">
                  <c:v>3月
2022</c:v>
                </c:pt>
                <c:pt idx="1449">
                  <c:v>3月
2022</c:v>
                </c:pt>
                <c:pt idx="1450">
                  <c:v>3月
2022</c:v>
                </c:pt>
                <c:pt idx="1451">
                  <c:v>4月
2022</c:v>
                </c:pt>
                <c:pt idx="1452">
                  <c:v>4月
2022</c:v>
                </c:pt>
                <c:pt idx="1453">
                  <c:v>4月
2022</c:v>
                </c:pt>
                <c:pt idx="1454">
                  <c:v>4月
2022</c:v>
                </c:pt>
                <c:pt idx="1455">
                  <c:v>4月
2022</c:v>
                </c:pt>
                <c:pt idx="1456">
                  <c:v>4月
2022</c:v>
                </c:pt>
                <c:pt idx="1457">
                  <c:v>4月
2022</c:v>
                </c:pt>
                <c:pt idx="1458">
                  <c:v>4月
2022</c:v>
                </c:pt>
                <c:pt idx="1459">
                  <c:v>4月
2022</c:v>
                </c:pt>
                <c:pt idx="1460">
                  <c:v>4月
2022</c:v>
                </c:pt>
                <c:pt idx="1461">
                  <c:v>4月
2022</c:v>
                </c:pt>
                <c:pt idx="1462">
                  <c:v>4月
2022</c:v>
                </c:pt>
                <c:pt idx="1463">
                  <c:v>4月
2022</c:v>
                </c:pt>
                <c:pt idx="1464">
                  <c:v>4月
2022</c:v>
                </c:pt>
                <c:pt idx="1465">
                  <c:v>4月
2022</c:v>
                </c:pt>
                <c:pt idx="1466">
                  <c:v>4月
2022</c:v>
                </c:pt>
                <c:pt idx="1467">
                  <c:v>4月
2022</c:v>
                </c:pt>
                <c:pt idx="1468">
                  <c:v>4月
2022</c:v>
                </c:pt>
                <c:pt idx="1469">
                  <c:v>4月
2022</c:v>
                </c:pt>
                <c:pt idx="1470">
                  <c:v>4月
2022</c:v>
                </c:pt>
                <c:pt idx="1471">
                  <c:v>4月
2022</c:v>
                </c:pt>
                <c:pt idx="1472">
                  <c:v>4月
2022</c:v>
                </c:pt>
                <c:pt idx="1473">
                  <c:v>4月
2022</c:v>
                </c:pt>
                <c:pt idx="1474">
                  <c:v>4月
2022</c:v>
                </c:pt>
                <c:pt idx="1475">
                  <c:v>4月
2022</c:v>
                </c:pt>
                <c:pt idx="1476">
                  <c:v>4月
2022</c:v>
                </c:pt>
                <c:pt idx="1477">
                  <c:v>4月
2022</c:v>
                </c:pt>
                <c:pt idx="1478">
                  <c:v>4月
2022</c:v>
                </c:pt>
                <c:pt idx="1479">
                  <c:v>4月
2022</c:v>
                </c:pt>
                <c:pt idx="1480">
                  <c:v>4月
2022</c:v>
                </c:pt>
                <c:pt idx="1481">
                  <c:v>5月
2022</c:v>
                </c:pt>
                <c:pt idx="1482">
                  <c:v>5月
2022</c:v>
                </c:pt>
                <c:pt idx="1483">
                  <c:v>5月
2022</c:v>
                </c:pt>
                <c:pt idx="1484">
                  <c:v>5月
2022</c:v>
                </c:pt>
                <c:pt idx="1485">
                  <c:v>5月
2022</c:v>
                </c:pt>
                <c:pt idx="1486">
                  <c:v>5月
2022</c:v>
                </c:pt>
                <c:pt idx="1487">
                  <c:v>5月
2022</c:v>
                </c:pt>
                <c:pt idx="1488">
                  <c:v>5月
2022</c:v>
                </c:pt>
                <c:pt idx="1489">
                  <c:v>5月
2022</c:v>
                </c:pt>
                <c:pt idx="1490">
                  <c:v>5月
2022</c:v>
                </c:pt>
                <c:pt idx="1491">
                  <c:v>5月
2022</c:v>
                </c:pt>
                <c:pt idx="1492">
                  <c:v>5月
2022</c:v>
                </c:pt>
                <c:pt idx="1493">
                  <c:v>5月
2022</c:v>
                </c:pt>
                <c:pt idx="1494">
                  <c:v>5月
2022</c:v>
                </c:pt>
                <c:pt idx="1495">
                  <c:v>5月
2022</c:v>
                </c:pt>
                <c:pt idx="1496">
                  <c:v>5月
2022</c:v>
                </c:pt>
                <c:pt idx="1497">
                  <c:v>5月
2022</c:v>
                </c:pt>
                <c:pt idx="1498">
                  <c:v>5月
2022</c:v>
                </c:pt>
                <c:pt idx="1499">
                  <c:v>5月
2022</c:v>
                </c:pt>
                <c:pt idx="1500">
                  <c:v>5月
2022</c:v>
                </c:pt>
                <c:pt idx="1501">
                  <c:v>5月
2022</c:v>
                </c:pt>
                <c:pt idx="1502">
                  <c:v>5月
2022</c:v>
                </c:pt>
                <c:pt idx="1503">
                  <c:v>5月
2022</c:v>
                </c:pt>
                <c:pt idx="1504">
                  <c:v>5月
2022</c:v>
                </c:pt>
                <c:pt idx="1505">
                  <c:v>5月
2022</c:v>
                </c:pt>
                <c:pt idx="1506">
                  <c:v>5月
2022</c:v>
                </c:pt>
                <c:pt idx="1507">
                  <c:v>5月
2022</c:v>
                </c:pt>
                <c:pt idx="1508">
                  <c:v>5月
2022</c:v>
                </c:pt>
                <c:pt idx="1509">
                  <c:v>5月
2022</c:v>
                </c:pt>
                <c:pt idx="1510">
                  <c:v>5月
2022</c:v>
                </c:pt>
                <c:pt idx="1511">
                  <c:v>5月
2022</c:v>
                </c:pt>
                <c:pt idx="1512">
                  <c:v>6月
2022</c:v>
                </c:pt>
                <c:pt idx="1513">
                  <c:v>6月
2022</c:v>
                </c:pt>
                <c:pt idx="1514">
                  <c:v>6月
2022</c:v>
                </c:pt>
                <c:pt idx="1515">
                  <c:v>6月
2022</c:v>
                </c:pt>
                <c:pt idx="1516">
                  <c:v>6月
2022</c:v>
                </c:pt>
                <c:pt idx="1517">
                  <c:v>6月
2022</c:v>
                </c:pt>
                <c:pt idx="1518">
                  <c:v>6月
2022</c:v>
                </c:pt>
                <c:pt idx="1519">
                  <c:v>6月
2022</c:v>
                </c:pt>
                <c:pt idx="1520">
                  <c:v>6月
2022</c:v>
                </c:pt>
                <c:pt idx="1521">
                  <c:v>6月
2022</c:v>
                </c:pt>
                <c:pt idx="1522">
                  <c:v>6月
2022</c:v>
                </c:pt>
                <c:pt idx="1523">
                  <c:v>6月
2022</c:v>
                </c:pt>
                <c:pt idx="1524">
                  <c:v>6月
2022</c:v>
                </c:pt>
                <c:pt idx="1525">
                  <c:v>6月
2022</c:v>
                </c:pt>
                <c:pt idx="1526">
                  <c:v>6月
2022</c:v>
                </c:pt>
                <c:pt idx="1527">
                  <c:v>6月
2022</c:v>
                </c:pt>
                <c:pt idx="1528">
                  <c:v>6月
2022</c:v>
                </c:pt>
                <c:pt idx="1529">
                  <c:v>6月
2022</c:v>
                </c:pt>
                <c:pt idx="1530">
                  <c:v>6月
2022</c:v>
                </c:pt>
                <c:pt idx="1531">
                  <c:v>6月
2022</c:v>
                </c:pt>
                <c:pt idx="1532">
                  <c:v>6月
2022</c:v>
                </c:pt>
                <c:pt idx="1533">
                  <c:v>6月
2022</c:v>
                </c:pt>
                <c:pt idx="1534">
                  <c:v>6月
2022</c:v>
                </c:pt>
                <c:pt idx="1535">
                  <c:v>6月
2022</c:v>
                </c:pt>
                <c:pt idx="1536">
                  <c:v>6月
2022</c:v>
                </c:pt>
                <c:pt idx="1537">
                  <c:v>6月
2022</c:v>
                </c:pt>
                <c:pt idx="1538">
                  <c:v>6月
2022</c:v>
                </c:pt>
                <c:pt idx="1539">
                  <c:v>6月
2022</c:v>
                </c:pt>
                <c:pt idx="1540">
                  <c:v>6月
2022</c:v>
                </c:pt>
                <c:pt idx="1541">
                  <c:v>6月
2022</c:v>
                </c:pt>
                <c:pt idx="1542">
                  <c:v>7月
2022</c:v>
                </c:pt>
                <c:pt idx="1543">
                  <c:v>7月
2022</c:v>
                </c:pt>
                <c:pt idx="1544">
                  <c:v>7月
2022</c:v>
                </c:pt>
                <c:pt idx="1545">
                  <c:v>7月
2022</c:v>
                </c:pt>
                <c:pt idx="1546">
                  <c:v>7月
2022</c:v>
                </c:pt>
                <c:pt idx="1547">
                  <c:v>7月
2022</c:v>
                </c:pt>
                <c:pt idx="1548">
                  <c:v>7月
2022</c:v>
                </c:pt>
                <c:pt idx="1549">
                  <c:v>7月
2022</c:v>
                </c:pt>
                <c:pt idx="1550">
                  <c:v>7月
2022</c:v>
                </c:pt>
                <c:pt idx="1551">
                  <c:v>7月
2022</c:v>
                </c:pt>
                <c:pt idx="1552">
                  <c:v>7月
2022</c:v>
                </c:pt>
                <c:pt idx="1553">
                  <c:v>7月
2022</c:v>
                </c:pt>
                <c:pt idx="1554">
                  <c:v>7月
2022</c:v>
                </c:pt>
                <c:pt idx="1555">
                  <c:v>7月
2022</c:v>
                </c:pt>
                <c:pt idx="1556">
                  <c:v>7月
2022</c:v>
                </c:pt>
                <c:pt idx="1557">
                  <c:v>7月
2022</c:v>
                </c:pt>
                <c:pt idx="1558">
                  <c:v>7月
2022</c:v>
                </c:pt>
                <c:pt idx="1559">
                  <c:v>7月
2022</c:v>
                </c:pt>
                <c:pt idx="1560">
                  <c:v>7月
2022</c:v>
                </c:pt>
                <c:pt idx="1561">
                  <c:v>7月
2022</c:v>
                </c:pt>
                <c:pt idx="1562">
                  <c:v>7月
2022</c:v>
                </c:pt>
                <c:pt idx="1563">
                  <c:v>7月
2022</c:v>
                </c:pt>
                <c:pt idx="1564">
                  <c:v>7月
2022</c:v>
                </c:pt>
                <c:pt idx="1565">
                  <c:v>7月
2022</c:v>
                </c:pt>
                <c:pt idx="1566">
                  <c:v>7月
2022</c:v>
                </c:pt>
                <c:pt idx="1567">
                  <c:v>7月
2022</c:v>
                </c:pt>
                <c:pt idx="1568">
                  <c:v>7月
2022</c:v>
                </c:pt>
                <c:pt idx="1569">
                  <c:v>7月
2022</c:v>
                </c:pt>
                <c:pt idx="1570">
                  <c:v>7月
2022</c:v>
                </c:pt>
                <c:pt idx="1571">
                  <c:v>7月
2022</c:v>
                </c:pt>
                <c:pt idx="1572">
                  <c:v>7月
2022</c:v>
                </c:pt>
                <c:pt idx="1573">
                  <c:v>8月
2022</c:v>
                </c:pt>
                <c:pt idx="1574">
                  <c:v>8月
2022</c:v>
                </c:pt>
                <c:pt idx="1575">
                  <c:v>8月
2022</c:v>
                </c:pt>
                <c:pt idx="1576">
                  <c:v>8月
2022</c:v>
                </c:pt>
                <c:pt idx="1577">
                  <c:v>8月
2022</c:v>
                </c:pt>
                <c:pt idx="1578">
                  <c:v>8月
2022</c:v>
                </c:pt>
                <c:pt idx="1579">
                  <c:v>8月
2022</c:v>
                </c:pt>
                <c:pt idx="1580">
                  <c:v>8月
2022</c:v>
                </c:pt>
                <c:pt idx="1581">
                  <c:v>8月
2022</c:v>
                </c:pt>
                <c:pt idx="1582">
                  <c:v>8月
2022</c:v>
                </c:pt>
                <c:pt idx="1583">
                  <c:v>8月
2022</c:v>
                </c:pt>
                <c:pt idx="1584">
                  <c:v>8月
2022</c:v>
                </c:pt>
                <c:pt idx="1585">
                  <c:v>8月
2022</c:v>
                </c:pt>
                <c:pt idx="1586">
                  <c:v>8月
2022</c:v>
                </c:pt>
                <c:pt idx="1587">
                  <c:v>8月
2022</c:v>
                </c:pt>
                <c:pt idx="1588">
                  <c:v>8月
2022</c:v>
                </c:pt>
                <c:pt idx="1589">
                  <c:v>8月
2022</c:v>
                </c:pt>
                <c:pt idx="1590">
                  <c:v>8月
2022</c:v>
                </c:pt>
                <c:pt idx="1591">
                  <c:v>8月
2022</c:v>
                </c:pt>
                <c:pt idx="1592">
                  <c:v>8月
2022</c:v>
                </c:pt>
                <c:pt idx="1593">
                  <c:v>8月
2022</c:v>
                </c:pt>
                <c:pt idx="1594">
                  <c:v>8月
2022</c:v>
                </c:pt>
                <c:pt idx="1595">
                  <c:v>8月
2022</c:v>
                </c:pt>
                <c:pt idx="1596">
                  <c:v>8月
2022</c:v>
                </c:pt>
                <c:pt idx="1597">
                  <c:v>8月
2022</c:v>
                </c:pt>
                <c:pt idx="1598">
                  <c:v>8月
2022</c:v>
                </c:pt>
                <c:pt idx="1599">
                  <c:v>8月
2022</c:v>
                </c:pt>
                <c:pt idx="1600">
                  <c:v>8月
2022</c:v>
                </c:pt>
                <c:pt idx="1601">
                  <c:v>8月
2022</c:v>
                </c:pt>
                <c:pt idx="1602">
                  <c:v>8月
2022</c:v>
                </c:pt>
                <c:pt idx="1603">
                  <c:v>8月
2022</c:v>
                </c:pt>
                <c:pt idx="1604">
                  <c:v>9月
2022</c:v>
                </c:pt>
                <c:pt idx="1605">
                  <c:v>9月
2022</c:v>
                </c:pt>
                <c:pt idx="1606">
                  <c:v>9月
2022</c:v>
                </c:pt>
                <c:pt idx="1607">
                  <c:v>9月
2022</c:v>
                </c:pt>
                <c:pt idx="1608">
                  <c:v>9月
2022</c:v>
                </c:pt>
                <c:pt idx="1609">
                  <c:v>9月
2022</c:v>
                </c:pt>
                <c:pt idx="1610">
                  <c:v>9月
2022</c:v>
                </c:pt>
                <c:pt idx="1611">
                  <c:v>9月
2022</c:v>
                </c:pt>
                <c:pt idx="1612">
                  <c:v>9月
2022</c:v>
                </c:pt>
                <c:pt idx="1613">
                  <c:v>9月
2022</c:v>
                </c:pt>
                <c:pt idx="1614">
                  <c:v>9月
2022</c:v>
                </c:pt>
                <c:pt idx="1615">
                  <c:v>9月
2022</c:v>
                </c:pt>
                <c:pt idx="1616">
                  <c:v>9月
2022</c:v>
                </c:pt>
                <c:pt idx="1617">
                  <c:v>9月
2022</c:v>
                </c:pt>
                <c:pt idx="1618">
                  <c:v>9月
2022</c:v>
                </c:pt>
                <c:pt idx="1619">
                  <c:v>9月
2022</c:v>
                </c:pt>
                <c:pt idx="1620">
                  <c:v>9月
2022</c:v>
                </c:pt>
                <c:pt idx="1621">
                  <c:v>9月
2022</c:v>
                </c:pt>
                <c:pt idx="1622">
                  <c:v>9月
2022</c:v>
                </c:pt>
                <c:pt idx="1623">
                  <c:v>9月
2022</c:v>
                </c:pt>
                <c:pt idx="1624">
                  <c:v>9月
2022</c:v>
                </c:pt>
                <c:pt idx="1625">
                  <c:v>9月
2022</c:v>
                </c:pt>
                <c:pt idx="1626">
                  <c:v>9月
2022</c:v>
                </c:pt>
                <c:pt idx="1627">
                  <c:v>9月
2022</c:v>
                </c:pt>
                <c:pt idx="1628">
                  <c:v>9月
2022</c:v>
                </c:pt>
                <c:pt idx="1629">
                  <c:v>9月
2022</c:v>
                </c:pt>
                <c:pt idx="1630">
                  <c:v>9月
2022</c:v>
                </c:pt>
                <c:pt idx="1631">
                  <c:v>9月
2022</c:v>
                </c:pt>
                <c:pt idx="1632">
                  <c:v>9月
2022</c:v>
                </c:pt>
                <c:pt idx="1633">
                  <c:v>9月
2022</c:v>
                </c:pt>
                <c:pt idx="1634">
                  <c:v>10月
2022</c:v>
                </c:pt>
                <c:pt idx="1635">
                  <c:v>10月
2022</c:v>
                </c:pt>
                <c:pt idx="1636">
                  <c:v>10月
2022</c:v>
                </c:pt>
                <c:pt idx="1637">
                  <c:v>10月
2022</c:v>
                </c:pt>
                <c:pt idx="1638">
                  <c:v>10月
2022</c:v>
                </c:pt>
                <c:pt idx="1639">
                  <c:v>10月
2022</c:v>
                </c:pt>
                <c:pt idx="1640">
                  <c:v>10月
2022</c:v>
                </c:pt>
                <c:pt idx="1641">
                  <c:v>10月
2022</c:v>
                </c:pt>
                <c:pt idx="1642">
                  <c:v>10月
2022</c:v>
                </c:pt>
                <c:pt idx="1643">
                  <c:v>10月
2022</c:v>
                </c:pt>
                <c:pt idx="1644">
                  <c:v>10月
2022</c:v>
                </c:pt>
                <c:pt idx="1645">
                  <c:v>10月
2022</c:v>
                </c:pt>
                <c:pt idx="1646">
                  <c:v>10月
2022</c:v>
                </c:pt>
                <c:pt idx="1647">
                  <c:v>10月
2022</c:v>
                </c:pt>
                <c:pt idx="1648">
                  <c:v>10月
2022</c:v>
                </c:pt>
                <c:pt idx="1649">
                  <c:v>10月
2022</c:v>
                </c:pt>
                <c:pt idx="1650">
                  <c:v>10月
2022</c:v>
                </c:pt>
                <c:pt idx="1651">
                  <c:v>10月
2022</c:v>
                </c:pt>
                <c:pt idx="1652">
                  <c:v>10月
2022</c:v>
                </c:pt>
                <c:pt idx="1653">
                  <c:v>10月
2022</c:v>
                </c:pt>
                <c:pt idx="1654">
                  <c:v>10月
2022</c:v>
                </c:pt>
                <c:pt idx="1655">
                  <c:v>10月
2022</c:v>
                </c:pt>
                <c:pt idx="1656">
                  <c:v>10月
2022</c:v>
                </c:pt>
                <c:pt idx="1657">
                  <c:v>10月
2022</c:v>
                </c:pt>
                <c:pt idx="1658">
                  <c:v>10月
2022</c:v>
                </c:pt>
                <c:pt idx="1659">
                  <c:v>10月
2022</c:v>
                </c:pt>
                <c:pt idx="1660">
                  <c:v>10月
2022</c:v>
                </c:pt>
                <c:pt idx="1661">
                  <c:v>10月
2022</c:v>
                </c:pt>
                <c:pt idx="1662">
                  <c:v>10月
2022</c:v>
                </c:pt>
                <c:pt idx="1663">
                  <c:v>10月
2022</c:v>
                </c:pt>
                <c:pt idx="1664">
                  <c:v>10月
2022</c:v>
                </c:pt>
                <c:pt idx="1665">
                  <c:v>11月
2022</c:v>
                </c:pt>
                <c:pt idx="1666">
                  <c:v>11月
2022</c:v>
                </c:pt>
                <c:pt idx="1667">
                  <c:v>11月
2022</c:v>
                </c:pt>
                <c:pt idx="1668">
                  <c:v>11月
2022</c:v>
                </c:pt>
                <c:pt idx="1669">
                  <c:v>11月
2022</c:v>
                </c:pt>
                <c:pt idx="1670">
                  <c:v>11月
2022</c:v>
                </c:pt>
                <c:pt idx="1671">
                  <c:v>11月
2022</c:v>
                </c:pt>
                <c:pt idx="1672">
                  <c:v>11月
2022</c:v>
                </c:pt>
                <c:pt idx="1673">
                  <c:v>11月
2022</c:v>
                </c:pt>
                <c:pt idx="1674">
                  <c:v>11月
2022</c:v>
                </c:pt>
                <c:pt idx="1675">
                  <c:v>11月
2022</c:v>
                </c:pt>
                <c:pt idx="1676">
                  <c:v>11月
2022</c:v>
                </c:pt>
                <c:pt idx="1677">
                  <c:v>11月
2022</c:v>
                </c:pt>
                <c:pt idx="1678">
                  <c:v>11月
2022</c:v>
                </c:pt>
                <c:pt idx="1679">
                  <c:v>11月
2022</c:v>
                </c:pt>
                <c:pt idx="1680">
                  <c:v>11月
2022</c:v>
                </c:pt>
                <c:pt idx="1681">
                  <c:v>11月
2022</c:v>
                </c:pt>
                <c:pt idx="1682">
                  <c:v>11月
2022</c:v>
                </c:pt>
                <c:pt idx="1683">
                  <c:v>11月
2022</c:v>
                </c:pt>
                <c:pt idx="1684">
                  <c:v>11月
2022</c:v>
                </c:pt>
                <c:pt idx="1685">
                  <c:v>11月
2022</c:v>
                </c:pt>
                <c:pt idx="1686">
                  <c:v>11月
2022</c:v>
                </c:pt>
                <c:pt idx="1687">
                  <c:v>11月
2022</c:v>
                </c:pt>
                <c:pt idx="1688">
                  <c:v>11月
2022</c:v>
                </c:pt>
                <c:pt idx="1689">
                  <c:v>11月
2022</c:v>
                </c:pt>
                <c:pt idx="1690">
                  <c:v>11月
2022</c:v>
                </c:pt>
                <c:pt idx="1691">
                  <c:v>11月
2022</c:v>
                </c:pt>
                <c:pt idx="1692">
                  <c:v>11月
2022</c:v>
                </c:pt>
                <c:pt idx="1693">
                  <c:v>11月
2022</c:v>
                </c:pt>
                <c:pt idx="1694">
                  <c:v>11月
2022</c:v>
                </c:pt>
                <c:pt idx="1695">
                  <c:v>12月
2022</c:v>
                </c:pt>
                <c:pt idx="1696">
                  <c:v>12月
2022</c:v>
                </c:pt>
                <c:pt idx="1697">
                  <c:v>12月
2022</c:v>
                </c:pt>
                <c:pt idx="1698">
                  <c:v>12月
2022</c:v>
                </c:pt>
                <c:pt idx="1699">
                  <c:v>12月
2022</c:v>
                </c:pt>
                <c:pt idx="1700">
                  <c:v>12月
2022</c:v>
                </c:pt>
                <c:pt idx="1701">
                  <c:v>12月
2022</c:v>
                </c:pt>
                <c:pt idx="1702">
                  <c:v>12月
2022</c:v>
                </c:pt>
                <c:pt idx="1703">
                  <c:v>12月
2022</c:v>
                </c:pt>
                <c:pt idx="1704">
                  <c:v>12月
2022</c:v>
                </c:pt>
                <c:pt idx="1705">
                  <c:v>12月
2022</c:v>
                </c:pt>
                <c:pt idx="1706">
                  <c:v>12月
2022</c:v>
                </c:pt>
                <c:pt idx="1707">
                  <c:v>12月
2022</c:v>
                </c:pt>
                <c:pt idx="1708">
                  <c:v>12月
2022</c:v>
                </c:pt>
                <c:pt idx="1709">
                  <c:v>12月
2022</c:v>
                </c:pt>
                <c:pt idx="1710">
                  <c:v>12月
2022</c:v>
                </c:pt>
                <c:pt idx="1711">
                  <c:v>12月
2022</c:v>
                </c:pt>
                <c:pt idx="1712">
                  <c:v>12月
2022</c:v>
                </c:pt>
                <c:pt idx="1713">
                  <c:v>12月
2022</c:v>
                </c:pt>
                <c:pt idx="1714">
                  <c:v>12月
2022</c:v>
                </c:pt>
                <c:pt idx="1715">
                  <c:v>12月
2022</c:v>
                </c:pt>
                <c:pt idx="1716">
                  <c:v>12月
2022</c:v>
                </c:pt>
                <c:pt idx="1717">
                  <c:v>12月
2022</c:v>
                </c:pt>
                <c:pt idx="1718">
                  <c:v>12月
2022</c:v>
                </c:pt>
                <c:pt idx="1719">
                  <c:v>12月
2022</c:v>
                </c:pt>
                <c:pt idx="1720">
                  <c:v>12月
2022</c:v>
                </c:pt>
                <c:pt idx="1721">
                  <c:v>12月
2022</c:v>
                </c:pt>
                <c:pt idx="1722">
                  <c:v>12月
2022</c:v>
                </c:pt>
                <c:pt idx="1723">
                  <c:v>12月
2022</c:v>
                </c:pt>
                <c:pt idx="1724">
                  <c:v>1月
2023</c:v>
                </c:pt>
                <c:pt idx="1725">
                  <c:v>1月
2023</c:v>
                </c:pt>
                <c:pt idx="1726">
                  <c:v>1月
2023</c:v>
                </c:pt>
                <c:pt idx="1727">
                  <c:v>1月
2023</c:v>
                </c:pt>
                <c:pt idx="1728">
                  <c:v>1月
2023</c:v>
                </c:pt>
                <c:pt idx="1729">
                  <c:v>1月
2023</c:v>
                </c:pt>
                <c:pt idx="1730">
                  <c:v>1月
2023</c:v>
                </c:pt>
                <c:pt idx="1731">
                  <c:v>1月
2023</c:v>
                </c:pt>
                <c:pt idx="1732">
                  <c:v>1月
2023</c:v>
                </c:pt>
                <c:pt idx="1733">
                  <c:v>1月
2023</c:v>
                </c:pt>
                <c:pt idx="1734">
                  <c:v>1月
2023</c:v>
                </c:pt>
                <c:pt idx="1735">
                  <c:v>1月
2023</c:v>
                </c:pt>
                <c:pt idx="1736">
                  <c:v>1月
2023</c:v>
                </c:pt>
                <c:pt idx="1737">
                  <c:v>1月
2023</c:v>
                </c:pt>
                <c:pt idx="1738">
                  <c:v>1月
2023</c:v>
                </c:pt>
                <c:pt idx="1739">
                  <c:v>1月
2023</c:v>
                </c:pt>
                <c:pt idx="1740">
                  <c:v>1月
2023</c:v>
                </c:pt>
                <c:pt idx="1741">
                  <c:v>1月
2023</c:v>
                </c:pt>
                <c:pt idx="1742">
                  <c:v>1月
2023</c:v>
                </c:pt>
                <c:pt idx="1743">
                  <c:v>1月
2023</c:v>
                </c:pt>
                <c:pt idx="1744">
                  <c:v>1月
2023</c:v>
                </c:pt>
                <c:pt idx="1745">
                  <c:v>1月
2023</c:v>
                </c:pt>
                <c:pt idx="1746">
                  <c:v>1月
2023</c:v>
                </c:pt>
                <c:pt idx="1747">
                  <c:v>1月
2023</c:v>
                </c:pt>
                <c:pt idx="1748">
                  <c:v>1月
2023</c:v>
                </c:pt>
                <c:pt idx="1749">
                  <c:v>1月
2023</c:v>
                </c:pt>
                <c:pt idx="1750">
                  <c:v>1月
2023</c:v>
                </c:pt>
                <c:pt idx="1751">
                  <c:v>1月
2023</c:v>
                </c:pt>
                <c:pt idx="1752">
                  <c:v>1月
2023</c:v>
                </c:pt>
                <c:pt idx="1753">
                  <c:v>1月
2023</c:v>
                </c:pt>
                <c:pt idx="1754">
                  <c:v>1月
2023</c:v>
                </c:pt>
                <c:pt idx="1755">
                  <c:v>1月
2023</c:v>
                </c:pt>
                <c:pt idx="1756">
                  <c:v>1月
2023</c:v>
                </c:pt>
                <c:pt idx="1757">
                  <c:v>2月
2023</c:v>
                </c:pt>
                <c:pt idx="1758">
                  <c:v>2月
2023</c:v>
                </c:pt>
                <c:pt idx="1759">
                  <c:v>2月
2023</c:v>
                </c:pt>
                <c:pt idx="1760">
                  <c:v>2月
2023</c:v>
                </c:pt>
                <c:pt idx="1761">
                  <c:v>2月
2023</c:v>
                </c:pt>
                <c:pt idx="1762">
                  <c:v>2月
2023</c:v>
                </c:pt>
                <c:pt idx="1763">
                  <c:v>2月
2023</c:v>
                </c:pt>
                <c:pt idx="1764">
                  <c:v>2月
2023</c:v>
                </c:pt>
                <c:pt idx="1765">
                  <c:v>2月
2023</c:v>
                </c:pt>
                <c:pt idx="1766">
                  <c:v>2月
2023</c:v>
                </c:pt>
                <c:pt idx="1767">
                  <c:v>2月
2023</c:v>
                </c:pt>
                <c:pt idx="1768">
                  <c:v>2月
2023</c:v>
                </c:pt>
                <c:pt idx="1769">
                  <c:v>2月
2023</c:v>
                </c:pt>
                <c:pt idx="1770">
                  <c:v>2月
2023</c:v>
                </c:pt>
                <c:pt idx="1771">
                  <c:v>2月
2023</c:v>
                </c:pt>
                <c:pt idx="1772">
                  <c:v>2月
2023</c:v>
                </c:pt>
                <c:pt idx="1773">
                  <c:v>2月
2023</c:v>
                </c:pt>
                <c:pt idx="1774">
                  <c:v>2月
2023</c:v>
                </c:pt>
                <c:pt idx="1775">
                  <c:v>2月
2023</c:v>
                </c:pt>
                <c:pt idx="1776">
                  <c:v>2月
2023</c:v>
                </c:pt>
                <c:pt idx="1777">
                  <c:v>2月
2023</c:v>
                </c:pt>
                <c:pt idx="1778">
                  <c:v>2月
2023</c:v>
                </c:pt>
                <c:pt idx="1779">
                  <c:v>2月
2023</c:v>
                </c:pt>
                <c:pt idx="1780">
                  <c:v>2月
2023</c:v>
                </c:pt>
                <c:pt idx="1781">
                  <c:v>2月
2023</c:v>
                </c:pt>
                <c:pt idx="1782">
                  <c:v>2月
2023</c:v>
                </c:pt>
                <c:pt idx="1783">
                  <c:v>2月
2023</c:v>
                </c:pt>
                <c:pt idx="1784">
                  <c:v>2月
2023</c:v>
                </c:pt>
                <c:pt idx="1785">
                  <c:v>3月
2023</c:v>
                </c:pt>
                <c:pt idx="1786">
                  <c:v>3月
2023</c:v>
                </c:pt>
                <c:pt idx="1787">
                  <c:v>3月
2023</c:v>
                </c:pt>
                <c:pt idx="1788">
                  <c:v>3月
2023</c:v>
                </c:pt>
                <c:pt idx="1789">
                  <c:v>3月
2023</c:v>
                </c:pt>
                <c:pt idx="1790">
                  <c:v>3月
2023</c:v>
                </c:pt>
                <c:pt idx="1791">
                  <c:v>3月
2023</c:v>
                </c:pt>
                <c:pt idx="1792">
                  <c:v>3月
2023</c:v>
                </c:pt>
                <c:pt idx="1793">
                  <c:v>3月
2023</c:v>
                </c:pt>
                <c:pt idx="1794">
                  <c:v>3月
2023</c:v>
                </c:pt>
                <c:pt idx="1795">
                  <c:v>3月
2023</c:v>
                </c:pt>
                <c:pt idx="1796">
                  <c:v>3月
2023</c:v>
                </c:pt>
                <c:pt idx="1797">
                  <c:v>3月
2023</c:v>
                </c:pt>
                <c:pt idx="1798">
                  <c:v>3月
2023</c:v>
                </c:pt>
                <c:pt idx="1799">
                  <c:v>3月
2023</c:v>
                </c:pt>
                <c:pt idx="1800">
                  <c:v>3月
2023</c:v>
                </c:pt>
                <c:pt idx="1801">
                  <c:v>3月
2023</c:v>
                </c:pt>
                <c:pt idx="1802">
                  <c:v>3月
2023</c:v>
                </c:pt>
                <c:pt idx="1803">
                  <c:v>3月
2023</c:v>
                </c:pt>
                <c:pt idx="1804">
                  <c:v>3月
2023</c:v>
                </c:pt>
                <c:pt idx="1805">
                  <c:v>3月
2023</c:v>
                </c:pt>
                <c:pt idx="1806">
                  <c:v>3月
2023</c:v>
                </c:pt>
                <c:pt idx="1807">
                  <c:v>3月
2023</c:v>
                </c:pt>
                <c:pt idx="1808">
                  <c:v>3月
2023</c:v>
                </c:pt>
                <c:pt idx="1809">
                  <c:v>3月
2023</c:v>
                </c:pt>
                <c:pt idx="1810">
                  <c:v>3月
2023</c:v>
                </c:pt>
                <c:pt idx="1811">
                  <c:v>3月
2023</c:v>
                </c:pt>
                <c:pt idx="1812">
                  <c:v>3月
2023</c:v>
                </c:pt>
                <c:pt idx="1813">
                  <c:v>3月
2023</c:v>
                </c:pt>
                <c:pt idx="1814">
                  <c:v>3月
2023</c:v>
                </c:pt>
                <c:pt idx="1815">
                  <c:v>3月
2023</c:v>
                </c:pt>
                <c:pt idx="1816">
                  <c:v>4月
2023</c:v>
                </c:pt>
                <c:pt idx="1817">
                  <c:v>4月
2023</c:v>
                </c:pt>
                <c:pt idx="1818">
                  <c:v>4月
2023</c:v>
                </c:pt>
                <c:pt idx="1819">
                  <c:v>4月
2023</c:v>
                </c:pt>
                <c:pt idx="1820">
                  <c:v>4月
2023</c:v>
                </c:pt>
                <c:pt idx="1821">
                  <c:v>4月
2023</c:v>
                </c:pt>
                <c:pt idx="1822">
                  <c:v>4月
2023</c:v>
                </c:pt>
                <c:pt idx="1823">
                  <c:v>4月
2023</c:v>
                </c:pt>
                <c:pt idx="1824">
                  <c:v>4月
2023</c:v>
                </c:pt>
                <c:pt idx="1825">
                  <c:v>4月
2023</c:v>
                </c:pt>
                <c:pt idx="1826">
                  <c:v>4月
2023</c:v>
                </c:pt>
                <c:pt idx="1827">
                  <c:v>4月
2023</c:v>
                </c:pt>
                <c:pt idx="1828">
                  <c:v>4月
2023</c:v>
                </c:pt>
                <c:pt idx="1829">
                  <c:v>4月
2023</c:v>
                </c:pt>
                <c:pt idx="1830">
                  <c:v>4月
2023</c:v>
                </c:pt>
                <c:pt idx="1831">
                  <c:v>4月
2023</c:v>
                </c:pt>
                <c:pt idx="1832">
                  <c:v>4月
2023</c:v>
                </c:pt>
                <c:pt idx="1833">
                  <c:v>4月
2023</c:v>
                </c:pt>
                <c:pt idx="1834">
                  <c:v>4月
2023</c:v>
                </c:pt>
                <c:pt idx="1835">
                  <c:v>4月
2023</c:v>
                </c:pt>
                <c:pt idx="1836">
                  <c:v>4月
2023</c:v>
                </c:pt>
                <c:pt idx="1837">
                  <c:v>4月
2023</c:v>
                </c:pt>
                <c:pt idx="1838">
                  <c:v>4月
2023</c:v>
                </c:pt>
                <c:pt idx="1839">
                  <c:v>4月
2023</c:v>
                </c:pt>
                <c:pt idx="1840">
                  <c:v>4月
2023</c:v>
                </c:pt>
                <c:pt idx="1841">
                  <c:v>4月
2023</c:v>
                </c:pt>
                <c:pt idx="1842">
                  <c:v>4月
2023</c:v>
                </c:pt>
                <c:pt idx="1843">
                  <c:v>4月
2023</c:v>
                </c:pt>
                <c:pt idx="1844">
                  <c:v>4月
2023</c:v>
                </c:pt>
                <c:pt idx="1845">
                  <c:v>4月
2023</c:v>
                </c:pt>
                <c:pt idx="1846">
                  <c:v>5月
2023</c:v>
                </c:pt>
                <c:pt idx="1847">
                  <c:v>5月
2023</c:v>
                </c:pt>
                <c:pt idx="1848">
                  <c:v>5月
2023</c:v>
                </c:pt>
                <c:pt idx="1849">
                  <c:v>5月
2023</c:v>
                </c:pt>
                <c:pt idx="1850">
                  <c:v>5月
2023</c:v>
                </c:pt>
                <c:pt idx="1851">
                  <c:v>5月
2023</c:v>
                </c:pt>
                <c:pt idx="1852">
                  <c:v>5月
2023</c:v>
                </c:pt>
                <c:pt idx="1853">
                  <c:v>5月
2023</c:v>
                </c:pt>
                <c:pt idx="1854">
                  <c:v>5月
2023</c:v>
                </c:pt>
                <c:pt idx="1855">
                  <c:v>5月
2023</c:v>
                </c:pt>
                <c:pt idx="1856">
                  <c:v>5月
2023</c:v>
                </c:pt>
                <c:pt idx="1857">
                  <c:v>5月
2023</c:v>
                </c:pt>
                <c:pt idx="1858">
                  <c:v>5月
2023</c:v>
                </c:pt>
                <c:pt idx="1859">
                  <c:v>5月
2023</c:v>
                </c:pt>
                <c:pt idx="1860">
                  <c:v>5月
2023</c:v>
                </c:pt>
                <c:pt idx="1861">
                  <c:v>5月
2023</c:v>
                </c:pt>
                <c:pt idx="1862">
                  <c:v>5月
2023</c:v>
                </c:pt>
                <c:pt idx="1863">
                  <c:v>5月
2023</c:v>
                </c:pt>
                <c:pt idx="1864">
                  <c:v>5月
2023</c:v>
                </c:pt>
                <c:pt idx="1865">
                  <c:v>5月
2023</c:v>
                </c:pt>
                <c:pt idx="1866">
                  <c:v>5月
2023</c:v>
                </c:pt>
                <c:pt idx="1867">
                  <c:v>5月
2023</c:v>
                </c:pt>
                <c:pt idx="1868">
                  <c:v>5月
2023</c:v>
                </c:pt>
                <c:pt idx="1869">
                  <c:v>5月
2023</c:v>
                </c:pt>
                <c:pt idx="1870">
                  <c:v>5月
2023</c:v>
                </c:pt>
                <c:pt idx="1871">
                  <c:v>5月
2023</c:v>
                </c:pt>
                <c:pt idx="1872">
                  <c:v>5月
2023</c:v>
                </c:pt>
                <c:pt idx="1873">
                  <c:v>5月
2023</c:v>
                </c:pt>
                <c:pt idx="1874">
                  <c:v>5月
2023</c:v>
                </c:pt>
                <c:pt idx="1875">
                  <c:v>5月
2023</c:v>
                </c:pt>
                <c:pt idx="1876">
                  <c:v>5月
2023</c:v>
                </c:pt>
                <c:pt idx="1877">
                  <c:v>5月
2023</c:v>
                </c:pt>
                <c:pt idx="1878">
                  <c:v>5月
2023</c:v>
                </c:pt>
                <c:pt idx="1879">
                  <c:v>5月
2023</c:v>
                </c:pt>
                <c:pt idx="1880">
                  <c:v>5月
2023</c:v>
                </c:pt>
                <c:pt idx="1881">
                  <c:v>5月
2023</c:v>
                </c:pt>
                <c:pt idx="1882">
                  <c:v>5月
2023</c:v>
                </c:pt>
                <c:pt idx="1883">
                  <c:v>5月
2023</c:v>
                </c:pt>
                <c:pt idx="1884">
                  <c:v>5月
2023</c:v>
                </c:pt>
                <c:pt idx="1885">
                  <c:v>5月
2023</c:v>
                </c:pt>
                <c:pt idx="1886">
                  <c:v>5月
2023</c:v>
                </c:pt>
                <c:pt idx="1887">
                  <c:v>5月
2023</c:v>
                </c:pt>
                <c:pt idx="1888">
                  <c:v>5月
2023</c:v>
                </c:pt>
                <c:pt idx="1889">
                  <c:v>5月
2023</c:v>
                </c:pt>
                <c:pt idx="1890">
                  <c:v>5月
2023</c:v>
                </c:pt>
                <c:pt idx="1891">
                  <c:v>5月
2023</c:v>
                </c:pt>
                <c:pt idx="1892">
                  <c:v>5月
2023</c:v>
                </c:pt>
                <c:pt idx="1893">
                  <c:v>5月
2023</c:v>
                </c:pt>
                <c:pt idx="1894">
                  <c:v>5月
2023</c:v>
                </c:pt>
                <c:pt idx="1895">
                  <c:v>5月
2023</c:v>
                </c:pt>
                <c:pt idx="1896">
                  <c:v>5月
2023</c:v>
                </c:pt>
                <c:pt idx="1897">
                  <c:v>5月
2023</c:v>
                </c:pt>
                <c:pt idx="1898">
                  <c:v>5月
2023</c:v>
                </c:pt>
                <c:pt idx="1899">
                  <c:v>5月
2023</c:v>
                </c:pt>
                <c:pt idx="1900">
                  <c:v>5月
2023</c:v>
                </c:pt>
                <c:pt idx="1901">
                  <c:v>5月
2023</c:v>
                </c:pt>
                <c:pt idx="1902">
                  <c:v>5月
2023</c:v>
                </c:pt>
                <c:pt idx="1903">
                  <c:v>5月
2023</c:v>
                </c:pt>
                <c:pt idx="1904">
                  <c:v>5月
2023</c:v>
                </c:pt>
                <c:pt idx="1905">
                  <c:v>6月
2023</c:v>
                </c:pt>
                <c:pt idx="1906">
                  <c:v>6月
2023</c:v>
                </c:pt>
                <c:pt idx="1907">
                  <c:v>7月
2023</c:v>
                </c:pt>
                <c:pt idx="1908">
                  <c:v>7月
2023</c:v>
                </c:pt>
                <c:pt idx="1909">
                  <c:v>7月
2023</c:v>
                </c:pt>
                <c:pt idx="1910">
                  <c:v>7月
2023</c:v>
                </c:pt>
                <c:pt idx="1911">
                  <c:v>7月
2023</c:v>
                </c:pt>
                <c:pt idx="1912">
                  <c:v>7月
2023</c:v>
                </c:pt>
                <c:pt idx="1913">
                  <c:v>7月
2023</c:v>
                </c:pt>
                <c:pt idx="1914">
                  <c:v>7月
2023</c:v>
                </c:pt>
                <c:pt idx="1915">
                  <c:v>7月
2023</c:v>
                </c:pt>
                <c:pt idx="1916">
                  <c:v>7月
2023</c:v>
                </c:pt>
                <c:pt idx="1917">
                  <c:v>7月
2023</c:v>
                </c:pt>
                <c:pt idx="1918">
                  <c:v>7月
2023</c:v>
                </c:pt>
                <c:pt idx="1919">
                  <c:v>7月
2023</c:v>
                </c:pt>
                <c:pt idx="1920">
                  <c:v>7月
2023</c:v>
                </c:pt>
                <c:pt idx="1921">
                  <c:v>7月
2023</c:v>
                </c:pt>
                <c:pt idx="1922">
                  <c:v>7月
2023</c:v>
                </c:pt>
                <c:pt idx="1923">
                  <c:v>7月
2023</c:v>
                </c:pt>
                <c:pt idx="1924">
                  <c:v>7月
2023</c:v>
                </c:pt>
                <c:pt idx="1925">
                  <c:v>7月
2023</c:v>
                </c:pt>
                <c:pt idx="1926">
                  <c:v>7月
2023</c:v>
                </c:pt>
                <c:pt idx="1927">
                  <c:v>7月
2023</c:v>
                </c:pt>
                <c:pt idx="1928">
                  <c:v>7月
2023</c:v>
                </c:pt>
                <c:pt idx="1929">
                  <c:v>7月
2023</c:v>
                </c:pt>
                <c:pt idx="1930">
                  <c:v>7月
2023</c:v>
                </c:pt>
                <c:pt idx="1931">
                  <c:v>7月
2023</c:v>
                </c:pt>
                <c:pt idx="1932">
                  <c:v>7月
2023</c:v>
                </c:pt>
                <c:pt idx="1933">
                  <c:v>7月
2023</c:v>
                </c:pt>
                <c:pt idx="1934">
                  <c:v>7月
2023</c:v>
                </c:pt>
                <c:pt idx="1935">
                  <c:v>7月
2023</c:v>
                </c:pt>
                <c:pt idx="1936">
                  <c:v>7月
2023</c:v>
                </c:pt>
                <c:pt idx="1937">
                  <c:v>7月
2023</c:v>
                </c:pt>
                <c:pt idx="1938">
                  <c:v>8月
2023</c:v>
                </c:pt>
                <c:pt idx="1939">
                  <c:v>8月
2023</c:v>
                </c:pt>
                <c:pt idx="1940">
                  <c:v>8月
2023</c:v>
                </c:pt>
                <c:pt idx="1941">
                  <c:v>8月
2023</c:v>
                </c:pt>
                <c:pt idx="1942">
                  <c:v>8月
2023</c:v>
                </c:pt>
                <c:pt idx="1943">
                  <c:v>8月
2023</c:v>
                </c:pt>
                <c:pt idx="1944">
                  <c:v>8月
2023</c:v>
                </c:pt>
                <c:pt idx="1945">
                  <c:v>8月
2023</c:v>
                </c:pt>
                <c:pt idx="1946">
                  <c:v>8月
2023</c:v>
                </c:pt>
                <c:pt idx="1947">
                  <c:v>8月
2023</c:v>
                </c:pt>
                <c:pt idx="1948">
                  <c:v>8月
2023</c:v>
                </c:pt>
                <c:pt idx="1949">
                  <c:v>8月
2023</c:v>
                </c:pt>
                <c:pt idx="1950">
                  <c:v>8月
2023</c:v>
                </c:pt>
                <c:pt idx="1951">
                  <c:v>8月
2023</c:v>
                </c:pt>
                <c:pt idx="1952">
                  <c:v>8月
2023</c:v>
                </c:pt>
                <c:pt idx="1953">
                  <c:v>8月
2023</c:v>
                </c:pt>
                <c:pt idx="1954">
                  <c:v>8月
2023</c:v>
                </c:pt>
                <c:pt idx="1955">
                  <c:v>8月
2023</c:v>
                </c:pt>
                <c:pt idx="1956">
                  <c:v>8月
2023</c:v>
                </c:pt>
                <c:pt idx="1957">
                  <c:v>8月
2023</c:v>
                </c:pt>
                <c:pt idx="1958">
                  <c:v>8月
2023</c:v>
                </c:pt>
                <c:pt idx="1959">
                  <c:v>8月
2023</c:v>
                </c:pt>
                <c:pt idx="1960">
                  <c:v>8月
2023</c:v>
                </c:pt>
                <c:pt idx="1961">
                  <c:v>8月
2023</c:v>
                </c:pt>
                <c:pt idx="1962">
                  <c:v>8月
2023</c:v>
                </c:pt>
                <c:pt idx="1963">
                  <c:v>8月
2023</c:v>
                </c:pt>
                <c:pt idx="1964">
                  <c:v>8月
2023</c:v>
                </c:pt>
                <c:pt idx="1965">
                  <c:v>8月
2023</c:v>
                </c:pt>
                <c:pt idx="1966">
                  <c:v>8月
2023</c:v>
                </c:pt>
                <c:pt idx="1967">
                  <c:v>8月
2023</c:v>
                </c:pt>
                <c:pt idx="1968">
                  <c:v>8月
2023</c:v>
                </c:pt>
                <c:pt idx="1969">
                  <c:v>9月
2023</c:v>
                </c:pt>
                <c:pt idx="1970">
                  <c:v>9月
2023</c:v>
                </c:pt>
                <c:pt idx="1971">
                  <c:v>9月
2023</c:v>
                </c:pt>
                <c:pt idx="1972">
                  <c:v>9月
2023</c:v>
                </c:pt>
                <c:pt idx="1973">
                  <c:v>9月
2023</c:v>
                </c:pt>
                <c:pt idx="1974">
                  <c:v>9月
2023</c:v>
                </c:pt>
                <c:pt idx="1975">
                  <c:v>9月
2023</c:v>
                </c:pt>
                <c:pt idx="1976">
                  <c:v>9月
2023</c:v>
                </c:pt>
                <c:pt idx="1977">
                  <c:v>9月
2023</c:v>
                </c:pt>
                <c:pt idx="1978">
                  <c:v>9月
2023</c:v>
                </c:pt>
                <c:pt idx="1979">
                  <c:v>9月
2023</c:v>
                </c:pt>
                <c:pt idx="1980">
                  <c:v>9月
2023</c:v>
                </c:pt>
                <c:pt idx="1981">
                  <c:v>9月
2023</c:v>
                </c:pt>
                <c:pt idx="1982">
                  <c:v>9月
2023</c:v>
                </c:pt>
                <c:pt idx="1983">
                  <c:v>9月
2023</c:v>
                </c:pt>
                <c:pt idx="1984">
                  <c:v>9月
2023</c:v>
                </c:pt>
                <c:pt idx="1985">
                  <c:v>9月
2023</c:v>
                </c:pt>
                <c:pt idx="1986">
                  <c:v>9月
2023</c:v>
                </c:pt>
                <c:pt idx="1987">
                  <c:v>9月
2023</c:v>
                </c:pt>
                <c:pt idx="1988">
                  <c:v>9月
2023</c:v>
                </c:pt>
                <c:pt idx="1989">
                  <c:v>9月
2023</c:v>
                </c:pt>
                <c:pt idx="1990">
                  <c:v>9月
2023</c:v>
                </c:pt>
                <c:pt idx="1991">
                  <c:v>9月
2023</c:v>
                </c:pt>
                <c:pt idx="1992">
                  <c:v>9月
2023</c:v>
                </c:pt>
                <c:pt idx="1993">
                  <c:v>9月
2023</c:v>
                </c:pt>
                <c:pt idx="1994">
                  <c:v>9月
2023</c:v>
                </c:pt>
                <c:pt idx="1995">
                  <c:v>9月
2023</c:v>
                </c:pt>
                <c:pt idx="1996">
                  <c:v>9月
2023</c:v>
                </c:pt>
                <c:pt idx="1997">
                  <c:v>9月
2023</c:v>
                </c:pt>
                <c:pt idx="1998">
                  <c:v>9月
2023</c:v>
                </c:pt>
                <c:pt idx="1999">
                  <c:v>10月
2023</c:v>
                </c:pt>
                <c:pt idx="2000">
                  <c:v>10月
2023</c:v>
                </c:pt>
                <c:pt idx="2001">
                  <c:v>10月
2023</c:v>
                </c:pt>
                <c:pt idx="2002">
                  <c:v>10月
2023</c:v>
                </c:pt>
                <c:pt idx="2003">
                  <c:v>10月
2023</c:v>
                </c:pt>
                <c:pt idx="2004">
                  <c:v>10月
2023</c:v>
                </c:pt>
                <c:pt idx="2005">
                  <c:v>10月
2023</c:v>
                </c:pt>
                <c:pt idx="2006">
                  <c:v>10月
2023</c:v>
                </c:pt>
                <c:pt idx="2007">
                  <c:v>10月
2023</c:v>
                </c:pt>
                <c:pt idx="2008">
                  <c:v>10月
2023</c:v>
                </c:pt>
                <c:pt idx="2009">
                  <c:v>10月
2023</c:v>
                </c:pt>
                <c:pt idx="2010">
                  <c:v>10月
2023</c:v>
                </c:pt>
                <c:pt idx="2011">
                  <c:v>10月
2023</c:v>
                </c:pt>
                <c:pt idx="2012">
                  <c:v>10月
2023</c:v>
                </c:pt>
                <c:pt idx="2013">
                  <c:v>10月
2023</c:v>
                </c:pt>
                <c:pt idx="2014">
                  <c:v>10月
2023</c:v>
                </c:pt>
                <c:pt idx="2015">
                  <c:v>10月
2023</c:v>
                </c:pt>
                <c:pt idx="2016">
                  <c:v>10月
2023</c:v>
                </c:pt>
                <c:pt idx="2017">
                  <c:v>10月
2023</c:v>
                </c:pt>
                <c:pt idx="2018">
                  <c:v>10月
2023</c:v>
                </c:pt>
                <c:pt idx="2019">
                  <c:v>10月
2023</c:v>
                </c:pt>
                <c:pt idx="2020">
                  <c:v>10月
2023</c:v>
                </c:pt>
                <c:pt idx="2021">
                  <c:v>10月
2023</c:v>
                </c:pt>
                <c:pt idx="2022">
                  <c:v>10月
2023</c:v>
                </c:pt>
                <c:pt idx="2023">
                  <c:v>10月
2023</c:v>
                </c:pt>
                <c:pt idx="2024">
                  <c:v>10月
2023</c:v>
                </c:pt>
                <c:pt idx="2025">
                  <c:v>10月
2023</c:v>
                </c:pt>
                <c:pt idx="2026">
                  <c:v>10月
2023</c:v>
                </c:pt>
                <c:pt idx="2027">
                  <c:v>10月
2023</c:v>
                </c:pt>
                <c:pt idx="2028">
                  <c:v>10月
2023</c:v>
                </c:pt>
                <c:pt idx="2029">
                  <c:v>10月
2023</c:v>
                </c:pt>
                <c:pt idx="2030">
                  <c:v>11月
2023</c:v>
                </c:pt>
                <c:pt idx="2031">
                  <c:v>11月
2023</c:v>
                </c:pt>
                <c:pt idx="2032">
                  <c:v>11月
2023</c:v>
                </c:pt>
                <c:pt idx="2033">
                  <c:v>11月
2023</c:v>
                </c:pt>
                <c:pt idx="2034">
                  <c:v>11月
2023</c:v>
                </c:pt>
                <c:pt idx="2035">
                  <c:v>11月
2023</c:v>
                </c:pt>
                <c:pt idx="2036">
                  <c:v>11月
2023</c:v>
                </c:pt>
                <c:pt idx="2037">
                  <c:v>11月
2023</c:v>
                </c:pt>
                <c:pt idx="2038">
                  <c:v>11月
2023</c:v>
                </c:pt>
                <c:pt idx="2039">
                  <c:v>11月
2023</c:v>
                </c:pt>
                <c:pt idx="2040">
                  <c:v>11月
2023</c:v>
                </c:pt>
                <c:pt idx="2041">
                  <c:v>11月
2023</c:v>
                </c:pt>
                <c:pt idx="2042">
                  <c:v>11月
2023</c:v>
                </c:pt>
                <c:pt idx="2043">
                  <c:v>11月
2023</c:v>
                </c:pt>
                <c:pt idx="2044">
                  <c:v>11月
2023</c:v>
                </c:pt>
                <c:pt idx="2045">
                  <c:v>11月
2023</c:v>
                </c:pt>
                <c:pt idx="2046">
                  <c:v>11月
2023</c:v>
                </c:pt>
                <c:pt idx="2047">
                  <c:v>11月
2023</c:v>
                </c:pt>
                <c:pt idx="2048">
                  <c:v>11月
2023</c:v>
                </c:pt>
                <c:pt idx="2049">
                  <c:v>11月
2023</c:v>
                </c:pt>
                <c:pt idx="2050">
                  <c:v>11月
2023</c:v>
                </c:pt>
                <c:pt idx="2051">
                  <c:v>11月
2023</c:v>
                </c:pt>
                <c:pt idx="2052">
                  <c:v>11月
2023</c:v>
                </c:pt>
                <c:pt idx="2053">
                  <c:v>11月
2023</c:v>
                </c:pt>
                <c:pt idx="2054">
                  <c:v>11月
2023</c:v>
                </c:pt>
                <c:pt idx="2055">
                  <c:v>11月
2023</c:v>
                </c:pt>
                <c:pt idx="2056">
                  <c:v>11月
2023</c:v>
                </c:pt>
                <c:pt idx="2057">
                  <c:v>11月
2023</c:v>
                </c:pt>
                <c:pt idx="2058">
                  <c:v>11月
2023</c:v>
                </c:pt>
                <c:pt idx="2059">
                  <c:v>11月
2023</c:v>
                </c:pt>
                <c:pt idx="2060">
                  <c:v>12月
2023</c:v>
                </c:pt>
                <c:pt idx="2061">
                  <c:v>12月
2023</c:v>
                </c:pt>
                <c:pt idx="2062">
                  <c:v>12月
2023</c:v>
                </c:pt>
                <c:pt idx="2063">
                  <c:v>12月
2023</c:v>
                </c:pt>
                <c:pt idx="2064">
                  <c:v>12月
2023</c:v>
                </c:pt>
                <c:pt idx="2065">
                  <c:v>12月
2023</c:v>
                </c:pt>
                <c:pt idx="2066">
                  <c:v>12月
2023</c:v>
                </c:pt>
                <c:pt idx="2067">
                  <c:v>12月
2023</c:v>
                </c:pt>
                <c:pt idx="2068">
                  <c:v>12月
2023</c:v>
                </c:pt>
                <c:pt idx="2069">
                  <c:v>12月
2023</c:v>
                </c:pt>
                <c:pt idx="2070">
                  <c:v>12月
2023</c:v>
                </c:pt>
                <c:pt idx="2071">
                  <c:v>12月
2023</c:v>
                </c:pt>
                <c:pt idx="2072">
                  <c:v>12月
2023</c:v>
                </c:pt>
                <c:pt idx="2073">
                  <c:v>12月
2023</c:v>
                </c:pt>
                <c:pt idx="2074">
                  <c:v>12月
2023</c:v>
                </c:pt>
                <c:pt idx="2075">
                  <c:v>12月
2023</c:v>
                </c:pt>
                <c:pt idx="2076">
                  <c:v>12月
2023</c:v>
                </c:pt>
                <c:pt idx="2077">
                  <c:v>12月
2023</c:v>
                </c:pt>
                <c:pt idx="2078">
                  <c:v>12月
2023</c:v>
                </c:pt>
                <c:pt idx="2079">
                  <c:v>12月
2023</c:v>
                </c:pt>
                <c:pt idx="2080">
                  <c:v>12月
2023</c:v>
                </c:pt>
                <c:pt idx="2081">
                  <c:v>12月
2023</c:v>
                </c:pt>
                <c:pt idx="2082">
                  <c:v>12月
2023</c:v>
                </c:pt>
                <c:pt idx="2083">
                  <c:v>12月
2023</c:v>
                </c:pt>
                <c:pt idx="2084">
                  <c:v>12月
2023</c:v>
                </c:pt>
                <c:pt idx="2085">
                  <c:v>12月
2023</c:v>
                </c:pt>
                <c:pt idx="2086">
                  <c:v>12月
2023</c:v>
                </c:pt>
                <c:pt idx="2087">
                  <c:v>12月
2023</c:v>
                </c:pt>
                <c:pt idx="2088">
                  <c:v>12月
2023</c:v>
                </c:pt>
                <c:pt idx="2089">
                  <c:v>12月
2023</c:v>
                </c:pt>
                <c:pt idx="2090">
                  <c:v>12月
2023</c:v>
                </c:pt>
                <c:pt idx="2091">
                  <c:v>1月
2024</c:v>
                </c:pt>
                <c:pt idx="2092">
                  <c:v>1月
2024</c:v>
                </c:pt>
                <c:pt idx="2093">
                  <c:v>1月
2024</c:v>
                </c:pt>
                <c:pt idx="2094">
                  <c:v>1月
2024</c:v>
                </c:pt>
                <c:pt idx="2095">
                  <c:v>1月
2024</c:v>
                </c:pt>
                <c:pt idx="2096">
                  <c:v>1月
2024</c:v>
                </c:pt>
                <c:pt idx="2097">
                  <c:v>1月
2024</c:v>
                </c:pt>
                <c:pt idx="2098">
                  <c:v>1月
2024</c:v>
                </c:pt>
                <c:pt idx="2099">
                  <c:v>1月
2024</c:v>
                </c:pt>
                <c:pt idx="2100">
                  <c:v>1月
2024</c:v>
                </c:pt>
                <c:pt idx="2101">
                  <c:v>1月
2024</c:v>
                </c:pt>
                <c:pt idx="2102">
                  <c:v>1月
2024</c:v>
                </c:pt>
                <c:pt idx="2103">
                  <c:v>1月
2024</c:v>
                </c:pt>
                <c:pt idx="2104">
                  <c:v>1月
2024</c:v>
                </c:pt>
                <c:pt idx="2105">
                  <c:v>1月
2024</c:v>
                </c:pt>
                <c:pt idx="2106">
                  <c:v>1月
2024</c:v>
                </c:pt>
                <c:pt idx="2107">
                  <c:v>1月
2024</c:v>
                </c:pt>
                <c:pt idx="2108">
                  <c:v>1月
2024</c:v>
                </c:pt>
                <c:pt idx="2109">
                  <c:v>1月
2024</c:v>
                </c:pt>
                <c:pt idx="2110">
                  <c:v>1月
2024</c:v>
                </c:pt>
                <c:pt idx="2111">
                  <c:v>1月
2024</c:v>
                </c:pt>
                <c:pt idx="2112">
                  <c:v>1月
2024</c:v>
                </c:pt>
                <c:pt idx="2113">
                  <c:v>1月
2024</c:v>
                </c:pt>
                <c:pt idx="2114">
                  <c:v>1月
2024</c:v>
                </c:pt>
                <c:pt idx="2115">
                  <c:v>1月
2024</c:v>
                </c:pt>
                <c:pt idx="2116">
                  <c:v>1月
2024</c:v>
                </c:pt>
                <c:pt idx="2117">
                  <c:v>1月
2024</c:v>
                </c:pt>
                <c:pt idx="2118">
                  <c:v>1月
2024</c:v>
                </c:pt>
                <c:pt idx="2119">
                  <c:v>1月
2024</c:v>
                </c:pt>
                <c:pt idx="2120">
                  <c:v>1月
2024</c:v>
                </c:pt>
                <c:pt idx="2121">
                  <c:v>1月
2024</c:v>
                </c:pt>
                <c:pt idx="2122">
                  <c:v>2月
2024</c:v>
                </c:pt>
                <c:pt idx="2123">
                  <c:v>2月
2024</c:v>
                </c:pt>
                <c:pt idx="2124">
                  <c:v>2月
2024</c:v>
                </c:pt>
                <c:pt idx="2125">
                  <c:v>2月
2024</c:v>
                </c:pt>
                <c:pt idx="2126">
                  <c:v>2月
2024</c:v>
                </c:pt>
                <c:pt idx="2127">
                  <c:v>2月
2024</c:v>
                </c:pt>
                <c:pt idx="2128">
                  <c:v>2月
2024</c:v>
                </c:pt>
                <c:pt idx="2129">
                  <c:v>2月
2024</c:v>
                </c:pt>
                <c:pt idx="2130">
                  <c:v>2月
2024</c:v>
                </c:pt>
                <c:pt idx="2131">
                  <c:v>2月
2024</c:v>
                </c:pt>
                <c:pt idx="2132">
                  <c:v>2月
2024</c:v>
                </c:pt>
                <c:pt idx="2133">
                  <c:v>2月
2024</c:v>
                </c:pt>
                <c:pt idx="2134">
                  <c:v>2月
2024</c:v>
                </c:pt>
                <c:pt idx="2135">
                  <c:v>2月
2024</c:v>
                </c:pt>
                <c:pt idx="2136">
                  <c:v>2月
2024</c:v>
                </c:pt>
                <c:pt idx="2137">
                  <c:v>2月
2024</c:v>
                </c:pt>
                <c:pt idx="2138">
                  <c:v>2月
2024</c:v>
                </c:pt>
                <c:pt idx="2139">
                  <c:v>2月
2024</c:v>
                </c:pt>
                <c:pt idx="2140">
                  <c:v>2月
2024</c:v>
                </c:pt>
                <c:pt idx="2141">
                  <c:v>2月
2024</c:v>
                </c:pt>
                <c:pt idx="2142">
                  <c:v>2月
2024</c:v>
                </c:pt>
                <c:pt idx="2143">
                  <c:v>2月
2024</c:v>
                </c:pt>
                <c:pt idx="2144">
                  <c:v>2月
2024</c:v>
                </c:pt>
                <c:pt idx="2145">
                  <c:v>2月
2024</c:v>
                </c:pt>
                <c:pt idx="2146">
                  <c:v>2月
2024</c:v>
                </c:pt>
                <c:pt idx="2147">
                  <c:v>2月
2024</c:v>
                </c:pt>
                <c:pt idx="2148">
                  <c:v>2月
2024</c:v>
                </c:pt>
                <c:pt idx="2149">
                  <c:v>2月
2024</c:v>
                </c:pt>
                <c:pt idx="2150">
                  <c:v>2月
2024</c:v>
                </c:pt>
                <c:pt idx="2151">
                  <c:v>3月
2024</c:v>
                </c:pt>
                <c:pt idx="2152">
                  <c:v>3月
2024</c:v>
                </c:pt>
                <c:pt idx="2153">
                  <c:v>3月
2024</c:v>
                </c:pt>
                <c:pt idx="2154">
                  <c:v>3月
2024</c:v>
                </c:pt>
                <c:pt idx="2155">
                  <c:v>3月
2024</c:v>
                </c:pt>
                <c:pt idx="2156">
                  <c:v>3月
2024</c:v>
                </c:pt>
                <c:pt idx="2157">
                  <c:v>3月
2024</c:v>
                </c:pt>
                <c:pt idx="2158">
                  <c:v>3月
2024</c:v>
                </c:pt>
                <c:pt idx="2159">
                  <c:v>3月
2024</c:v>
                </c:pt>
                <c:pt idx="2160">
                  <c:v>3月
2024</c:v>
                </c:pt>
                <c:pt idx="2161">
                  <c:v>3月
2024</c:v>
                </c:pt>
                <c:pt idx="2162">
                  <c:v>3月
2024</c:v>
                </c:pt>
                <c:pt idx="2163">
                  <c:v>3月
2024</c:v>
                </c:pt>
                <c:pt idx="2164">
                  <c:v>3月
2024</c:v>
                </c:pt>
                <c:pt idx="2165">
                  <c:v>3月
2024</c:v>
                </c:pt>
                <c:pt idx="2166">
                  <c:v>3月
2024</c:v>
                </c:pt>
                <c:pt idx="2167">
                  <c:v>3月
2024</c:v>
                </c:pt>
                <c:pt idx="2168">
                  <c:v>3月
2024</c:v>
                </c:pt>
                <c:pt idx="2169">
                  <c:v>3月
2024</c:v>
                </c:pt>
                <c:pt idx="2170">
                  <c:v>3月
2024</c:v>
                </c:pt>
                <c:pt idx="2171">
                  <c:v>3月
2024</c:v>
                </c:pt>
                <c:pt idx="2172">
                  <c:v>3月
2024</c:v>
                </c:pt>
                <c:pt idx="2173">
                  <c:v>3月
2024</c:v>
                </c:pt>
                <c:pt idx="2174">
                  <c:v>3月
2024</c:v>
                </c:pt>
                <c:pt idx="2175">
                  <c:v>3月
2024</c:v>
                </c:pt>
                <c:pt idx="2176">
                  <c:v>3月
2024</c:v>
                </c:pt>
                <c:pt idx="2177">
                  <c:v>3月
2024</c:v>
                </c:pt>
                <c:pt idx="2178">
                  <c:v>3月
2024</c:v>
                </c:pt>
                <c:pt idx="2179">
                  <c:v>3月
2024</c:v>
                </c:pt>
                <c:pt idx="2180">
                  <c:v>3月
2024</c:v>
                </c:pt>
                <c:pt idx="2181">
                  <c:v>3月
2024</c:v>
                </c:pt>
              </c:strCache>
            </c:strRef>
          </c:cat>
          <c:val>
            <c:numRef>
              <c:f>'3大现货价格'!$F$3000:$F$5562</c:f>
              <c:numCache>
                <c:formatCode>#,##0.00_ </c:formatCode>
                <c:ptCount val="2563"/>
                <c:pt idx="0">
                  <c:v>72.06</c:v>
                </c:pt>
                <c:pt idx="1">
                  <c:v>72.02</c:v>
                </c:pt>
                <c:pt idx="2">
                  <c:v>72.58</c:v>
                </c:pt>
                <c:pt idx="3">
                  <c:v>72.58</c:v>
                </c:pt>
                <c:pt idx="4">
                  <c:v>72.58</c:v>
                </c:pt>
                <c:pt idx="5">
                  <c:v>71.42</c:v>
                </c:pt>
                <c:pt idx="6">
                  <c:v>71.58</c:v>
                </c:pt>
                <c:pt idx="7">
                  <c:v>73.48</c:v>
                </c:pt>
                <c:pt idx="8">
                  <c:v>73.78</c:v>
                </c:pt>
                <c:pt idx="9">
                  <c:v>74.06</c:v>
                </c:pt>
                <c:pt idx="10">
                  <c:v>74.06</c:v>
                </c:pt>
                <c:pt idx="11">
                  <c:v>74.06</c:v>
                </c:pt>
                <c:pt idx="12">
                  <c:v>74.709999999999994</c:v>
                </c:pt>
                <c:pt idx="13">
                  <c:v>73.86</c:v>
                </c:pt>
                <c:pt idx="14">
                  <c:v>74</c:v>
                </c:pt>
                <c:pt idx="15">
                  <c:v>74.739999999999995</c:v>
                </c:pt>
                <c:pt idx="16">
                  <c:v>74.64</c:v>
                </c:pt>
                <c:pt idx="17">
                  <c:v>74.64</c:v>
                </c:pt>
                <c:pt idx="18">
                  <c:v>74.64</c:v>
                </c:pt>
                <c:pt idx="19">
                  <c:v>75.17</c:v>
                </c:pt>
                <c:pt idx="20">
                  <c:v>73.13</c:v>
                </c:pt>
                <c:pt idx="21">
                  <c:v>73.36</c:v>
                </c:pt>
                <c:pt idx="22">
                  <c:v>73.62</c:v>
                </c:pt>
                <c:pt idx="23">
                  <c:v>74.87</c:v>
                </c:pt>
                <c:pt idx="24">
                  <c:v>74.87</c:v>
                </c:pt>
                <c:pt idx="25">
                  <c:v>74.87</c:v>
                </c:pt>
                <c:pt idx="26">
                  <c:v>76.17</c:v>
                </c:pt>
                <c:pt idx="27">
                  <c:v>74.849999999999994</c:v>
                </c:pt>
                <c:pt idx="28">
                  <c:v>77.209999999999994</c:v>
                </c:pt>
                <c:pt idx="29">
                  <c:v>77.47</c:v>
                </c:pt>
                <c:pt idx="30">
                  <c:v>77.12</c:v>
                </c:pt>
                <c:pt idx="31">
                  <c:v>77.12</c:v>
                </c:pt>
                <c:pt idx="32">
                  <c:v>77.12</c:v>
                </c:pt>
                <c:pt idx="33">
                  <c:v>78.23</c:v>
                </c:pt>
                <c:pt idx="34">
                  <c:v>78.430000000000007</c:v>
                </c:pt>
                <c:pt idx="35">
                  <c:v>79.28</c:v>
                </c:pt>
                <c:pt idx="36">
                  <c:v>79.3</c:v>
                </c:pt>
                <c:pt idx="37">
                  <c:v>78.510000000000005</c:v>
                </c:pt>
                <c:pt idx="38">
                  <c:v>78.510000000000005</c:v>
                </c:pt>
                <c:pt idx="39">
                  <c:v>78.510000000000005</c:v>
                </c:pt>
                <c:pt idx="40">
                  <c:v>79.22</c:v>
                </c:pt>
                <c:pt idx="41">
                  <c:v>79.569999999999993</c:v>
                </c:pt>
                <c:pt idx="42">
                  <c:v>79.8</c:v>
                </c:pt>
                <c:pt idx="43">
                  <c:v>78.790000000000006</c:v>
                </c:pt>
                <c:pt idx="44">
                  <c:v>76.44</c:v>
                </c:pt>
                <c:pt idx="45">
                  <c:v>76.44</c:v>
                </c:pt>
                <c:pt idx="46">
                  <c:v>76.44</c:v>
                </c:pt>
                <c:pt idx="47">
                  <c:v>75.3</c:v>
                </c:pt>
                <c:pt idx="48">
                  <c:v>75.39</c:v>
                </c:pt>
                <c:pt idx="49">
                  <c:v>77.5</c:v>
                </c:pt>
                <c:pt idx="50">
                  <c:v>77.59</c:v>
                </c:pt>
                <c:pt idx="51">
                  <c:v>76.790000000000006</c:v>
                </c:pt>
                <c:pt idx="52">
                  <c:v>76.790000000000006</c:v>
                </c:pt>
                <c:pt idx="53">
                  <c:v>76.790000000000006</c:v>
                </c:pt>
                <c:pt idx="54">
                  <c:v>75.290000000000006</c:v>
                </c:pt>
                <c:pt idx="55">
                  <c:v>75.38</c:v>
                </c:pt>
                <c:pt idx="56">
                  <c:v>75.36</c:v>
                </c:pt>
                <c:pt idx="57">
                  <c:v>77.319999999999993</c:v>
                </c:pt>
                <c:pt idx="58">
                  <c:v>76.459999999999994</c:v>
                </c:pt>
                <c:pt idx="59">
                  <c:v>76.459999999999994</c:v>
                </c:pt>
                <c:pt idx="60">
                  <c:v>76.459999999999994</c:v>
                </c:pt>
                <c:pt idx="61">
                  <c:v>76.459999999999994</c:v>
                </c:pt>
                <c:pt idx="62">
                  <c:v>75.88</c:v>
                </c:pt>
                <c:pt idx="63">
                  <c:v>76.739999999999995</c:v>
                </c:pt>
                <c:pt idx="64">
                  <c:v>75.94</c:v>
                </c:pt>
                <c:pt idx="65">
                  <c:v>73.44</c:v>
                </c:pt>
                <c:pt idx="66">
                  <c:v>73.44</c:v>
                </c:pt>
                <c:pt idx="67">
                  <c:v>73.44</c:v>
                </c:pt>
                <c:pt idx="68">
                  <c:v>75.34</c:v>
                </c:pt>
                <c:pt idx="69">
                  <c:v>75.08</c:v>
                </c:pt>
                <c:pt idx="70">
                  <c:v>74.739999999999995</c:v>
                </c:pt>
                <c:pt idx="71">
                  <c:v>73.05</c:v>
                </c:pt>
                <c:pt idx="72">
                  <c:v>75.55</c:v>
                </c:pt>
                <c:pt idx="73">
                  <c:v>75.55</c:v>
                </c:pt>
                <c:pt idx="74">
                  <c:v>75.55</c:v>
                </c:pt>
                <c:pt idx="75">
                  <c:v>74.73</c:v>
                </c:pt>
                <c:pt idx="76">
                  <c:v>76.31</c:v>
                </c:pt>
                <c:pt idx="77">
                  <c:v>77.62</c:v>
                </c:pt>
                <c:pt idx="78">
                  <c:v>77.849999999999994</c:v>
                </c:pt>
                <c:pt idx="79">
                  <c:v>79.44</c:v>
                </c:pt>
                <c:pt idx="80">
                  <c:v>79.44</c:v>
                </c:pt>
                <c:pt idx="81">
                  <c:v>79.44</c:v>
                </c:pt>
                <c:pt idx="82">
                  <c:v>77.3</c:v>
                </c:pt>
                <c:pt idx="83">
                  <c:v>77.760000000000005</c:v>
                </c:pt>
                <c:pt idx="84">
                  <c:v>78.239999999999995</c:v>
                </c:pt>
                <c:pt idx="85">
                  <c:v>77.39</c:v>
                </c:pt>
                <c:pt idx="86">
                  <c:v>77.11</c:v>
                </c:pt>
                <c:pt idx="87">
                  <c:v>77.11</c:v>
                </c:pt>
                <c:pt idx="88">
                  <c:v>77.11</c:v>
                </c:pt>
                <c:pt idx="89">
                  <c:v>78.069999999999993</c:v>
                </c:pt>
                <c:pt idx="90">
                  <c:v>78.86</c:v>
                </c:pt>
                <c:pt idx="91">
                  <c:v>73.400000000000006</c:v>
                </c:pt>
                <c:pt idx="92">
                  <c:v>74.45</c:v>
                </c:pt>
                <c:pt idx="93">
                  <c:v>75.33</c:v>
                </c:pt>
                <c:pt idx="94">
                  <c:v>75.33</c:v>
                </c:pt>
                <c:pt idx="95">
                  <c:v>75.33</c:v>
                </c:pt>
                <c:pt idx="96">
                  <c:v>71.84</c:v>
                </c:pt>
                <c:pt idx="97">
                  <c:v>72.16</c:v>
                </c:pt>
                <c:pt idx="98">
                  <c:v>72.900000000000006</c:v>
                </c:pt>
                <c:pt idx="99">
                  <c:v>72.58</c:v>
                </c:pt>
                <c:pt idx="100">
                  <c:v>73.069999999999993</c:v>
                </c:pt>
                <c:pt idx="101">
                  <c:v>73.069999999999993</c:v>
                </c:pt>
                <c:pt idx="102">
                  <c:v>73.069999999999993</c:v>
                </c:pt>
                <c:pt idx="103">
                  <c:v>73.06</c:v>
                </c:pt>
                <c:pt idx="104">
                  <c:v>73.44</c:v>
                </c:pt>
                <c:pt idx="105">
                  <c:v>73.930000000000007</c:v>
                </c:pt>
                <c:pt idx="106">
                  <c:v>74.540000000000006</c:v>
                </c:pt>
                <c:pt idx="107">
                  <c:v>74.290000000000006</c:v>
                </c:pt>
                <c:pt idx="108">
                  <c:v>74.290000000000006</c:v>
                </c:pt>
                <c:pt idx="109">
                  <c:v>74.290000000000006</c:v>
                </c:pt>
                <c:pt idx="110">
                  <c:v>74.97</c:v>
                </c:pt>
                <c:pt idx="111">
                  <c:v>74.25</c:v>
                </c:pt>
                <c:pt idx="112">
                  <c:v>72.39</c:v>
                </c:pt>
                <c:pt idx="113">
                  <c:v>73.45</c:v>
                </c:pt>
                <c:pt idx="114">
                  <c:v>73.209999999999994</c:v>
                </c:pt>
                <c:pt idx="115">
                  <c:v>73.209999999999994</c:v>
                </c:pt>
                <c:pt idx="116">
                  <c:v>73.209999999999994</c:v>
                </c:pt>
                <c:pt idx="117">
                  <c:v>73.75</c:v>
                </c:pt>
                <c:pt idx="118">
                  <c:v>74.650000000000006</c:v>
                </c:pt>
                <c:pt idx="119">
                  <c:v>72.28</c:v>
                </c:pt>
                <c:pt idx="120">
                  <c:v>72.069999999999993</c:v>
                </c:pt>
                <c:pt idx="121">
                  <c:v>72.81</c:v>
                </c:pt>
                <c:pt idx="122">
                  <c:v>72.81</c:v>
                </c:pt>
                <c:pt idx="123">
                  <c:v>72.81</c:v>
                </c:pt>
                <c:pt idx="124">
                  <c:v>72.61</c:v>
                </c:pt>
                <c:pt idx="125">
                  <c:v>72.459999999999994</c:v>
                </c:pt>
                <c:pt idx="126">
                  <c:v>70.760000000000005</c:v>
                </c:pt>
                <c:pt idx="127">
                  <c:v>71.430000000000007</c:v>
                </c:pt>
                <c:pt idx="128">
                  <c:v>71.83</c:v>
                </c:pt>
                <c:pt idx="129">
                  <c:v>71.83</c:v>
                </c:pt>
                <c:pt idx="130">
                  <c:v>71.83</c:v>
                </c:pt>
                <c:pt idx="131">
                  <c:v>72.209999999999994</c:v>
                </c:pt>
                <c:pt idx="132">
                  <c:v>72.63</c:v>
                </c:pt>
                <c:pt idx="133">
                  <c:v>74.78</c:v>
                </c:pt>
                <c:pt idx="134">
                  <c:v>74.73</c:v>
                </c:pt>
                <c:pt idx="135">
                  <c:v>75.819999999999993</c:v>
                </c:pt>
                <c:pt idx="136">
                  <c:v>75.819999999999993</c:v>
                </c:pt>
                <c:pt idx="137">
                  <c:v>75.819999999999993</c:v>
                </c:pt>
                <c:pt idx="138">
                  <c:v>76.209999999999994</c:v>
                </c:pt>
                <c:pt idx="139">
                  <c:v>75.95</c:v>
                </c:pt>
                <c:pt idx="140">
                  <c:v>77.14</c:v>
                </c:pt>
                <c:pt idx="141">
                  <c:v>77.77</c:v>
                </c:pt>
                <c:pt idx="142">
                  <c:v>77.42</c:v>
                </c:pt>
                <c:pt idx="143">
                  <c:v>77.42</c:v>
                </c:pt>
                <c:pt idx="144">
                  <c:v>77.42</c:v>
                </c:pt>
                <c:pt idx="145">
                  <c:v>78.150000000000006</c:v>
                </c:pt>
                <c:pt idx="146">
                  <c:v>78.17</c:v>
                </c:pt>
                <c:pt idx="147">
                  <c:v>77.27</c:v>
                </c:pt>
                <c:pt idx="148">
                  <c:v>76.5</c:v>
                </c:pt>
                <c:pt idx="149">
                  <c:v>76.83</c:v>
                </c:pt>
                <c:pt idx="150">
                  <c:v>76.83</c:v>
                </c:pt>
                <c:pt idx="151">
                  <c:v>76.83</c:v>
                </c:pt>
                <c:pt idx="152">
                  <c:v>77.37</c:v>
                </c:pt>
                <c:pt idx="153">
                  <c:v>79.06</c:v>
                </c:pt>
                <c:pt idx="154">
                  <c:v>79.739999999999995</c:v>
                </c:pt>
                <c:pt idx="155">
                  <c:v>78.180000000000007</c:v>
                </c:pt>
                <c:pt idx="156">
                  <c:v>78.09</c:v>
                </c:pt>
                <c:pt idx="157">
                  <c:v>78.09</c:v>
                </c:pt>
                <c:pt idx="158">
                  <c:v>78.09</c:v>
                </c:pt>
                <c:pt idx="159">
                  <c:v>78.05</c:v>
                </c:pt>
                <c:pt idx="160">
                  <c:v>79.03</c:v>
                </c:pt>
                <c:pt idx="161">
                  <c:v>79.400000000000006</c:v>
                </c:pt>
                <c:pt idx="162">
                  <c:v>78.7</c:v>
                </c:pt>
                <c:pt idx="163">
                  <c:v>78.8</c:v>
                </c:pt>
                <c:pt idx="164">
                  <c:v>78.8</c:v>
                </c:pt>
                <c:pt idx="165">
                  <c:v>78.8</c:v>
                </c:pt>
                <c:pt idx="166">
                  <c:v>81.2</c:v>
                </c:pt>
                <c:pt idx="167">
                  <c:v>81.87</c:v>
                </c:pt>
                <c:pt idx="168">
                  <c:v>81.34</c:v>
                </c:pt>
                <c:pt idx="169">
                  <c:v>81.72</c:v>
                </c:pt>
                <c:pt idx="170">
                  <c:v>82.72</c:v>
                </c:pt>
                <c:pt idx="171">
                  <c:v>82.72</c:v>
                </c:pt>
                <c:pt idx="172">
                  <c:v>82.72</c:v>
                </c:pt>
                <c:pt idx="173">
                  <c:v>84.98</c:v>
                </c:pt>
                <c:pt idx="174">
                  <c:v>84.8</c:v>
                </c:pt>
                <c:pt idx="175">
                  <c:v>86.29</c:v>
                </c:pt>
                <c:pt idx="176">
                  <c:v>84.58</c:v>
                </c:pt>
                <c:pt idx="177">
                  <c:v>84.16</c:v>
                </c:pt>
                <c:pt idx="178">
                  <c:v>84.16</c:v>
                </c:pt>
                <c:pt idx="179">
                  <c:v>84.16</c:v>
                </c:pt>
                <c:pt idx="180">
                  <c:v>83.91</c:v>
                </c:pt>
                <c:pt idx="181">
                  <c:v>85</c:v>
                </c:pt>
                <c:pt idx="182">
                  <c:v>83.09</c:v>
                </c:pt>
                <c:pt idx="183">
                  <c:v>80.260000000000005</c:v>
                </c:pt>
                <c:pt idx="184">
                  <c:v>80.430000000000007</c:v>
                </c:pt>
                <c:pt idx="185">
                  <c:v>80.430000000000007</c:v>
                </c:pt>
                <c:pt idx="186">
                  <c:v>80.430000000000007</c:v>
                </c:pt>
                <c:pt idx="187">
                  <c:v>80.78</c:v>
                </c:pt>
                <c:pt idx="188">
                  <c:v>81.41</c:v>
                </c:pt>
                <c:pt idx="189">
                  <c:v>80.05</c:v>
                </c:pt>
                <c:pt idx="190">
                  <c:v>79.290000000000006</c:v>
                </c:pt>
                <c:pt idx="191">
                  <c:v>79.78</c:v>
                </c:pt>
                <c:pt idx="192">
                  <c:v>79.78</c:v>
                </c:pt>
                <c:pt idx="193">
                  <c:v>79.78</c:v>
                </c:pt>
                <c:pt idx="194">
                  <c:v>79.83</c:v>
                </c:pt>
                <c:pt idx="195">
                  <c:v>76.44</c:v>
                </c:pt>
                <c:pt idx="196">
                  <c:v>76.17</c:v>
                </c:pt>
                <c:pt idx="197">
                  <c:v>76.89</c:v>
                </c:pt>
                <c:pt idx="198">
                  <c:v>77.62</c:v>
                </c:pt>
                <c:pt idx="199">
                  <c:v>77.62</c:v>
                </c:pt>
                <c:pt idx="200">
                  <c:v>77.62</c:v>
                </c:pt>
                <c:pt idx="201">
                  <c:v>77.34</c:v>
                </c:pt>
                <c:pt idx="202">
                  <c:v>75.91</c:v>
                </c:pt>
                <c:pt idx="203">
                  <c:v>75.47</c:v>
                </c:pt>
                <c:pt idx="204">
                  <c:v>72.89</c:v>
                </c:pt>
                <c:pt idx="205">
                  <c:v>72.83</c:v>
                </c:pt>
                <c:pt idx="206">
                  <c:v>72.83</c:v>
                </c:pt>
                <c:pt idx="207">
                  <c:v>72.83</c:v>
                </c:pt>
                <c:pt idx="208">
                  <c:v>73.17</c:v>
                </c:pt>
                <c:pt idx="209">
                  <c:v>72.13</c:v>
                </c:pt>
                <c:pt idx="210">
                  <c:v>72.069999999999993</c:v>
                </c:pt>
                <c:pt idx="211">
                  <c:v>70.650000000000006</c:v>
                </c:pt>
                <c:pt idx="212">
                  <c:v>70.180000000000007</c:v>
                </c:pt>
                <c:pt idx="213">
                  <c:v>70.180000000000007</c:v>
                </c:pt>
                <c:pt idx="214">
                  <c:v>70.180000000000007</c:v>
                </c:pt>
                <c:pt idx="215">
                  <c:v>70.12</c:v>
                </c:pt>
                <c:pt idx="216">
                  <c:v>65.47</c:v>
                </c:pt>
                <c:pt idx="217">
                  <c:v>66.12</c:v>
                </c:pt>
                <c:pt idx="218">
                  <c:v>66.62</c:v>
                </c:pt>
                <c:pt idx="219">
                  <c:v>66.760000000000005</c:v>
                </c:pt>
                <c:pt idx="220">
                  <c:v>66.760000000000005</c:v>
                </c:pt>
                <c:pt idx="221">
                  <c:v>66.760000000000005</c:v>
                </c:pt>
                <c:pt idx="222">
                  <c:v>66.790000000000006</c:v>
                </c:pt>
                <c:pt idx="223">
                  <c:v>62.53</c:v>
                </c:pt>
                <c:pt idx="224">
                  <c:v>63.48</c:v>
                </c:pt>
                <c:pt idx="225">
                  <c:v>62.6</c:v>
                </c:pt>
                <c:pt idx="226">
                  <c:v>58.8</c:v>
                </c:pt>
                <c:pt idx="227">
                  <c:v>58.8</c:v>
                </c:pt>
                <c:pt idx="228">
                  <c:v>58.8</c:v>
                </c:pt>
                <c:pt idx="229">
                  <c:v>60.48</c:v>
                </c:pt>
                <c:pt idx="230">
                  <c:v>60.21</c:v>
                </c:pt>
                <c:pt idx="231">
                  <c:v>58.76</c:v>
                </c:pt>
                <c:pt idx="232">
                  <c:v>59.51</c:v>
                </c:pt>
                <c:pt idx="233">
                  <c:v>58.71</c:v>
                </c:pt>
                <c:pt idx="234">
                  <c:v>58.71</c:v>
                </c:pt>
                <c:pt idx="235">
                  <c:v>58.71</c:v>
                </c:pt>
                <c:pt idx="236">
                  <c:v>61.69</c:v>
                </c:pt>
                <c:pt idx="237">
                  <c:v>62.08</c:v>
                </c:pt>
                <c:pt idx="238">
                  <c:v>61.56</c:v>
                </c:pt>
                <c:pt idx="239">
                  <c:v>60.06</c:v>
                </c:pt>
                <c:pt idx="240">
                  <c:v>61.67</c:v>
                </c:pt>
                <c:pt idx="241">
                  <c:v>61.67</c:v>
                </c:pt>
                <c:pt idx="242">
                  <c:v>61.67</c:v>
                </c:pt>
                <c:pt idx="243">
                  <c:v>59.97</c:v>
                </c:pt>
                <c:pt idx="244">
                  <c:v>60.2</c:v>
                </c:pt>
                <c:pt idx="245">
                  <c:v>60.15</c:v>
                </c:pt>
                <c:pt idx="246">
                  <c:v>61.45</c:v>
                </c:pt>
                <c:pt idx="247">
                  <c:v>60.28</c:v>
                </c:pt>
                <c:pt idx="248">
                  <c:v>60.28</c:v>
                </c:pt>
                <c:pt idx="249">
                  <c:v>60.28</c:v>
                </c:pt>
                <c:pt idx="250">
                  <c:v>59.61</c:v>
                </c:pt>
                <c:pt idx="251">
                  <c:v>56.26</c:v>
                </c:pt>
                <c:pt idx="252">
                  <c:v>57.24</c:v>
                </c:pt>
                <c:pt idx="253">
                  <c:v>54.35</c:v>
                </c:pt>
                <c:pt idx="254">
                  <c:v>53.82</c:v>
                </c:pt>
                <c:pt idx="255">
                  <c:v>53.82</c:v>
                </c:pt>
                <c:pt idx="256">
                  <c:v>53.82</c:v>
                </c:pt>
                <c:pt idx="257">
                  <c:v>50.47</c:v>
                </c:pt>
                <c:pt idx="258">
                  <c:v>50.47</c:v>
                </c:pt>
                <c:pt idx="259">
                  <c:v>54.47</c:v>
                </c:pt>
                <c:pt idx="260">
                  <c:v>52.16</c:v>
                </c:pt>
                <c:pt idx="261">
                  <c:v>52.2</c:v>
                </c:pt>
                <c:pt idx="262">
                  <c:v>52.2</c:v>
                </c:pt>
                <c:pt idx="263">
                  <c:v>52.2</c:v>
                </c:pt>
                <c:pt idx="264">
                  <c:v>53.8</c:v>
                </c:pt>
                <c:pt idx="265">
                  <c:v>53.8</c:v>
                </c:pt>
                <c:pt idx="266">
                  <c:v>54.91</c:v>
                </c:pt>
                <c:pt idx="267">
                  <c:v>55.95</c:v>
                </c:pt>
                <c:pt idx="268">
                  <c:v>57.06</c:v>
                </c:pt>
                <c:pt idx="269">
                  <c:v>57.06</c:v>
                </c:pt>
                <c:pt idx="270">
                  <c:v>57.06</c:v>
                </c:pt>
                <c:pt idx="271">
                  <c:v>57.33</c:v>
                </c:pt>
                <c:pt idx="272">
                  <c:v>58.72</c:v>
                </c:pt>
                <c:pt idx="273">
                  <c:v>61.44</c:v>
                </c:pt>
                <c:pt idx="274">
                  <c:v>61.68</c:v>
                </c:pt>
                <c:pt idx="275">
                  <c:v>60.48</c:v>
                </c:pt>
                <c:pt idx="276">
                  <c:v>60.48</c:v>
                </c:pt>
                <c:pt idx="277">
                  <c:v>60.48</c:v>
                </c:pt>
                <c:pt idx="278">
                  <c:v>58.99</c:v>
                </c:pt>
                <c:pt idx="279">
                  <c:v>60.64</c:v>
                </c:pt>
                <c:pt idx="280">
                  <c:v>61.32</c:v>
                </c:pt>
                <c:pt idx="281">
                  <c:v>61.18</c:v>
                </c:pt>
                <c:pt idx="282">
                  <c:v>62.7</c:v>
                </c:pt>
                <c:pt idx="283">
                  <c:v>62.7</c:v>
                </c:pt>
                <c:pt idx="284">
                  <c:v>62.7</c:v>
                </c:pt>
                <c:pt idx="285">
                  <c:v>62.74</c:v>
                </c:pt>
                <c:pt idx="286">
                  <c:v>61.5</c:v>
                </c:pt>
                <c:pt idx="287">
                  <c:v>61.14</c:v>
                </c:pt>
                <c:pt idx="288">
                  <c:v>61.09</c:v>
                </c:pt>
                <c:pt idx="289">
                  <c:v>61.64</c:v>
                </c:pt>
                <c:pt idx="290">
                  <c:v>61.64</c:v>
                </c:pt>
                <c:pt idx="291">
                  <c:v>61.64</c:v>
                </c:pt>
                <c:pt idx="292">
                  <c:v>59.93</c:v>
                </c:pt>
                <c:pt idx="293">
                  <c:v>61.32</c:v>
                </c:pt>
                <c:pt idx="294">
                  <c:v>61.65</c:v>
                </c:pt>
                <c:pt idx="295">
                  <c:v>61.89</c:v>
                </c:pt>
                <c:pt idx="296">
                  <c:v>62.75</c:v>
                </c:pt>
                <c:pt idx="297">
                  <c:v>62.75</c:v>
                </c:pt>
                <c:pt idx="298">
                  <c:v>62.75</c:v>
                </c:pt>
                <c:pt idx="299">
                  <c:v>62.51</c:v>
                </c:pt>
                <c:pt idx="300">
                  <c:v>61.98</c:v>
                </c:pt>
                <c:pt idx="301">
                  <c:v>62.69</c:v>
                </c:pt>
                <c:pt idx="302">
                  <c:v>61.63</c:v>
                </c:pt>
                <c:pt idx="303">
                  <c:v>62.1</c:v>
                </c:pt>
                <c:pt idx="304">
                  <c:v>62.1</c:v>
                </c:pt>
                <c:pt idx="305">
                  <c:v>62.1</c:v>
                </c:pt>
                <c:pt idx="306">
                  <c:v>61.51</c:v>
                </c:pt>
                <c:pt idx="307">
                  <c:v>62.42</c:v>
                </c:pt>
                <c:pt idx="308">
                  <c:v>63.61</c:v>
                </c:pt>
                <c:pt idx="309">
                  <c:v>64.569999999999993</c:v>
                </c:pt>
                <c:pt idx="310">
                  <c:v>66.25</c:v>
                </c:pt>
                <c:pt idx="311">
                  <c:v>66.25</c:v>
                </c:pt>
                <c:pt idx="312">
                  <c:v>66.25</c:v>
                </c:pt>
                <c:pt idx="313">
                  <c:v>66.5</c:v>
                </c:pt>
                <c:pt idx="314">
                  <c:v>66.45</c:v>
                </c:pt>
                <c:pt idx="315">
                  <c:v>67.08</c:v>
                </c:pt>
                <c:pt idx="316">
                  <c:v>67.069999999999993</c:v>
                </c:pt>
                <c:pt idx="317">
                  <c:v>67.12</c:v>
                </c:pt>
                <c:pt idx="318">
                  <c:v>67.12</c:v>
                </c:pt>
                <c:pt idx="319">
                  <c:v>67.12</c:v>
                </c:pt>
                <c:pt idx="320">
                  <c:v>64.760000000000005</c:v>
                </c:pt>
                <c:pt idx="321">
                  <c:v>65.209999999999994</c:v>
                </c:pt>
                <c:pt idx="322">
                  <c:v>66.39</c:v>
                </c:pt>
                <c:pt idx="323">
                  <c:v>66.03</c:v>
                </c:pt>
                <c:pt idx="324">
                  <c:v>65.069999999999993</c:v>
                </c:pt>
                <c:pt idx="325">
                  <c:v>65.069999999999993</c:v>
                </c:pt>
                <c:pt idx="326">
                  <c:v>65.069999999999993</c:v>
                </c:pt>
                <c:pt idx="327">
                  <c:v>65.67</c:v>
                </c:pt>
                <c:pt idx="328">
                  <c:v>65.86</c:v>
                </c:pt>
                <c:pt idx="329">
                  <c:v>65.989999999999995</c:v>
                </c:pt>
                <c:pt idx="330">
                  <c:v>66.3</c:v>
                </c:pt>
                <c:pt idx="331">
                  <c:v>65.739999999999995</c:v>
                </c:pt>
                <c:pt idx="332">
                  <c:v>65.739999999999995</c:v>
                </c:pt>
                <c:pt idx="333">
                  <c:v>65.739999999999995</c:v>
                </c:pt>
                <c:pt idx="334">
                  <c:v>66.58</c:v>
                </c:pt>
                <c:pt idx="335">
                  <c:v>66.67</c:v>
                </c:pt>
                <c:pt idx="336">
                  <c:v>67.55</c:v>
                </c:pt>
                <c:pt idx="337">
                  <c:v>67.23</c:v>
                </c:pt>
                <c:pt idx="338">
                  <c:v>67.16</c:v>
                </c:pt>
                <c:pt idx="339">
                  <c:v>67.16</c:v>
                </c:pt>
                <c:pt idx="340">
                  <c:v>67.16</c:v>
                </c:pt>
                <c:pt idx="341">
                  <c:v>67.540000000000006</c:v>
                </c:pt>
                <c:pt idx="342">
                  <c:v>67.61</c:v>
                </c:pt>
                <c:pt idx="343">
                  <c:v>68.5</c:v>
                </c:pt>
                <c:pt idx="344">
                  <c:v>67.86</c:v>
                </c:pt>
                <c:pt idx="345">
                  <c:v>67.03</c:v>
                </c:pt>
                <c:pt idx="346">
                  <c:v>67.03</c:v>
                </c:pt>
                <c:pt idx="347">
                  <c:v>67.03</c:v>
                </c:pt>
                <c:pt idx="348">
                  <c:v>67.209999999999994</c:v>
                </c:pt>
                <c:pt idx="349">
                  <c:v>67.97</c:v>
                </c:pt>
                <c:pt idx="350">
                  <c:v>67.83</c:v>
                </c:pt>
                <c:pt idx="351">
                  <c:v>67.819999999999993</c:v>
                </c:pt>
                <c:pt idx="352">
                  <c:v>68.39</c:v>
                </c:pt>
                <c:pt idx="353">
                  <c:v>68.39</c:v>
                </c:pt>
                <c:pt idx="354">
                  <c:v>68.39</c:v>
                </c:pt>
                <c:pt idx="355">
                  <c:v>69.010000000000005</c:v>
                </c:pt>
                <c:pt idx="356">
                  <c:v>69.37</c:v>
                </c:pt>
                <c:pt idx="357">
                  <c:v>69.31</c:v>
                </c:pt>
                <c:pt idx="358">
                  <c:v>69.400000000000006</c:v>
                </c:pt>
                <c:pt idx="359">
                  <c:v>70.34</c:v>
                </c:pt>
                <c:pt idx="360">
                  <c:v>70.34</c:v>
                </c:pt>
                <c:pt idx="361">
                  <c:v>70.34</c:v>
                </c:pt>
                <c:pt idx="362">
                  <c:v>71.099999999999994</c:v>
                </c:pt>
                <c:pt idx="363">
                  <c:v>70.61</c:v>
                </c:pt>
                <c:pt idx="364">
                  <c:v>71.73</c:v>
                </c:pt>
                <c:pt idx="365">
                  <c:v>70.83</c:v>
                </c:pt>
                <c:pt idx="366">
                  <c:v>71.55</c:v>
                </c:pt>
                <c:pt idx="367">
                  <c:v>71.55</c:v>
                </c:pt>
                <c:pt idx="368">
                  <c:v>71.55</c:v>
                </c:pt>
                <c:pt idx="369">
                  <c:v>71.180000000000007</c:v>
                </c:pt>
                <c:pt idx="370">
                  <c:v>71.72</c:v>
                </c:pt>
                <c:pt idx="371">
                  <c:v>71.62</c:v>
                </c:pt>
                <c:pt idx="372">
                  <c:v>71.97</c:v>
                </c:pt>
                <c:pt idx="373">
                  <c:v>71.97</c:v>
                </c:pt>
                <c:pt idx="374">
                  <c:v>71.97</c:v>
                </c:pt>
                <c:pt idx="375">
                  <c:v>71.97</c:v>
                </c:pt>
                <c:pt idx="376">
                  <c:v>74.040000000000006</c:v>
                </c:pt>
                <c:pt idx="377">
                  <c:v>74.510000000000005</c:v>
                </c:pt>
                <c:pt idx="378">
                  <c:v>74.569999999999993</c:v>
                </c:pt>
                <c:pt idx="379">
                  <c:v>74.349999999999994</c:v>
                </c:pt>
                <c:pt idx="380">
                  <c:v>72.150000000000006</c:v>
                </c:pt>
                <c:pt idx="381">
                  <c:v>72.150000000000006</c:v>
                </c:pt>
                <c:pt idx="382">
                  <c:v>72.150000000000006</c:v>
                </c:pt>
                <c:pt idx="383">
                  <c:v>72.040000000000006</c:v>
                </c:pt>
                <c:pt idx="384">
                  <c:v>72.8</c:v>
                </c:pt>
                <c:pt idx="385">
                  <c:v>72.180000000000007</c:v>
                </c:pt>
                <c:pt idx="386">
                  <c:v>70.75</c:v>
                </c:pt>
                <c:pt idx="387">
                  <c:v>70.849999999999994</c:v>
                </c:pt>
                <c:pt idx="388">
                  <c:v>70.849999999999994</c:v>
                </c:pt>
                <c:pt idx="389">
                  <c:v>70.849999999999994</c:v>
                </c:pt>
                <c:pt idx="390">
                  <c:v>71.239999999999995</c:v>
                </c:pt>
                <c:pt idx="391">
                  <c:v>69.88</c:v>
                </c:pt>
                <c:pt idx="392">
                  <c:v>70.37</c:v>
                </c:pt>
                <c:pt idx="393">
                  <c:v>70.39</c:v>
                </c:pt>
                <c:pt idx="394">
                  <c:v>70.62</c:v>
                </c:pt>
                <c:pt idx="395">
                  <c:v>70.62</c:v>
                </c:pt>
                <c:pt idx="396">
                  <c:v>70.62</c:v>
                </c:pt>
                <c:pt idx="397">
                  <c:v>70.23</c:v>
                </c:pt>
                <c:pt idx="398">
                  <c:v>71.239999999999995</c:v>
                </c:pt>
                <c:pt idx="399">
                  <c:v>71.77</c:v>
                </c:pt>
                <c:pt idx="400">
                  <c:v>72.62</c:v>
                </c:pt>
                <c:pt idx="401">
                  <c:v>72.209999999999994</c:v>
                </c:pt>
                <c:pt idx="402">
                  <c:v>72.209999999999994</c:v>
                </c:pt>
                <c:pt idx="403">
                  <c:v>72.209999999999994</c:v>
                </c:pt>
                <c:pt idx="404">
                  <c:v>71.97</c:v>
                </c:pt>
                <c:pt idx="405">
                  <c:v>72.180000000000007</c:v>
                </c:pt>
                <c:pt idx="406">
                  <c:v>70.989999999999995</c:v>
                </c:pt>
                <c:pt idx="407">
                  <c:v>67.760000000000005</c:v>
                </c:pt>
                <c:pt idx="408">
                  <c:v>68.69</c:v>
                </c:pt>
                <c:pt idx="409">
                  <c:v>68.69</c:v>
                </c:pt>
                <c:pt idx="410">
                  <c:v>68.69</c:v>
                </c:pt>
                <c:pt idx="411">
                  <c:v>70.11</c:v>
                </c:pt>
                <c:pt idx="412">
                  <c:v>70.11</c:v>
                </c:pt>
                <c:pt idx="413">
                  <c:v>69.45</c:v>
                </c:pt>
                <c:pt idx="414">
                  <c:v>66.87</c:v>
                </c:pt>
                <c:pt idx="415">
                  <c:v>64.489999999999995</c:v>
                </c:pt>
                <c:pt idx="416">
                  <c:v>64.489999999999995</c:v>
                </c:pt>
                <c:pt idx="417">
                  <c:v>64.489999999999995</c:v>
                </c:pt>
                <c:pt idx="418">
                  <c:v>61.28</c:v>
                </c:pt>
                <c:pt idx="419">
                  <c:v>61.97</c:v>
                </c:pt>
                <c:pt idx="420">
                  <c:v>60.63</c:v>
                </c:pt>
                <c:pt idx="421">
                  <c:v>61.67</c:v>
                </c:pt>
                <c:pt idx="422">
                  <c:v>63.29</c:v>
                </c:pt>
                <c:pt idx="423">
                  <c:v>63.29</c:v>
                </c:pt>
                <c:pt idx="424">
                  <c:v>63.29</c:v>
                </c:pt>
                <c:pt idx="425">
                  <c:v>62.29</c:v>
                </c:pt>
                <c:pt idx="426">
                  <c:v>62.29</c:v>
                </c:pt>
                <c:pt idx="427">
                  <c:v>59.97</c:v>
                </c:pt>
                <c:pt idx="428">
                  <c:v>61.31</c:v>
                </c:pt>
                <c:pt idx="429">
                  <c:v>62.01</c:v>
                </c:pt>
                <c:pt idx="430">
                  <c:v>62.01</c:v>
                </c:pt>
                <c:pt idx="431">
                  <c:v>62.01</c:v>
                </c:pt>
                <c:pt idx="432">
                  <c:v>60.94</c:v>
                </c:pt>
                <c:pt idx="433">
                  <c:v>62.14</c:v>
                </c:pt>
                <c:pt idx="434">
                  <c:v>61.82</c:v>
                </c:pt>
                <c:pt idx="435">
                  <c:v>64.45</c:v>
                </c:pt>
                <c:pt idx="436">
                  <c:v>65.2</c:v>
                </c:pt>
                <c:pt idx="437">
                  <c:v>65.2</c:v>
                </c:pt>
                <c:pt idx="438">
                  <c:v>65.2</c:v>
                </c:pt>
                <c:pt idx="439">
                  <c:v>64.86</c:v>
                </c:pt>
                <c:pt idx="440">
                  <c:v>65.05</c:v>
                </c:pt>
                <c:pt idx="441">
                  <c:v>66.489999999999995</c:v>
                </c:pt>
                <c:pt idx="442">
                  <c:v>66.55</c:v>
                </c:pt>
                <c:pt idx="443">
                  <c:v>66.55</c:v>
                </c:pt>
                <c:pt idx="444">
                  <c:v>66.55</c:v>
                </c:pt>
                <c:pt idx="445">
                  <c:v>66.55</c:v>
                </c:pt>
                <c:pt idx="446">
                  <c:v>65.06</c:v>
                </c:pt>
                <c:pt idx="447">
                  <c:v>62.4</c:v>
                </c:pt>
                <c:pt idx="448">
                  <c:v>63.82</c:v>
                </c:pt>
                <c:pt idx="449">
                  <c:v>63.3</c:v>
                </c:pt>
                <c:pt idx="450">
                  <c:v>64.23</c:v>
                </c:pt>
                <c:pt idx="451">
                  <c:v>64.23</c:v>
                </c:pt>
                <c:pt idx="452">
                  <c:v>64.23</c:v>
                </c:pt>
                <c:pt idx="453">
                  <c:v>64.11</c:v>
                </c:pt>
                <c:pt idx="454">
                  <c:v>64.16</c:v>
                </c:pt>
                <c:pt idx="455">
                  <c:v>67.010000000000005</c:v>
                </c:pt>
                <c:pt idx="456">
                  <c:v>66.52</c:v>
                </c:pt>
                <c:pt idx="457">
                  <c:v>66.72</c:v>
                </c:pt>
                <c:pt idx="458">
                  <c:v>66.72</c:v>
                </c:pt>
                <c:pt idx="459">
                  <c:v>66.72</c:v>
                </c:pt>
                <c:pt idx="460">
                  <c:v>66.48</c:v>
                </c:pt>
                <c:pt idx="461">
                  <c:v>64.349999999999994</c:v>
                </c:pt>
                <c:pt idx="462">
                  <c:v>63.66</c:v>
                </c:pt>
                <c:pt idx="463">
                  <c:v>61.93</c:v>
                </c:pt>
                <c:pt idx="464">
                  <c:v>62.47</c:v>
                </c:pt>
                <c:pt idx="465">
                  <c:v>62.47</c:v>
                </c:pt>
                <c:pt idx="466">
                  <c:v>62.47</c:v>
                </c:pt>
                <c:pt idx="467">
                  <c:v>63.26</c:v>
                </c:pt>
                <c:pt idx="468">
                  <c:v>63.83</c:v>
                </c:pt>
                <c:pt idx="469">
                  <c:v>63.18</c:v>
                </c:pt>
                <c:pt idx="470">
                  <c:v>63.39</c:v>
                </c:pt>
                <c:pt idx="471">
                  <c:v>63.46</c:v>
                </c:pt>
                <c:pt idx="472">
                  <c:v>63.46</c:v>
                </c:pt>
                <c:pt idx="473">
                  <c:v>63.46</c:v>
                </c:pt>
                <c:pt idx="474">
                  <c:v>63.71</c:v>
                </c:pt>
                <c:pt idx="475">
                  <c:v>64.72</c:v>
                </c:pt>
                <c:pt idx="476">
                  <c:v>65.17</c:v>
                </c:pt>
                <c:pt idx="477">
                  <c:v>60.5</c:v>
                </c:pt>
                <c:pt idx="478">
                  <c:v>61.89</c:v>
                </c:pt>
                <c:pt idx="479">
                  <c:v>61.89</c:v>
                </c:pt>
                <c:pt idx="480">
                  <c:v>61.89</c:v>
                </c:pt>
                <c:pt idx="481">
                  <c:v>59.81</c:v>
                </c:pt>
                <c:pt idx="482">
                  <c:v>58.94</c:v>
                </c:pt>
                <c:pt idx="483">
                  <c:v>56.23</c:v>
                </c:pt>
                <c:pt idx="484">
                  <c:v>57.38</c:v>
                </c:pt>
                <c:pt idx="485">
                  <c:v>58.53</c:v>
                </c:pt>
                <c:pt idx="486">
                  <c:v>58.53</c:v>
                </c:pt>
                <c:pt idx="487">
                  <c:v>58.53</c:v>
                </c:pt>
                <c:pt idx="488">
                  <c:v>58.57</c:v>
                </c:pt>
                <c:pt idx="489">
                  <c:v>61.3</c:v>
                </c:pt>
                <c:pt idx="490">
                  <c:v>59.48</c:v>
                </c:pt>
                <c:pt idx="491">
                  <c:v>58.23</c:v>
                </c:pt>
                <c:pt idx="492">
                  <c:v>58.64</c:v>
                </c:pt>
                <c:pt idx="493">
                  <c:v>58.64</c:v>
                </c:pt>
                <c:pt idx="494">
                  <c:v>58.64</c:v>
                </c:pt>
                <c:pt idx="495">
                  <c:v>59.74</c:v>
                </c:pt>
                <c:pt idx="496">
                  <c:v>60.03</c:v>
                </c:pt>
                <c:pt idx="497">
                  <c:v>60.3</c:v>
                </c:pt>
                <c:pt idx="498">
                  <c:v>59.92</c:v>
                </c:pt>
                <c:pt idx="499">
                  <c:v>59.34</c:v>
                </c:pt>
                <c:pt idx="500">
                  <c:v>59.34</c:v>
                </c:pt>
                <c:pt idx="501">
                  <c:v>59.34</c:v>
                </c:pt>
                <c:pt idx="502">
                  <c:v>58.7</c:v>
                </c:pt>
                <c:pt idx="503">
                  <c:v>59.51</c:v>
                </c:pt>
                <c:pt idx="504">
                  <c:v>60.49</c:v>
                </c:pt>
                <c:pt idx="505">
                  <c:v>61.08</c:v>
                </c:pt>
                <c:pt idx="506">
                  <c:v>60.43</c:v>
                </c:pt>
                <c:pt idx="507">
                  <c:v>60.43</c:v>
                </c:pt>
                <c:pt idx="508">
                  <c:v>60.43</c:v>
                </c:pt>
                <c:pt idx="509">
                  <c:v>58.66</c:v>
                </c:pt>
                <c:pt idx="510">
                  <c:v>58.26</c:v>
                </c:pt>
                <c:pt idx="511">
                  <c:v>60.7</c:v>
                </c:pt>
                <c:pt idx="512">
                  <c:v>60.95</c:v>
                </c:pt>
                <c:pt idx="513">
                  <c:v>61.54</c:v>
                </c:pt>
                <c:pt idx="514">
                  <c:v>61.54</c:v>
                </c:pt>
                <c:pt idx="515">
                  <c:v>61.54</c:v>
                </c:pt>
                <c:pt idx="516">
                  <c:v>62.59</c:v>
                </c:pt>
                <c:pt idx="517">
                  <c:v>62.38</c:v>
                </c:pt>
                <c:pt idx="518">
                  <c:v>60.81</c:v>
                </c:pt>
                <c:pt idx="519">
                  <c:v>60.38</c:v>
                </c:pt>
                <c:pt idx="520">
                  <c:v>60.22</c:v>
                </c:pt>
                <c:pt idx="521">
                  <c:v>60.22</c:v>
                </c:pt>
                <c:pt idx="522">
                  <c:v>60.22</c:v>
                </c:pt>
                <c:pt idx="523">
                  <c:v>69.02</c:v>
                </c:pt>
                <c:pt idx="524">
                  <c:v>64.55</c:v>
                </c:pt>
                <c:pt idx="525">
                  <c:v>63.6</c:v>
                </c:pt>
                <c:pt idx="526">
                  <c:v>64.400000000000006</c:v>
                </c:pt>
                <c:pt idx="527">
                  <c:v>64.28</c:v>
                </c:pt>
                <c:pt idx="528">
                  <c:v>64.28</c:v>
                </c:pt>
                <c:pt idx="529">
                  <c:v>64.28</c:v>
                </c:pt>
                <c:pt idx="530">
                  <c:v>64.77</c:v>
                </c:pt>
                <c:pt idx="531">
                  <c:v>63.1</c:v>
                </c:pt>
                <c:pt idx="532">
                  <c:v>62.39</c:v>
                </c:pt>
                <c:pt idx="533">
                  <c:v>62.74</c:v>
                </c:pt>
                <c:pt idx="534">
                  <c:v>61.91</c:v>
                </c:pt>
                <c:pt idx="535">
                  <c:v>61.91</c:v>
                </c:pt>
                <c:pt idx="536">
                  <c:v>61.91</c:v>
                </c:pt>
                <c:pt idx="537">
                  <c:v>60.78</c:v>
                </c:pt>
                <c:pt idx="538">
                  <c:v>58.89</c:v>
                </c:pt>
                <c:pt idx="539">
                  <c:v>57.69</c:v>
                </c:pt>
                <c:pt idx="540">
                  <c:v>57.71</c:v>
                </c:pt>
                <c:pt idx="541">
                  <c:v>58.37</c:v>
                </c:pt>
                <c:pt idx="542">
                  <c:v>58.37</c:v>
                </c:pt>
                <c:pt idx="543">
                  <c:v>58.37</c:v>
                </c:pt>
                <c:pt idx="544">
                  <c:v>58.35</c:v>
                </c:pt>
                <c:pt idx="545">
                  <c:v>58.24</c:v>
                </c:pt>
                <c:pt idx="546">
                  <c:v>58.32</c:v>
                </c:pt>
                <c:pt idx="547">
                  <c:v>59.1</c:v>
                </c:pt>
                <c:pt idx="548">
                  <c:v>60.51</c:v>
                </c:pt>
                <c:pt idx="549">
                  <c:v>60.51</c:v>
                </c:pt>
                <c:pt idx="550">
                  <c:v>60.51</c:v>
                </c:pt>
                <c:pt idx="551">
                  <c:v>59.35</c:v>
                </c:pt>
                <c:pt idx="552">
                  <c:v>58.74</c:v>
                </c:pt>
                <c:pt idx="553">
                  <c:v>59.42</c:v>
                </c:pt>
                <c:pt idx="554">
                  <c:v>59.91</c:v>
                </c:pt>
                <c:pt idx="555">
                  <c:v>59.42</c:v>
                </c:pt>
                <c:pt idx="556">
                  <c:v>59.42</c:v>
                </c:pt>
                <c:pt idx="557">
                  <c:v>59.42</c:v>
                </c:pt>
                <c:pt idx="558">
                  <c:v>58.96</c:v>
                </c:pt>
                <c:pt idx="559">
                  <c:v>59.7</c:v>
                </c:pt>
                <c:pt idx="560">
                  <c:v>61.17</c:v>
                </c:pt>
                <c:pt idx="561">
                  <c:v>61.67</c:v>
                </c:pt>
                <c:pt idx="562">
                  <c:v>62.02</c:v>
                </c:pt>
                <c:pt idx="563">
                  <c:v>62.02</c:v>
                </c:pt>
                <c:pt idx="564">
                  <c:v>62.02</c:v>
                </c:pt>
                <c:pt idx="565">
                  <c:v>61.57</c:v>
                </c:pt>
                <c:pt idx="566">
                  <c:v>61.59</c:v>
                </c:pt>
                <c:pt idx="567">
                  <c:v>60.61</c:v>
                </c:pt>
                <c:pt idx="568">
                  <c:v>60.23</c:v>
                </c:pt>
                <c:pt idx="569">
                  <c:v>61.69</c:v>
                </c:pt>
                <c:pt idx="570">
                  <c:v>61.69</c:v>
                </c:pt>
                <c:pt idx="571">
                  <c:v>61.69</c:v>
                </c:pt>
                <c:pt idx="572">
                  <c:v>62.13</c:v>
                </c:pt>
                <c:pt idx="573">
                  <c:v>62.96</c:v>
                </c:pt>
                <c:pt idx="574">
                  <c:v>61.74</c:v>
                </c:pt>
                <c:pt idx="575">
                  <c:v>62.29</c:v>
                </c:pt>
                <c:pt idx="576">
                  <c:v>62.51</c:v>
                </c:pt>
                <c:pt idx="577">
                  <c:v>62.51</c:v>
                </c:pt>
                <c:pt idx="578">
                  <c:v>62.51</c:v>
                </c:pt>
                <c:pt idx="579">
                  <c:v>62.18</c:v>
                </c:pt>
                <c:pt idx="580">
                  <c:v>62.06</c:v>
                </c:pt>
                <c:pt idx="581">
                  <c:v>62.37</c:v>
                </c:pt>
                <c:pt idx="582">
                  <c:v>62.28</c:v>
                </c:pt>
                <c:pt idx="583">
                  <c:v>63.3</c:v>
                </c:pt>
                <c:pt idx="584">
                  <c:v>63.3</c:v>
                </c:pt>
                <c:pt idx="585">
                  <c:v>63.3</c:v>
                </c:pt>
                <c:pt idx="586">
                  <c:v>62.44</c:v>
                </c:pt>
                <c:pt idx="587">
                  <c:v>60.91</c:v>
                </c:pt>
                <c:pt idx="588">
                  <c:v>62.4</c:v>
                </c:pt>
                <c:pt idx="589">
                  <c:v>63.97</c:v>
                </c:pt>
                <c:pt idx="590">
                  <c:v>63.39</c:v>
                </c:pt>
                <c:pt idx="591">
                  <c:v>63.39</c:v>
                </c:pt>
                <c:pt idx="592">
                  <c:v>63.39</c:v>
                </c:pt>
                <c:pt idx="593">
                  <c:v>63.65</c:v>
                </c:pt>
                <c:pt idx="594">
                  <c:v>64.27</c:v>
                </c:pt>
                <c:pt idx="595">
                  <c:v>64.06</c:v>
                </c:pt>
                <c:pt idx="596">
                  <c:v>63.87</c:v>
                </c:pt>
                <c:pt idx="597">
                  <c:v>62.43</c:v>
                </c:pt>
                <c:pt idx="598">
                  <c:v>62.43</c:v>
                </c:pt>
                <c:pt idx="599">
                  <c:v>62.43</c:v>
                </c:pt>
                <c:pt idx="600">
                  <c:v>60.92</c:v>
                </c:pt>
                <c:pt idx="601">
                  <c:v>60.82</c:v>
                </c:pt>
                <c:pt idx="602">
                  <c:v>63</c:v>
                </c:pt>
                <c:pt idx="603">
                  <c:v>63.39</c:v>
                </c:pt>
                <c:pt idx="604">
                  <c:v>64.39</c:v>
                </c:pt>
                <c:pt idx="605">
                  <c:v>64.39</c:v>
                </c:pt>
                <c:pt idx="606">
                  <c:v>64.39</c:v>
                </c:pt>
                <c:pt idx="607">
                  <c:v>64.25</c:v>
                </c:pt>
                <c:pt idx="608">
                  <c:v>64.34</c:v>
                </c:pt>
                <c:pt idx="609">
                  <c:v>63.72</c:v>
                </c:pt>
                <c:pt idx="610">
                  <c:v>64.2</c:v>
                </c:pt>
                <c:pt idx="611">
                  <c:v>65.22</c:v>
                </c:pt>
                <c:pt idx="612">
                  <c:v>65.22</c:v>
                </c:pt>
                <c:pt idx="613">
                  <c:v>65.22</c:v>
                </c:pt>
                <c:pt idx="614">
                  <c:v>65.34</c:v>
                </c:pt>
                <c:pt idx="615">
                  <c:v>66.099999999999994</c:v>
                </c:pt>
                <c:pt idx="616">
                  <c:v>66.17</c:v>
                </c:pt>
                <c:pt idx="617">
                  <c:v>66.540000000000006</c:v>
                </c:pt>
                <c:pt idx="618">
                  <c:v>66.14</c:v>
                </c:pt>
                <c:pt idx="619">
                  <c:v>66.14</c:v>
                </c:pt>
                <c:pt idx="620">
                  <c:v>66.14</c:v>
                </c:pt>
                <c:pt idx="621">
                  <c:v>66.39</c:v>
                </c:pt>
                <c:pt idx="622">
                  <c:v>67.2</c:v>
                </c:pt>
                <c:pt idx="623">
                  <c:v>67.2</c:v>
                </c:pt>
                <c:pt idx="624">
                  <c:v>67.92</c:v>
                </c:pt>
                <c:pt idx="625">
                  <c:v>68.16</c:v>
                </c:pt>
                <c:pt idx="626">
                  <c:v>68.16</c:v>
                </c:pt>
                <c:pt idx="627">
                  <c:v>68.16</c:v>
                </c:pt>
                <c:pt idx="628">
                  <c:v>68.44</c:v>
                </c:pt>
                <c:pt idx="629">
                  <c:v>66</c:v>
                </c:pt>
                <c:pt idx="630">
                  <c:v>66</c:v>
                </c:pt>
                <c:pt idx="631">
                  <c:v>66.25</c:v>
                </c:pt>
                <c:pt idx="632">
                  <c:v>68.599999999999994</c:v>
                </c:pt>
                <c:pt idx="633">
                  <c:v>68.599999999999994</c:v>
                </c:pt>
                <c:pt idx="634">
                  <c:v>68.599999999999994</c:v>
                </c:pt>
                <c:pt idx="635">
                  <c:v>68.91</c:v>
                </c:pt>
                <c:pt idx="636">
                  <c:v>68.27</c:v>
                </c:pt>
                <c:pt idx="637">
                  <c:v>65.44</c:v>
                </c:pt>
                <c:pt idx="638">
                  <c:v>65.37</c:v>
                </c:pt>
                <c:pt idx="639">
                  <c:v>64.98</c:v>
                </c:pt>
                <c:pt idx="640">
                  <c:v>64.98</c:v>
                </c:pt>
                <c:pt idx="641">
                  <c:v>64.98</c:v>
                </c:pt>
                <c:pt idx="642">
                  <c:v>64.2</c:v>
                </c:pt>
                <c:pt idx="643">
                  <c:v>64.489999999999995</c:v>
                </c:pt>
                <c:pt idx="644">
                  <c:v>64</c:v>
                </c:pt>
                <c:pt idx="645">
                  <c:v>64.62</c:v>
                </c:pt>
                <c:pt idx="646">
                  <c:v>64.849999999999994</c:v>
                </c:pt>
                <c:pt idx="647">
                  <c:v>64.849999999999994</c:v>
                </c:pt>
                <c:pt idx="648">
                  <c:v>64.849999999999994</c:v>
                </c:pt>
                <c:pt idx="649">
                  <c:v>65.2</c:v>
                </c:pt>
                <c:pt idx="650">
                  <c:v>64.59</c:v>
                </c:pt>
                <c:pt idx="651">
                  <c:v>63.21</c:v>
                </c:pt>
                <c:pt idx="652">
                  <c:v>62.04</c:v>
                </c:pt>
                <c:pt idx="653">
                  <c:v>60.69</c:v>
                </c:pt>
                <c:pt idx="654">
                  <c:v>60.69</c:v>
                </c:pt>
                <c:pt idx="655">
                  <c:v>60.69</c:v>
                </c:pt>
                <c:pt idx="656">
                  <c:v>59.32</c:v>
                </c:pt>
                <c:pt idx="657">
                  <c:v>59.51</c:v>
                </c:pt>
                <c:pt idx="658">
                  <c:v>59.81</c:v>
                </c:pt>
                <c:pt idx="659">
                  <c:v>58.29</c:v>
                </c:pt>
                <c:pt idx="660">
                  <c:v>58.16</c:v>
                </c:pt>
                <c:pt idx="661">
                  <c:v>58.16</c:v>
                </c:pt>
                <c:pt idx="662">
                  <c:v>58.16</c:v>
                </c:pt>
                <c:pt idx="663">
                  <c:v>54.45</c:v>
                </c:pt>
                <c:pt idx="664">
                  <c:v>53.96</c:v>
                </c:pt>
                <c:pt idx="665">
                  <c:v>55.28</c:v>
                </c:pt>
                <c:pt idx="666">
                  <c:v>54.93</c:v>
                </c:pt>
                <c:pt idx="667">
                  <c:v>54.54</c:v>
                </c:pt>
                <c:pt idx="668">
                  <c:v>54.54</c:v>
                </c:pt>
                <c:pt idx="669">
                  <c:v>54.54</c:v>
                </c:pt>
                <c:pt idx="670">
                  <c:v>53.27</c:v>
                </c:pt>
                <c:pt idx="671">
                  <c:v>54.01</c:v>
                </c:pt>
                <c:pt idx="672">
                  <c:v>55.79</c:v>
                </c:pt>
                <c:pt idx="673">
                  <c:v>56.34</c:v>
                </c:pt>
                <c:pt idx="674">
                  <c:v>57.32</c:v>
                </c:pt>
                <c:pt idx="675">
                  <c:v>57.32</c:v>
                </c:pt>
                <c:pt idx="676">
                  <c:v>57.32</c:v>
                </c:pt>
                <c:pt idx="677">
                  <c:v>57.67</c:v>
                </c:pt>
                <c:pt idx="678">
                  <c:v>57.75</c:v>
                </c:pt>
                <c:pt idx="679">
                  <c:v>59.12</c:v>
                </c:pt>
                <c:pt idx="680">
                  <c:v>59.31</c:v>
                </c:pt>
                <c:pt idx="681">
                  <c:v>58.5</c:v>
                </c:pt>
                <c:pt idx="682">
                  <c:v>58.5</c:v>
                </c:pt>
                <c:pt idx="683">
                  <c:v>58.5</c:v>
                </c:pt>
                <c:pt idx="684">
                  <c:v>56.3</c:v>
                </c:pt>
                <c:pt idx="685">
                  <c:v>54.95</c:v>
                </c:pt>
                <c:pt idx="686">
                  <c:v>53.43</c:v>
                </c:pt>
                <c:pt idx="687">
                  <c:v>52.18</c:v>
                </c:pt>
                <c:pt idx="688">
                  <c:v>50.52</c:v>
                </c:pt>
                <c:pt idx="689">
                  <c:v>50.52</c:v>
                </c:pt>
                <c:pt idx="690">
                  <c:v>50.52</c:v>
                </c:pt>
                <c:pt idx="691">
                  <c:v>51.9</c:v>
                </c:pt>
                <c:pt idx="692">
                  <c:v>51.86</c:v>
                </c:pt>
                <c:pt idx="693">
                  <c:v>51.13</c:v>
                </c:pt>
                <c:pt idx="694">
                  <c:v>49.99</c:v>
                </c:pt>
                <c:pt idx="695">
                  <c:v>45.27</c:v>
                </c:pt>
                <c:pt idx="696">
                  <c:v>45.27</c:v>
                </c:pt>
                <c:pt idx="697">
                  <c:v>45.27</c:v>
                </c:pt>
                <c:pt idx="698">
                  <c:v>34.36</c:v>
                </c:pt>
                <c:pt idx="699">
                  <c:v>37.22</c:v>
                </c:pt>
                <c:pt idx="700">
                  <c:v>35.79</c:v>
                </c:pt>
                <c:pt idx="701">
                  <c:v>33.22</c:v>
                </c:pt>
                <c:pt idx="702">
                  <c:v>33.85</c:v>
                </c:pt>
                <c:pt idx="703">
                  <c:v>33.85</c:v>
                </c:pt>
                <c:pt idx="704">
                  <c:v>33.85</c:v>
                </c:pt>
                <c:pt idx="705">
                  <c:v>30.05</c:v>
                </c:pt>
                <c:pt idx="706">
                  <c:v>28.73</c:v>
                </c:pt>
                <c:pt idx="707">
                  <c:v>24.88</c:v>
                </c:pt>
                <c:pt idx="708">
                  <c:v>28.47</c:v>
                </c:pt>
                <c:pt idx="709">
                  <c:v>26.98</c:v>
                </c:pt>
                <c:pt idx="710">
                  <c:v>26.98</c:v>
                </c:pt>
                <c:pt idx="711">
                  <c:v>26.98</c:v>
                </c:pt>
                <c:pt idx="712">
                  <c:v>27.03</c:v>
                </c:pt>
                <c:pt idx="713">
                  <c:v>27.15</c:v>
                </c:pt>
                <c:pt idx="714">
                  <c:v>27.39</c:v>
                </c:pt>
                <c:pt idx="715">
                  <c:v>26.34</c:v>
                </c:pt>
                <c:pt idx="716">
                  <c:v>24.93</c:v>
                </c:pt>
                <c:pt idx="717">
                  <c:v>24.93</c:v>
                </c:pt>
                <c:pt idx="718">
                  <c:v>24.93</c:v>
                </c:pt>
                <c:pt idx="719">
                  <c:v>22.76</c:v>
                </c:pt>
                <c:pt idx="720">
                  <c:v>22.74</c:v>
                </c:pt>
                <c:pt idx="721">
                  <c:v>24.74</c:v>
                </c:pt>
                <c:pt idx="722">
                  <c:v>29.94</c:v>
                </c:pt>
                <c:pt idx="723">
                  <c:v>34.11</c:v>
                </c:pt>
                <c:pt idx="724">
                  <c:v>34.11</c:v>
                </c:pt>
                <c:pt idx="725">
                  <c:v>34.11</c:v>
                </c:pt>
                <c:pt idx="726">
                  <c:v>33.17</c:v>
                </c:pt>
                <c:pt idx="727">
                  <c:v>31.87</c:v>
                </c:pt>
                <c:pt idx="728">
                  <c:v>32.840000000000003</c:v>
                </c:pt>
                <c:pt idx="729">
                  <c:v>31.48</c:v>
                </c:pt>
                <c:pt idx="730">
                  <c:v>31.48</c:v>
                </c:pt>
                <c:pt idx="731">
                  <c:v>31.48</c:v>
                </c:pt>
                <c:pt idx="732">
                  <c:v>31.48</c:v>
                </c:pt>
                <c:pt idx="733">
                  <c:v>31.74</c:v>
                </c:pt>
                <c:pt idx="734">
                  <c:v>29.6</c:v>
                </c:pt>
                <c:pt idx="735">
                  <c:v>27.69</c:v>
                </c:pt>
                <c:pt idx="736">
                  <c:v>27.82</c:v>
                </c:pt>
                <c:pt idx="737">
                  <c:v>28.08</c:v>
                </c:pt>
                <c:pt idx="738">
                  <c:v>28.08</c:v>
                </c:pt>
                <c:pt idx="739">
                  <c:v>28.08</c:v>
                </c:pt>
                <c:pt idx="740">
                  <c:v>25.57</c:v>
                </c:pt>
                <c:pt idx="741">
                  <c:v>19.329999999999998</c:v>
                </c:pt>
                <c:pt idx="742">
                  <c:v>20.37</c:v>
                </c:pt>
                <c:pt idx="743">
                  <c:v>21.33</c:v>
                </c:pt>
                <c:pt idx="744">
                  <c:v>21.44</c:v>
                </c:pt>
                <c:pt idx="745">
                  <c:v>21.44</c:v>
                </c:pt>
                <c:pt idx="746">
                  <c:v>21.44</c:v>
                </c:pt>
                <c:pt idx="747">
                  <c:v>19.989999999999998</c:v>
                </c:pt>
                <c:pt idx="748">
                  <c:v>20.46</c:v>
                </c:pt>
                <c:pt idx="749">
                  <c:v>22.54</c:v>
                </c:pt>
                <c:pt idx="750">
                  <c:v>25.27</c:v>
                </c:pt>
                <c:pt idx="751">
                  <c:v>26.44</c:v>
                </c:pt>
                <c:pt idx="752">
                  <c:v>26.44</c:v>
                </c:pt>
                <c:pt idx="753">
                  <c:v>26.44</c:v>
                </c:pt>
                <c:pt idx="754">
                  <c:v>27.2</c:v>
                </c:pt>
                <c:pt idx="755">
                  <c:v>30.97</c:v>
                </c:pt>
                <c:pt idx="756">
                  <c:v>29.72</c:v>
                </c:pt>
                <c:pt idx="757">
                  <c:v>29.46</c:v>
                </c:pt>
                <c:pt idx="758">
                  <c:v>30.97</c:v>
                </c:pt>
                <c:pt idx="759">
                  <c:v>30.97</c:v>
                </c:pt>
                <c:pt idx="760">
                  <c:v>30.97</c:v>
                </c:pt>
                <c:pt idx="761">
                  <c:v>29.63</c:v>
                </c:pt>
                <c:pt idx="762">
                  <c:v>29.98</c:v>
                </c:pt>
                <c:pt idx="763">
                  <c:v>29.19</c:v>
                </c:pt>
                <c:pt idx="764">
                  <c:v>31.13</c:v>
                </c:pt>
                <c:pt idx="765">
                  <c:v>32.5</c:v>
                </c:pt>
                <c:pt idx="766">
                  <c:v>32.5</c:v>
                </c:pt>
                <c:pt idx="767">
                  <c:v>32.5</c:v>
                </c:pt>
                <c:pt idx="768">
                  <c:v>34.81</c:v>
                </c:pt>
                <c:pt idx="769">
                  <c:v>34.65</c:v>
                </c:pt>
                <c:pt idx="770">
                  <c:v>35.75</c:v>
                </c:pt>
                <c:pt idx="771">
                  <c:v>36.06</c:v>
                </c:pt>
                <c:pt idx="772">
                  <c:v>35.130000000000003</c:v>
                </c:pt>
                <c:pt idx="773">
                  <c:v>35.130000000000003</c:v>
                </c:pt>
                <c:pt idx="774">
                  <c:v>35.130000000000003</c:v>
                </c:pt>
                <c:pt idx="775">
                  <c:v>35.53</c:v>
                </c:pt>
                <c:pt idx="776">
                  <c:v>36.17</c:v>
                </c:pt>
                <c:pt idx="777">
                  <c:v>34.74</c:v>
                </c:pt>
                <c:pt idx="778">
                  <c:v>35.29</c:v>
                </c:pt>
                <c:pt idx="779">
                  <c:v>35.33</c:v>
                </c:pt>
                <c:pt idx="780">
                  <c:v>35.33</c:v>
                </c:pt>
                <c:pt idx="781">
                  <c:v>35.33</c:v>
                </c:pt>
                <c:pt idx="782">
                  <c:v>38.32</c:v>
                </c:pt>
                <c:pt idx="783">
                  <c:v>39.57</c:v>
                </c:pt>
                <c:pt idx="784">
                  <c:v>39.79</c:v>
                </c:pt>
                <c:pt idx="785">
                  <c:v>39.99</c:v>
                </c:pt>
                <c:pt idx="786">
                  <c:v>42.3</c:v>
                </c:pt>
                <c:pt idx="787">
                  <c:v>42.3</c:v>
                </c:pt>
                <c:pt idx="788">
                  <c:v>42.3</c:v>
                </c:pt>
                <c:pt idx="789">
                  <c:v>40.799999999999997</c:v>
                </c:pt>
                <c:pt idx="790">
                  <c:v>41.18</c:v>
                </c:pt>
                <c:pt idx="791">
                  <c:v>41.73</c:v>
                </c:pt>
                <c:pt idx="792">
                  <c:v>38.549999999999997</c:v>
                </c:pt>
                <c:pt idx="793">
                  <c:v>38.729999999999997</c:v>
                </c:pt>
                <c:pt idx="794">
                  <c:v>38.729999999999997</c:v>
                </c:pt>
                <c:pt idx="795">
                  <c:v>38.729999999999997</c:v>
                </c:pt>
                <c:pt idx="796">
                  <c:v>39.72</c:v>
                </c:pt>
                <c:pt idx="797">
                  <c:v>40.96</c:v>
                </c:pt>
                <c:pt idx="798">
                  <c:v>40.71</c:v>
                </c:pt>
                <c:pt idx="799">
                  <c:v>41.51</c:v>
                </c:pt>
                <c:pt idx="800">
                  <c:v>42.19</c:v>
                </c:pt>
                <c:pt idx="801">
                  <c:v>42.19</c:v>
                </c:pt>
                <c:pt idx="802">
                  <c:v>42.19</c:v>
                </c:pt>
                <c:pt idx="803">
                  <c:v>43.08</c:v>
                </c:pt>
                <c:pt idx="804">
                  <c:v>42.63</c:v>
                </c:pt>
                <c:pt idx="805">
                  <c:v>40.31</c:v>
                </c:pt>
                <c:pt idx="806">
                  <c:v>41.05</c:v>
                </c:pt>
                <c:pt idx="807">
                  <c:v>41.02</c:v>
                </c:pt>
                <c:pt idx="808">
                  <c:v>41.02</c:v>
                </c:pt>
                <c:pt idx="809">
                  <c:v>41.02</c:v>
                </c:pt>
                <c:pt idx="810">
                  <c:v>41.71</c:v>
                </c:pt>
                <c:pt idx="811">
                  <c:v>41.15</c:v>
                </c:pt>
                <c:pt idx="812">
                  <c:v>42.03</c:v>
                </c:pt>
                <c:pt idx="813">
                  <c:v>43.14</c:v>
                </c:pt>
                <c:pt idx="814">
                  <c:v>42.8</c:v>
                </c:pt>
                <c:pt idx="815">
                  <c:v>42.8</c:v>
                </c:pt>
                <c:pt idx="816">
                  <c:v>42.8</c:v>
                </c:pt>
                <c:pt idx="817">
                  <c:v>43.1</c:v>
                </c:pt>
                <c:pt idx="818">
                  <c:v>43.08</c:v>
                </c:pt>
                <c:pt idx="819">
                  <c:v>43.29</c:v>
                </c:pt>
                <c:pt idx="820">
                  <c:v>42.35</c:v>
                </c:pt>
                <c:pt idx="821">
                  <c:v>43.24</c:v>
                </c:pt>
                <c:pt idx="822">
                  <c:v>43.24</c:v>
                </c:pt>
                <c:pt idx="823">
                  <c:v>43.24</c:v>
                </c:pt>
                <c:pt idx="824">
                  <c:v>42.72</c:v>
                </c:pt>
                <c:pt idx="825">
                  <c:v>42.9</c:v>
                </c:pt>
                <c:pt idx="826">
                  <c:v>43.79</c:v>
                </c:pt>
                <c:pt idx="827">
                  <c:v>43.37</c:v>
                </c:pt>
                <c:pt idx="828">
                  <c:v>43.14</c:v>
                </c:pt>
                <c:pt idx="829">
                  <c:v>43.14</c:v>
                </c:pt>
                <c:pt idx="830">
                  <c:v>43.14</c:v>
                </c:pt>
                <c:pt idx="831">
                  <c:v>43.36</c:v>
                </c:pt>
                <c:pt idx="832">
                  <c:v>44.32</c:v>
                </c:pt>
                <c:pt idx="833">
                  <c:v>44.29</c:v>
                </c:pt>
                <c:pt idx="834">
                  <c:v>43.31</c:v>
                </c:pt>
                <c:pt idx="835">
                  <c:v>43.34</c:v>
                </c:pt>
                <c:pt idx="836">
                  <c:v>43.34</c:v>
                </c:pt>
                <c:pt idx="837">
                  <c:v>43.34</c:v>
                </c:pt>
                <c:pt idx="838">
                  <c:v>43.41</c:v>
                </c:pt>
                <c:pt idx="839">
                  <c:v>43.22</c:v>
                </c:pt>
                <c:pt idx="840">
                  <c:v>43.75</c:v>
                </c:pt>
                <c:pt idx="841">
                  <c:v>42.94</c:v>
                </c:pt>
                <c:pt idx="842">
                  <c:v>43.3</c:v>
                </c:pt>
                <c:pt idx="843">
                  <c:v>43.3</c:v>
                </c:pt>
                <c:pt idx="844">
                  <c:v>43.3</c:v>
                </c:pt>
                <c:pt idx="845">
                  <c:v>44.15</c:v>
                </c:pt>
                <c:pt idx="846">
                  <c:v>44.43</c:v>
                </c:pt>
                <c:pt idx="847">
                  <c:v>45.17</c:v>
                </c:pt>
                <c:pt idx="848">
                  <c:v>45.09</c:v>
                </c:pt>
                <c:pt idx="849">
                  <c:v>44.4</c:v>
                </c:pt>
                <c:pt idx="850">
                  <c:v>44.4</c:v>
                </c:pt>
                <c:pt idx="851">
                  <c:v>44.4</c:v>
                </c:pt>
                <c:pt idx="852">
                  <c:v>44.99</c:v>
                </c:pt>
                <c:pt idx="853">
                  <c:v>44.5</c:v>
                </c:pt>
                <c:pt idx="854">
                  <c:v>45.43</c:v>
                </c:pt>
                <c:pt idx="855">
                  <c:v>44.96</c:v>
                </c:pt>
                <c:pt idx="856">
                  <c:v>44.8</c:v>
                </c:pt>
                <c:pt idx="857">
                  <c:v>44.8</c:v>
                </c:pt>
                <c:pt idx="858">
                  <c:v>44.8</c:v>
                </c:pt>
                <c:pt idx="859">
                  <c:v>45.37</c:v>
                </c:pt>
                <c:pt idx="860">
                  <c:v>45.46</c:v>
                </c:pt>
                <c:pt idx="861">
                  <c:v>45.37</c:v>
                </c:pt>
                <c:pt idx="862">
                  <c:v>44.9</c:v>
                </c:pt>
                <c:pt idx="863">
                  <c:v>44.35</c:v>
                </c:pt>
                <c:pt idx="864">
                  <c:v>44.35</c:v>
                </c:pt>
                <c:pt idx="865">
                  <c:v>44.35</c:v>
                </c:pt>
                <c:pt idx="866">
                  <c:v>45.13</c:v>
                </c:pt>
                <c:pt idx="867">
                  <c:v>45.86</c:v>
                </c:pt>
                <c:pt idx="868">
                  <c:v>45.64</c:v>
                </c:pt>
                <c:pt idx="869">
                  <c:v>45.09</c:v>
                </c:pt>
                <c:pt idx="870">
                  <c:v>45.05</c:v>
                </c:pt>
                <c:pt idx="871">
                  <c:v>45.05</c:v>
                </c:pt>
                <c:pt idx="872">
                  <c:v>45.05</c:v>
                </c:pt>
                <c:pt idx="873">
                  <c:v>45.28</c:v>
                </c:pt>
                <c:pt idx="874">
                  <c:v>45.58</c:v>
                </c:pt>
                <c:pt idx="875">
                  <c:v>44.43</c:v>
                </c:pt>
                <c:pt idx="876">
                  <c:v>44.07</c:v>
                </c:pt>
                <c:pt idx="877">
                  <c:v>42.66</c:v>
                </c:pt>
                <c:pt idx="878">
                  <c:v>42.66</c:v>
                </c:pt>
                <c:pt idx="879">
                  <c:v>42.66</c:v>
                </c:pt>
                <c:pt idx="880">
                  <c:v>42.01</c:v>
                </c:pt>
                <c:pt idx="881">
                  <c:v>39.78</c:v>
                </c:pt>
                <c:pt idx="882">
                  <c:v>40.79</c:v>
                </c:pt>
                <c:pt idx="883">
                  <c:v>40.06</c:v>
                </c:pt>
                <c:pt idx="884">
                  <c:v>39.83</c:v>
                </c:pt>
                <c:pt idx="885">
                  <c:v>39.83</c:v>
                </c:pt>
                <c:pt idx="886">
                  <c:v>39.83</c:v>
                </c:pt>
                <c:pt idx="887">
                  <c:v>39.61</c:v>
                </c:pt>
                <c:pt idx="888">
                  <c:v>40.53</c:v>
                </c:pt>
                <c:pt idx="889">
                  <c:v>42.22</c:v>
                </c:pt>
                <c:pt idx="890">
                  <c:v>43.3</c:v>
                </c:pt>
                <c:pt idx="891">
                  <c:v>43.15</c:v>
                </c:pt>
                <c:pt idx="892">
                  <c:v>43.15</c:v>
                </c:pt>
                <c:pt idx="893">
                  <c:v>43.15</c:v>
                </c:pt>
                <c:pt idx="894">
                  <c:v>41.44</c:v>
                </c:pt>
                <c:pt idx="895">
                  <c:v>41.72</c:v>
                </c:pt>
                <c:pt idx="896">
                  <c:v>41.77</c:v>
                </c:pt>
                <c:pt idx="897">
                  <c:v>41.94</c:v>
                </c:pt>
                <c:pt idx="898">
                  <c:v>41.92</c:v>
                </c:pt>
                <c:pt idx="899">
                  <c:v>41.92</c:v>
                </c:pt>
                <c:pt idx="900">
                  <c:v>41.92</c:v>
                </c:pt>
                <c:pt idx="901">
                  <c:v>42.43</c:v>
                </c:pt>
                <c:pt idx="902">
                  <c:v>41.03</c:v>
                </c:pt>
                <c:pt idx="903">
                  <c:v>40.950000000000003</c:v>
                </c:pt>
                <c:pt idx="904">
                  <c:v>40.93</c:v>
                </c:pt>
                <c:pt idx="905">
                  <c:v>39.270000000000003</c:v>
                </c:pt>
                <c:pt idx="906">
                  <c:v>39.270000000000003</c:v>
                </c:pt>
                <c:pt idx="907">
                  <c:v>39.270000000000003</c:v>
                </c:pt>
                <c:pt idx="908">
                  <c:v>41.29</c:v>
                </c:pt>
                <c:pt idx="909">
                  <c:v>42.65</c:v>
                </c:pt>
                <c:pt idx="910">
                  <c:v>41.99</c:v>
                </c:pt>
                <c:pt idx="911">
                  <c:v>43.34</c:v>
                </c:pt>
                <c:pt idx="912">
                  <c:v>42.85</c:v>
                </c:pt>
                <c:pt idx="913">
                  <c:v>42.85</c:v>
                </c:pt>
                <c:pt idx="914">
                  <c:v>42.85</c:v>
                </c:pt>
                <c:pt idx="915">
                  <c:v>41.72</c:v>
                </c:pt>
                <c:pt idx="916">
                  <c:v>42.45</c:v>
                </c:pt>
                <c:pt idx="917">
                  <c:v>43.32</c:v>
                </c:pt>
                <c:pt idx="918">
                  <c:v>43.16</c:v>
                </c:pt>
                <c:pt idx="919">
                  <c:v>42.93</c:v>
                </c:pt>
                <c:pt idx="920">
                  <c:v>42.93</c:v>
                </c:pt>
                <c:pt idx="921">
                  <c:v>42.93</c:v>
                </c:pt>
                <c:pt idx="922">
                  <c:v>42.62</c:v>
                </c:pt>
                <c:pt idx="923">
                  <c:v>43.16</c:v>
                </c:pt>
                <c:pt idx="924">
                  <c:v>41.73</c:v>
                </c:pt>
                <c:pt idx="925">
                  <c:v>42.46</c:v>
                </c:pt>
                <c:pt idx="926">
                  <c:v>41.77</c:v>
                </c:pt>
                <c:pt idx="927">
                  <c:v>41.77</c:v>
                </c:pt>
                <c:pt idx="928">
                  <c:v>41.77</c:v>
                </c:pt>
                <c:pt idx="929">
                  <c:v>40.46</c:v>
                </c:pt>
                <c:pt idx="930">
                  <c:v>41.2</c:v>
                </c:pt>
                <c:pt idx="931">
                  <c:v>39.119999999999997</c:v>
                </c:pt>
                <c:pt idx="932">
                  <c:v>37.65</c:v>
                </c:pt>
                <c:pt idx="933">
                  <c:v>37.46</c:v>
                </c:pt>
                <c:pt idx="934">
                  <c:v>37.46</c:v>
                </c:pt>
                <c:pt idx="935">
                  <c:v>37.46</c:v>
                </c:pt>
                <c:pt idx="936">
                  <c:v>38.97</c:v>
                </c:pt>
                <c:pt idx="937">
                  <c:v>39.71</c:v>
                </c:pt>
                <c:pt idx="938">
                  <c:v>41.23</c:v>
                </c:pt>
                <c:pt idx="939">
                  <c:v>40.93</c:v>
                </c:pt>
                <c:pt idx="940">
                  <c:v>39.450000000000003</c:v>
                </c:pt>
                <c:pt idx="941">
                  <c:v>39.450000000000003</c:v>
                </c:pt>
                <c:pt idx="942">
                  <c:v>39.450000000000003</c:v>
                </c:pt>
                <c:pt idx="943">
                  <c:v>42.4</c:v>
                </c:pt>
                <c:pt idx="944">
                  <c:v>43.61</c:v>
                </c:pt>
                <c:pt idx="945">
                  <c:v>43.8</c:v>
                </c:pt>
                <c:pt idx="946">
                  <c:v>43.53</c:v>
                </c:pt>
                <c:pt idx="947">
                  <c:v>42.78</c:v>
                </c:pt>
                <c:pt idx="948">
                  <c:v>42.78</c:v>
                </c:pt>
                <c:pt idx="949">
                  <c:v>42.78</c:v>
                </c:pt>
                <c:pt idx="950">
                  <c:v>43.82</c:v>
                </c:pt>
                <c:pt idx="951">
                  <c:v>43.75</c:v>
                </c:pt>
                <c:pt idx="952">
                  <c:v>44.34</c:v>
                </c:pt>
                <c:pt idx="953">
                  <c:v>44.2</c:v>
                </c:pt>
                <c:pt idx="954">
                  <c:v>44.96</c:v>
                </c:pt>
                <c:pt idx="955">
                  <c:v>44.96</c:v>
                </c:pt>
                <c:pt idx="956">
                  <c:v>44.96</c:v>
                </c:pt>
                <c:pt idx="957">
                  <c:v>46.06</c:v>
                </c:pt>
                <c:pt idx="958">
                  <c:v>47.86</c:v>
                </c:pt>
                <c:pt idx="959">
                  <c:v>48.6</c:v>
                </c:pt>
                <c:pt idx="960">
                  <c:v>47.8</c:v>
                </c:pt>
                <c:pt idx="961">
                  <c:v>48.18</c:v>
                </c:pt>
                <c:pt idx="962">
                  <c:v>48.18</c:v>
                </c:pt>
                <c:pt idx="963">
                  <c:v>48.18</c:v>
                </c:pt>
                <c:pt idx="964">
                  <c:v>47.59</c:v>
                </c:pt>
                <c:pt idx="965">
                  <c:v>47.42</c:v>
                </c:pt>
                <c:pt idx="966">
                  <c:v>48.25</c:v>
                </c:pt>
                <c:pt idx="967">
                  <c:v>48.71</c:v>
                </c:pt>
                <c:pt idx="968">
                  <c:v>49.25</c:v>
                </c:pt>
                <c:pt idx="969">
                  <c:v>49.25</c:v>
                </c:pt>
                <c:pt idx="970">
                  <c:v>49.25</c:v>
                </c:pt>
                <c:pt idx="971">
                  <c:v>48.79</c:v>
                </c:pt>
                <c:pt idx="972">
                  <c:v>48.84</c:v>
                </c:pt>
                <c:pt idx="973">
                  <c:v>48.86</c:v>
                </c:pt>
                <c:pt idx="974">
                  <c:v>50.25</c:v>
                </c:pt>
                <c:pt idx="975">
                  <c:v>49.97</c:v>
                </c:pt>
                <c:pt idx="976">
                  <c:v>49.97</c:v>
                </c:pt>
                <c:pt idx="977">
                  <c:v>49.97</c:v>
                </c:pt>
                <c:pt idx="978">
                  <c:v>50.29</c:v>
                </c:pt>
                <c:pt idx="979">
                  <c:v>50.76</c:v>
                </c:pt>
                <c:pt idx="980">
                  <c:v>51.08</c:v>
                </c:pt>
                <c:pt idx="981">
                  <c:v>51.5</c:v>
                </c:pt>
                <c:pt idx="982">
                  <c:v>52.26</c:v>
                </c:pt>
                <c:pt idx="983">
                  <c:v>52.26</c:v>
                </c:pt>
                <c:pt idx="984">
                  <c:v>52.26</c:v>
                </c:pt>
                <c:pt idx="985">
                  <c:v>50.91</c:v>
                </c:pt>
                <c:pt idx="986">
                  <c:v>50.08</c:v>
                </c:pt>
                <c:pt idx="987">
                  <c:v>51.2</c:v>
                </c:pt>
                <c:pt idx="988">
                  <c:v>51.29</c:v>
                </c:pt>
                <c:pt idx="989">
                  <c:v>51.29</c:v>
                </c:pt>
                <c:pt idx="990">
                  <c:v>51.29</c:v>
                </c:pt>
                <c:pt idx="991">
                  <c:v>51.29</c:v>
                </c:pt>
                <c:pt idx="992">
                  <c:v>50.86</c:v>
                </c:pt>
                <c:pt idx="993">
                  <c:v>51.09</c:v>
                </c:pt>
                <c:pt idx="994">
                  <c:v>51.34</c:v>
                </c:pt>
                <c:pt idx="995">
                  <c:v>51.8</c:v>
                </c:pt>
                <c:pt idx="996">
                  <c:v>51.8</c:v>
                </c:pt>
                <c:pt idx="997">
                  <c:v>51.8</c:v>
                </c:pt>
                <c:pt idx="998">
                  <c:v>51.8</c:v>
                </c:pt>
                <c:pt idx="999">
                  <c:v>51.09</c:v>
                </c:pt>
                <c:pt idx="1000">
                  <c:v>53.6</c:v>
                </c:pt>
                <c:pt idx="1001">
                  <c:v>54.3</c:v>
                </c:pt>
                <c:pt idx="1002">
                  <c:v>54.38</c:v>
                </c:pt>
                <c:pt idx="1003">
                  <c:v>55.99</c:v>
                </c:pt>
                <c:pt idx="1004">
                  <c:v>55.99</c:v>
                </c:pt>
                <c:pt idx="1005">
                  <c:v>55.99</c:v>
                </c:pt>
                <c:pt idx="1006">
                  <c:v>55.66</c:v>
                </c:pt>
                <c:pt idx="1007">
                  <c:v>56.58</c:v>
                </c:pt>
                <c:pt idx="1008">
                  <c:v>56.06</c:v>
                </c:pt>
                <c:pt idx="1009">
                  <c:v>56.42</c:v>
                </c:pt>
                <c:pt idx="1010">
                  <c:v>55.1</c:v>
                </c:pt>
                <c:pt idx="1011">
                  <c:v>55.1</c:v>
                </c:pt>
                <c:pt idx="1012">
                  <c:v>55.1</c:v>
                </c:pt>
                <c:pt idx="1013">
                  <c:v>54.75</c:v>
                </c:pt>
                <c:pt idx="1014">
                  <c:v>55.9</c:v>
                </c:pt>
                <c:pt idx="1015">
                  <c:v>56.08</c:v>
                </c:pt>
                <c:pt idx="1016">
                  <c:v>56.1</c:v>
                </c:pt>
                <c:pt idx="1017">
                  <c:v>55.41</c:v>
                </c:pt>
                <c:pt idx="1018">
                  <c:v>55.41</c:v>
                </c:pt>
                <c:pt idx="1019">
                  <c:v>55.41</c:v>
                </c:pt>
                <c:pt idx="1020">
                  <c:v>55.88</c:v>
                </c:pt>
                <c:pt idx="1021">
                  <c:v>55.91</c:v>
                </c:pt>
                <c:pt idx="1022">
                  <c:v>55.81</c:v>
                </c:pt>
                <c:pt idx="1023">
                  <c:v>55.53</c:v>
                </c:pt>
                <c:pt idx="1024">
                  <c:v>55.88</c:v>
                </c:pt>
                <c:pt idx="1025">
                  <c:v>55.88</c:v>
                </c:pt>
                <c:pt idx="1026">
                  <c:v>55.88</c:v>
                </c:pt>
                <c:pt idx="1027">
                  <c:v>56.35</c:v>
                </c:pt>
                <c:pt idx="1028">
                  <c:v>57.46</c:v>
                </c:pt>
                <c:pt idx="1029">
                  <c:v>58.46</c:v>
                </c:pt>
                <c:pt idx="1030">
                  <c:v>58.84</c:v>
                </c:pt>
                <c:pt idx="1031">
                  <c:v>59.34</c:v>
                </c:pt>
                <c:pt idx="1032">
                  <c:v>59.34</c:v>
                </c:pt>
                <c:pt idx="1033">
                  <c:v>59.34</c:v>
                </c:pt>
                <c:pt idx="1034">
                  <c:v>60.56</c:v>
                </c:pt>
                <c:pt idx="1035">
                  <c:v>61.09</c:v>
                </c:pt>
                <c:pt idx="1036">
                  <c:v>61.47</c:v>
                </c:pt>
                <c:pt idx="1037">
                  <c:v>61.14</c:v>
                </c:pt>
                <c:pt idx="1038">
                  <c:v>62.43</c:v>
                </c:pt>
                <c:pt idx="1039">
                  <c:v>62.43</c:v>
                </c:pt>
                <c:pt idx="1040">
                  <c:v>62.43</c:v>
                </c:pt>
                <c:pt idx="1041">
                  <c:v>63.3</c:v>
                </c:pt>
                <c:pt idx="1042">
                  <c:v>63.35</c:v>
                </c:pt>
                <c:pt idx="1043">
                  <c:v>64.34</c:v>
                </c:pt>
                <c:pt idx="1044">
                  <c:v>63.93</c:v>
                </c:pt>
                <c:pt idx="1045">
                  <c:v>62.91</c:v>
                </c:pt>
                <c:pt idx="1046">
                  <c:v>62.91</c:v>
                </c:pt>
                <c:pt idx="1047">
                  <c:v>62.91</c:v>
                </c:pt>
                <c:pt idx="1048">
                  <c:v>65.239999999999995</c:v>
                </c:pt>
                <c:pt idx="1049">
                  <c:v>65.37</c:v>
                </c:pt>
                <c:pt idx="1050">
                  <c:v>67.040000000000006</c:v>
                </c:pt>
                <c:pt idx="1051">
                  <c:v>66.88</c:v>
                </c:pt>
                <c:pt idx="1052">
                  <c:v>66.13</c:v>
                </c:pt>
                <c:pt idx="1053">
                  <c:v>66.13</c:v>
                </c:pt>
                <c:pt idx="1054">
                  <c:v>66.13</c:v>
                </c:pt>
                <c:pt idx="1055">
                  <c:v>63.69</c:v>
                </c:pt>
                <c:pt idx="1056">
                  <c:v>62.7</c:v>
                </c:pt>
                <c:pt idx="1057">
                  <c:v>64.069999999999993</c:v>
                </c:pt>
                <c:pt idx="1058">
                  <c:v>66.739999999999995</c:v>
                </c:pt>
                <c:pt idx="1059">
                  <c:v>69.36</c:v>
                </c:pt>
                <c:pt idx="1060">
                  <c:v>69.36</c:v>
                </c:pt>
                <c:pt idx="1061">
                  <c:v>69.36</c:v>
                </c:pt>
                <c:pt idx="1062">
                  <c:v>68.239999999999995</c:v>
                </c:pt>
                <c:pt idx="1063">
                  <c:v>67.52</c:v>
                </c:pt>
                <c:pt idx="1064">
                  <c:v>67.900000000000006</c:v>
                </c:pt>
                <c:pt idx="1065">
                  <c:v>69.63</c:v>
                </c:pt>
                <c:pt idx="1066">
                  <c:v>69.22</c:v>
                </c:pt>
                <c:pt idx="1067">
                  <c:v>69.22</c:v>
                </c:pt>
                <c:pt idx="1068">
                  <c:v>69.22</c:v>
                </c:pt>
                <c:pt idx="1069">
                  <c:v>68.88</c:v>
                </c:pt>
                <c:pt idx="1070">
                  <c:v>68.39</c:v>
                </c:pt>
                <c:pt idx="1071">
                  <c:v>68</c:v>
                </c:pt>
                <c:pt idx="1072">
                  <c:v>63.28</c:v>
                </c:pt>
                <c:pt idx="1073">
                  <c:v>64.53</c:v>
                </c:pt>
                <c:pt idx="1074">
                  <c:v>64.53</c:v>
                </c:pt>
                <c:pt idx="1075">
                  <c:v>64.53</c:v>
                </c:pt>
                <c:pt idx="1076">
                  <c:v>64.62</c:v>
                </c:pt>
                <c:pt idx="1077">
                  <c:v>60.79</c:v>
                </c:pt>
                <c:pt idx="1078">
                  <c:v>64.41</c:v>
                </c:pt>
                <c:pt idx="1079">
                  <c:v>61.95</c:v>
                </c:pt>
                <c:pt idx="1080">
                  <c:v>64.569999999999993</c:v>
                </c:pt>
                <c:pt idx="1081">
                  <c:v>64.569999999999993</c:v>
                </c:pt>
                <c:pt idx="1082">
                  <c:v>64.569999999999993</c:v>
                </c:pt>
                <c:pt idx="1083">
                  <c:v>64.98</c:v>
                </c:pt>
                <c:pt idx="1084">
                  <c:v>64.14</c:v>
                </c:pt>
                <c:pt idx="1085">
                  <c:v>63.54</c:v>
                </c:pt>
                <c:pt idx="1086">
                  <c:v>63.54</c:v>
                </c:pt>
                <c:pt idx="1087">
                  <c:v>63.54</c:v>
                </c:pt>
                <c:pt idx="1088">
                  <c:v>63.54</c:v>
                </c:pt>
                <c:pt idx="1089">
                  <c:v>63.54</c:v>
                </c:pt>
                <c:pt idx="1090">
                  <c:v>62.15</c:v>
                </c:pt>
                <c:pt idx="1091">
                  <c:v>62.74</c:v>
                </c:pt>
                <c:pt idx="1092">
                  <c:v>63.16</c:v>
                </c:pt>
                <c:pt idx="1093">
                  <c:v>63.2</c:v>
                </c:pt>
                <c:pt idx="1094">
                  <c:v>62.95</c:v>
                </c:pt>
                <c:pt idx="1095">
                  <c:v>62.95</c:v>
                </c:pt>
                <c:pt idx="1096">
                  <c:v>62.95</c:v>
                </c:pt>
                <c:pt idx="1097">
                  <c:v>63.28</c:v>
                </c:pt>
                <c:pt idx="1098">
                  <c:v>63.67</c:v>
                </c:pt>
                <c:pt idx="1099">
                  <c:v>66.58</c:v>
                </c:pt>
                <c:pt idx="1100">
                  <c:v>66.94</c:v>
                </c:pt>
                <c:pt idx="1101">
                  <c:v>66.77</c:v>
                </c:pt>
                <c:pt idx="1102">
                  <c:v>66.77</c:v>
                </c:pt>
                <c:pt idx="1103">
                  <c:v>66.77</c:v>
                </c:pt>
                <c:pt idx="1104">
                  <c:v>67.05</c:v>
                </c:pt>
                <c:pt idx="1105">
                  <c:v>66.569999999999993</c:v>
                </c:pt>
                <c:pt idx="1106">
                  <c:v>65.319999999999993</c:v>
                </c:pt>
                <c:pt idx="1107">
                  <c:v>65.400000000000006</c:v>
                </c:pt>
                <c:pt idx="1108">
                  <c:v>66.11</c:v>
                </c:pt>
                <c:pt idx="1109">
                  <c:v>66.11</c:v>
                </c:pt>
                <c:pt idx="1110">
                  <c:v>66.11</c:v>
                </c:pt>
                <c:pt idx="1111">
                  <c:v>65.650000000000006</c:v>
                </c:pt>
                <c:pt idx="1112">
                  <c:v>66.42</c:v>
                </c:pt>
                <c:pt idx="1113">
                  <c:v>67.27</c:v>
                </c:pt>
                <c:pt idx="1114">
                  <c:v>68.56</c:v>
                </c:pt>
                <c:pt idx="1115">
                  <c:v>67.25</c:v>
                </c:pt>
                <c:pt idx="1116">
                  <c:v>67.25</c:v>
                </c:pt>
                <c:pt idx="1117">
                  <c:v>67.25</c:v>
                </c:pt>
                <c:pt idx="1118">
                  <c:v>67.56</c:v>
                </c:pt>
                <c:pt idx="1119">
                  <c:v>68.88</c:v>
                </c:pt>
                <c:pt idx="1120">
                  <c:v>68.959999999999994</c:v>
                </c:pt>
                <c:pt idx="1121">
                  <c:v>68.09</c:v>
                </c:pt>
                <c:pt idx="1122">
                  <c:v>68.28</c:v>
                </c:pt>
                <c:pt idx="1123">
                  <c:v>68.28</c:v>
                </c:pt>
                <c:pt idx="1124">
                  <c:v>68.28</c:v>
                </c:pt>
                <c:pt idx="1125">
                  <c:v>68.319999999999993</c:v>
                </c:pt>
                <c:pt idx="1126">
                  <c:v>68.55</c:v>
                </c:pt>
                <c:pt idx="1127">
                  <c:v>69.319999999999993</c:v>
                </c:pt>
                <c:pt idx="1128">
                  <c:v>67.05</c:v>
                </c:pt>
                <c:pt idx="1129">
                  <c:v>68.709999999999994</c:v>
                </c:pt>
                <c:pt idx="1130">
                  <c:v>68.709999999999994</c:v>
                </c:pt>
                <c:pt idx="1131">
                  <c:v>68.709999999999994</c:v>
                </c:pt>
                <c:pt idx="1132">
                  <c:v>69.459999999999994</c:v>
                </c:pt>
                <c:pt idx="1133">
                  <c:v>68.709999999999994</c:v>
                </c:pt>
                <c:pt idx="1134">
                  <c:v>66.66</c:v>
                </c:pt>
                <c:pt idx="1135">
                  <c:v>65.11</c:v>
                </c:pt>
                <c:pt idx="1136">
                  <c:v>66.44</c:v>
                </c:pt>
                <c:pt idx="1137">
                  <c:v>66.44</c:v>
                </c:pt>
                <c:pt idx="1138">
                  <c:v>66.44</c:v>
                </c:pt>
                <c:pt idx="1139">
                  <c:v>68.459999999999994</c:v>
                </c:pt>
                <c:pt idx="1140">
                  <c:v>68.650000000000006</c:v>
                </c:pt>
                <c:pt idx="1141">
                  <c:v>68.87</c:v>
                </c:pt>
                <c:pt idx="1142">
                  <c:v>69.459999999999994</c:v>
                </c:pt>
                <c:pt idx="1143">
                  <c:v>69.63</c:v>
                </c:pt>
                <c:pt idx="1144">
                  <c:v>69.63</c:v>
                </c:pt>
                <c:pt idx="1145">
                  <c:v>69.63</c:v>
                </c:pt>
                <c:pt idx="1146">
                  <c:v>69.319999999999993</c:v>
                </c:pt>
                <c:pt idx="1147">
                  <c:v>70.25</c:v>
                </c:pt>
                <c:pt idx="1148">
                  <c:v>71.349999999999994</c:v>
                </c:pt>
                <c:pt idx="1149">
                  <c:v>71.31</c:v>
                </c:pt>
                <c:pt idx="1150">
                  <c:v>71.89</c:v>
                </c:pt>
                <c:pt idx="1151">
                  <c:v>71.89</c:v>
                </c:pt>
                <c:pt idx="1152">
                  <c:v>71.89</c:v>
                </c:pt>
                <c:pt idx="1153">
                  <c:v>71.489999999999995</c:v>
                </c:pt>
                <c:pt idx="1154">
                  <c:v>72.22</c:v>
                </c:pt>
                <c:pt idx="1155">
                  <c:v>72.22</c:v>
                </c:pt>
                <c:pt idx="1156">
                  <c:v>72.52</c:v>
                </c:pt>
                <c:pt idx="1157">
                  <c:v>72.69</c:v>
                </c:pt>
                <c:pt idx="1158">
                  <c:v>72.69</c:v>
                </c:pt>
                <c:pt idx="1159">
                  <c:v>72.69</c:v>
                </c:pt>
                <c:pt idx="1160">
                  <c:v>72.86</c:v>
                </c:pt>
                <c:pt idx="1161">
                  <c:v>73.989999999999995</c:v>
                </c:pt>
                <c:pt idx="1162">
                  <c:v>74.39</c:v>
                </c:pt>
                <c:pt idx="1163">
                  <c:v>73.08</c:v>
                </c:pt>
                <c:pt idx="1164">
                  <c:v>73.510000000000005</c:v>
                </c:pt>
                <c:pt idx="1165">
                  <c:v>73.510000000000005</c:v>
                </c:pt>
                <c:pt idx="1166">
                  <c:v>73.510000000000005</c:v>
                </c:pt>
                <c:pt idx="1167">
                  <c:v>74.900000000000006</c:v>
                </c:pt>
                <c:pt idx="1168">
                  <c:v>74.81</c:v>
                </c:pt>
                <c:pt idx="1169">
                  <c:v>75.19</c:v>
                </c:pt>
                <c:pt idx="1170">
                  <c:v>75.56</c:v>
                </c:pt>
                <c:pt idx="1171">
                  <c:v>76.180000000000007</c:v>
                </c:pt>
                <c:pt idx="1172">
                  <c:v>76.180000000000007</c:v>
                </c:pt>
                <c:pt idx="1173">
                  <c:v>76.180000000000007</c:v>
                </c:pt>
                <c:pt idx="1174">
                  <c:v>74.680000000000007</c:v>
                </c:pt>
                <c:pt idx="1175">
                  <c:v>74.760000000000005</c:v>
                </c:pt>
                <c:pt idx="1176">
                  <c:v>75.13</c:v>
                </c:pt>
                <c:pt idx="1177">
                  <c:v>75.84</c:v>
                </c:pt>
                <c:pt idx="1178">
                  <c:v>76.17</c:v>
                </c:pt>
                <c:pt idx="1179">
                  <c:v>76.17</c:v>
                </c:pt>
                <c:pt idx="1180">
                  <c:v>76.17</c:v>
                </c:pt>
                <c:pt idx="1181">
                  <c:v>77.16</c:v>
                </c:pt>
                <c:pt idx="1182">
                  <c:v>74.53</c:v>
                </c:pt>
                <c:pt idx="1183">
                  <c:v>73.430000000000007</c:v>
                </c:pt>
                <c:pt idx="1184">
                  <c:v>74.12</c:v>
                </c:pt>
                <c:pt idx="1185">
                  <c:v>75.55</c:v>
                </c:pt>
                <c:pt idx="1186">
                  <c:v>75.55</c:v>
                </c:pt>
                <c:pt idx="1187">
                  <c:v>75.55</c:v>
                </c:pt>
                <c:pt idx="1188">
                  <c:v>75.16</c:v>
                </c:pt>
                <c:pt idx="1189">
                  <c:v>76.489999999999995</c:v>
                </c:pt>
                <c:pt idx="1190">
                  <c:v>74.760000000000005</c:v>
                </c:pt>
                <c:pt idx="1191">
                  <c:v>73.47</c:v>
                </c:pt>
                <c:pt idx="1192">
                  <c:v>73.59</c:v>
                </c:pt>
                <c:pt idx="1193">
                  <c:v>73.59</c:v>
                </c:pt>
                <c:pt idx="1194">
                  <c:v>73.59</c:v>
                </c:pt>
                <c:pt idx="1195">
                  <c:v>68.62</c:v>
                </c:pt>
                <c:pt idx="1196">
                  <c:v>69.349999999999994</c:v>
                </c:pt>
                <c:pt idx="1197">
                  <c:v>72.23</c:v>
                </c:pt>
                <c:pt idx="1198">
                  <c:v>73.790000000000006</c:v>
                </c:pt>
                <c:pt idx="1199">
                  <c:v>74.099999999999994</c:v>
                </c:pt>
                <c:pt idx="1200">
                  <c:v>74.099999999999994</c:v>
                </c:pt>
                <c:pt idx="1201">
                  <c:v>74.099999999999994</c:v>
                </c:pt>
                <c:pt idx="1202">
                  <c:v>74.5</c:v>
                </c:pt>
                <c:pt idx="1203">
                  <c:v>74.48</c:v>
                </c:pt>
                <c:pt idx="1204">
                  <c:v>74.739999999999995</c:v>
                </c:pt>
                <c:pt idx="1205">
                  <c:v>76.05</c:v>
                </c:pt>
                <c:pt idx="1206">
                  <c:v>76.33</c:v>
                </c:pt>
                <c:pt idx="1207">
                  <c:v>76.33</c:v>
                </c:pt>
                <c:pt idx="1208">
                  <c:v>76.33</c:v>
                </c:pt>
                <c:pt idx="1209">
                  <c:v>72.89</c:v>
                </c:pt>
                <c:pt idx="1210">
                  <c:v>72.41</c:v>
                </c:pt>
                <c:pt idx="1211">
                  <c:v>70.38</c:v>
                </c:pt>
                <c:pt idx="1212">
                  <c:v>71.290000000000006</c:v>
                </c:pt>
                <c:pt idx="1213">
                  <c:v>70.7</c:v>
                </c:pt>
                <c:pt idx="1214">
                  <c:v>70.7</c:v>
                </c:pt>
                <c:pt idx="1215">
                  <c:v>70.7</c:v>
                </c:pt>
                <c:pt idx="1216">
                  <c:v>69.040000000000006</c:v>
                </c:pt>
                <c:pt idx="1217">
                  <c:v>70.63</c:v>
                </c:pt>
                <c:pt idx="1218">
                  <c:v>71.44</c:v>
                </c:pt>
                <c:pt idx="1219">
                  <c:v>71.31</c:v>
                </c:pt>
                <c:pt idx="1220">
                  <c:v>70.59</c:v>
                </c:pt>
                <c:pt idx="1221">
                  <c:v>70.59</c:v>
                </c:pt>
                <c:pt idx="1222">
                  <c:v>70.59</c:v>
                </c:pt>
                <c:pt idx="1223">
                  <c:v>69.510000000000005</c:v>
                </c:pt>
                <c:pt idx="1224">
                  <c:v>69.03</c:v>
                </c:pt>
                <c:pt idx="1225">
                  <c:v>68.23</c:v>
                </c:pt>
                <c:pt idx="1226">
                  <c:v>66.45</c:v>
                </c:pt>
                <c:pt idx="1227">
                  <c:v>65.180000000000007</c:v>
                </c:pt>
                <c:pt idx="1228">
                  <c:v>65.180000000000007</c:v>
                </c:pt>
                <c:pt idx="1229">
                  <c:v>65.180000000000007</c:v>
                </c:pt>
                <c:pt idx="1230">
                  <c:v>68.75</c:v>
                </c:pt>
                <c:pt idx="1231">
                  <c:v>71.05</c:v>
                </c:pt>
                <c:pt idx="1232">
                  <c:v>72.25</c:v>
                </c:pt>
                <c:pt idx="1233">
                  <c:v>71.069999999999993</c:v>
                </c:pt>
                <c:pt idx="1234">
                  <c:v>72.7</c:v>
                </c:pt>
                <c:pt idx="1235">
                  <c:v>72.7</c:v>
                </c:pt>
                <c:pt idx="1236">
                  <c:v>72.7</c:v>
                </c:pt>
                <c:pt idx="1237">
                  <c:v>73.41</c:v>
                </c:pt>
                <c:pt idx="1238">
                  <c:v>72.989999999999995</c:v>
                </c:pt>
                <c:pt idx="1239">
                  <c:v>71.59</c:v>
                </c:pt>
                <c:pt idx="1240">
                  <c:v>73.03</c:v>
                </c:pt>
                <c:pt idx="1241">
                  <c:v>72.61</c:v>
                </c:pt>
                <c:pt idx="1242">
                  <c:v>72.61</c:v>
                </c:pt>
                <c:pt idx="1243">
                  <c:v>72.61</c:v>
                </c:pt>
                <c:pt idx="1244">
                  <c:v>72.22</c:v>
                </c:pt>
                <c:pt idx="1245">
                  <c:v>71.69</c:v>
                </c:pt>
                <c:pt idx="1246">
                  <c:v>72.599999999999994</c:v>
                </c:pt>
                <c:pt idx="1247">
                  <c:v>71.45</c:v>
                </c:pt>
                <c:pt idx="1248">
                  <c:v>72.92</c:v>
                </c:pt>
                <c:pt idx="1249">
                  <c:v>72.92</c:v>
                </c:pt>
                <c:pt idx="1250">
                  <c:v>72.92</c:v>
                </c:pt>
                <c:pt idx="1251">
                  <c:v>73.510000000000005</c:v>
                </c:pt>
                <c:pt idx="1252">
                  <c:v>73.599999999999994</c:v>
                </c:pt>
                <c:pt idx="1253">
                  <c:v>75.459999999999994</c:v>
                </c:pt>
                <c:pt idx="1254">
                  <c:v>75.67</c:v>
                </c:pt>
                <c:pt idx="1255">
                  <c:v>75.34</c:v>
                </c:pt>
                <c:pt idx="1256">
                  <c:v>75.34</c:v>
                </c:pt>
                <c:pt idx="1257">
                  <c:v>75.34</c:v>
                </c:pt>
                <c:pt idx="1258">
                  <c:v>73.92</c:v>
                </c:pt>
                <c:pt idx="1259">
                  <c:v>74.36</c:v>
                </c:pt>
                <c:pt idx="1260">
                  <c:v>76.19</c:v>
                </c:pt>
                <c:pt idx="1261">
                  <c:v>77.25</c:v>
                </c:pt>
                <c:pt idx="1262">
                  <c:v>78.09</c:v>
                </c:pt>
                <c:pt idx="1263">
                  <c:v>78.09</c:v>
                </c:pt>
                <c:pt idx="1264">
                  <c:v>78.09</c:v>
                </c:pt>
                <c:pt idx="1265">
                  <c:v>79.53</c:v>
                </c:pt>
                <c:pt idx="1266">
                  <c:v>79.09</c:v>
                </c:pt>
                <c:pt idx="1267">
                  <c:v>78.64</c:v>
                </c:pt>
                <c:pt idx="1268">
                  <c:v>78.52</c:v>
                </c:pt>
                <c:pt idx="1269">
                  <c:v>79.28</c:v>
                </c:pt>
                <c:pt idx="1270">
                  <c:v>79.28</c:v>
                </c:pt>
                <c:pt idx="1271">
                  <c:v>79.28</c:v>
                </c:pt>
                <c:pt idx="1272">
                  <c:v>81.260000000000005</c:v>
                </c:pt>
                <c:pt idx="1273">
                  <c:v>82.56</c:v>
                </c:pt>
                <c:pt idx="1274">
                  <c:v>81.08</c:v>
                </c:pt>
                <c:pt idx="1275">
                  <c:v>81.95</c:v>
                </c:pt>
                <c:pt idx="1276">
                  <c:v>82.39</c:v>
                </c:pt>
                <c:pt idx="1277">
                  <c:v>82.39</c:v>
                </c:pt>
                <c:pt idx="1278">
                  <c:v>82.39</c:v>
                </c:pt>
                <c:pt idx="1279">
                  <c:v>83.65</c:v>
                </c:pt>
                <c:pt idx="1280">
                  <c:v>83.42</c:v>
                </c:pt>
                <c:pt idx="1281">
                  <c:v>83.18</c:v>
                </c:pt>
                <c:pt idx="1282">
                  <c:v>84</c:v>
                </c:pt>
                <c:pt idx="1283">
                  <c:v>84.86</c:v>
                </c:pt>
                <c:pt idx="1284">
                  <c:v>84.86</c:v>
                </c:pt>
                <c:pt idx="1285">
                  <c:v>84.86</c:v>
                </c:pt>
                <c:pt idx="1286">
                  <c:v>84.33</c:v>
                </c:pt>
                <c:pt idx="1287">
                  <c:v>85.08</c:v>
                </c:pt>
                <c:pt idx="1288">
                  <c:v>85.82</c:v>
                </c:pt>
                <c:pt idx="1289">
                  <c:v>84.61</c:v>
                </c:pt>
                <c:pt idx="1290">
                  <c:v>85.53</c:v>
                </c:pt>
                <c:pt idx="1291">
                  <c:v>85.53</c:v>
                </c:pt>
                <c:pt idx="1292">
                  <c:v>85.53</c:v>
                </c:pt>
                <c:pt idx="1293">
                  <c:v>85.99</c:v>
                </c:pt>
                <c:pt idx="1294">
                  <c:v>86.4</c:v>
                </c:pt>
                <c:pt idx="1295">
                  <c:v>84.58</c:v>
                </c:pt>
                <c:pt idx="1296">
                  <c:v>84.32</c:v>
                </c:pt>
                <c:pt idx="1297">
                  <c:v>84.38</c:v>
                </c:pt>
                <c:pt idx="1298">
                  <c:v>84.38</c:v>
                </c:pt>
                <c:pt idx="1299">
                  <c:v>84.38</c:v>
                </c:pt>
                <c:pt idx="1300">
                  <c:v>84.71</c:v>
                </c:pt>
                <c:pt idx="1301">
                  <c:v>84.72</c:v>
                </c:pt>
                <c:pt idx="1302">
                  <c:v>81.99</c:v>
                </c:pt>
                <c:pt idx="1303">
                  <c:v>80.540000000000006</c:v>
                </c:pt>
                <c:pt idx="1304">
                  <c:v>82.74</c:v>
                </c:pt>
                <c:pt idx="1305">
                  <c:v>82.74</c:v>
                </c:pt>
                <c:pt idx="1306">
                  <c:v>82.74</c:v>
                </c:pt>
                <c:pt idx="1307">
                  <c:v>83.43</c:v>
                </c:pt>
                <c:pt idx="1308">
                  <c:v>84.78</c:v>
                </c:pt>
                <c:pt idx="1309">
                  <c:v>82.64</c:v>
                </c:pt>
                <c:pt idx="1310">
                  <c:v>82.87</c:v>
                </c:pt>
                <c:pt idx="1311">
                  <c:v>82.17</c:v>
                </c:pt>
                <c:pt idx="1312">
                  <c:v>82.17</c:v>
                </c:pt>
                <c:pt idx="1313">
                  <c:v>82.17</c:v>
                </c:pt>
                <c:pt idx="1314">
                  <c:v>82.05</c:v>
                </c:pt>
                <c:pt idx="1315">
                  <c:v>82.43</c:v>
                </c:pt>
                <c:pt idx="1316">
                  <c:v>80.28</c:v>
                </c:pt>
                <c:pt idx="1317">
                  <c:v>81.239999999999995</c:v>
                </c:pt>
                <c:pt idx="1318">
                  <c:v>78.89</c:v>
                </c:pt>
                <c:pt idx="1319">
                  <c:v>78.89</c:v>
                </c:pt>
                <c:pt idx="1320">
                  <c:v>78.89</c:v>
                </c:pt>
                <c:pt idx="1321">
                  <c:v>79.7</c:v>
                </c:pt>
                <c:pt idx="1322">
                  <c:v>82.31</c:v>
                </c:pt>
                <c:pt idx="1323">
                  <c:v>82.25</c:v>
                </c:pt>
                <c:pt idx="1324">
                  <c:v>82.22</c:v>
                </c:pt>
                <c:pt idx="1325">
                  <c:v>72.72</c:v>
                </c:pt>
                <c:pt idx="1326">
                  <c:v>72.72</c:v>
                </c:pt>
                <c:pt idx="1327">
                  <c:v>72.72</c:v>
                </c:pt>
                <c:pt idx="1328">
                  <c:v>73.44</c:v>
                </c:pt>
                <c:pt idx="1329">
                  <c:v>70.569999999999993</c:v>
                </c:pt>
                <c:pt idx="1330">
                  <c:v>68.87</c:v>
                </c:pt>
                <c:pt idx="1331">
                  <c:v>69.67</c:v>
                </c:pt>
                <c:pt idx="1332">
                  <c:v>69.88</c:v>
                </c:pt>
                <c:pt idx="1333">
                  <c:v>69.88</c:v>
                </c:pt>
                <c:pt idx="1334">
                  <c:v>69.88</c:v>
                </c:pt>
                <c:pt idx="1335">
                  <c:v>73.08</c:v>
                </c:pt>
                <c:pt idx="1336">
                  <c:v>75.44</c:v>
                </c:pt>
                <c:pt idx="1337">
                  <c:v>75.819999999999993</c:v>
                </c:pt>
                <c:pt idx="1338">
                  <c:v>74.42</c:v>
                </c:pt>
                <c:pt idx="1339">
                  <c:v>75.150000000000006</c:v>
                </c:pt>
                <c:pt idx="1340">
                  <c:v>75.150000000000006</c:v>
                </c:pt>
                <c:pt idx="1341">
                  <c:v>75.150000000000006</c:v>
                </c:pt>
                <c:pt idx="1342">
                  <c:v>74.39</c:v>
                </c:pt>
                <c:pt idx="1343">
                  <c:v>73.7</c:v>
                </c:pt>
                <c:pt idx="1344">
                  <c:v>73.88</c:v>
                </c:pt>
                <c:pt idx="1345">
                  <c:v>75.02</c:v>
                </c:pt>
                <c:pt idx="1346">
                  <c:v>73.52</c:v>
                </c:pt>
                <c:pt idx="1347">
                  <c:v>73.52</c:v>
                </c:pt>
                <c:pt idx="1348">
                  <c:v>73.52</c:v>
                </c:pt>
                <c:pt idx="1349">
                  <c:v>71.52</c:v>
                </c:pt>
                <c:pt idx="1350">
                  <c:v>73.98</c:v>
                </c:pt>
                <c:pt idx="1351">
                  <c:v>75.290000000000006</c:v>
                </c:pt>
                <c:pt idx="1352">
                  <c:v>76.849999999999994</c:v>
                </c:pt>
                <c:pt idx="1353">
                  <c:v>76.14</c:v>
                </c:pt>
                <c:pt idx="1354">
                  <c:v>76.14</c:v>
                </c:pt>
                <c:pt idx="1355">
                  <c:v>76.14</c:v>
                </c:pt>
                <c:pt idx="1356">
                  <c:v>78.599999999999994</c:v>
                </c:pt>
                <c:pt idx="1357">
                  <c:v>78.94</c:v>
                </c:pt>
                <c:pt idx="1358">
                  <c:v>79.23</c:v>
                </c:pt>
                <c:pt idx="1359">
                  <c:v>79.319999999999993</c:v>
                </c:pt>
                <c:pt idx="1360">
                  <c:v>77.78</c:v>
                </c:pt>
                <c:pt idx="1361">
                  <c:v>77.78</c:v>
                </c:pt>
                <c:pt idx="1362">
                  <c:v>77.78</c:v>
                </c:pt>
                <c:pt idx="1363">
                  <c:v>78.98</c:v>
                </c:pt>
                <c:pt idx="1364">
                  <c:v>80</c:v>
                </c:pt>
                <c:pt idx="1365">
                  <c:v>80.8</c:v>
                </c:pt>
                <c:pt idx="1366">
                  <c:v>81.99</c:v>
                </c:pt>
                <c:pt idx="1367">
                  <c:v>81.75</c:v>
                </c:pt>
                <c:pt idx="1368">
                  <c:v>81.75</c:v>
                </c:pt>
                <c:pt idx="1369">
                  <c:v>81.75</c:v>
                </c:pt>
                <c:pt idx="1370">
                  <c:v>80.87</c:v>
                </c:pt>
                <c:pt idx="1371">
                  <c:v>83.72</c:v>
                </c:pt>
                <c:pt idx="1372">
                  <c:v>84.67</c:v>
                </c:pt>
                <c:pt idx="1373">
                  <c:v>84.47</c:v>
                </c:pt>
                <c:pt idx="1374">
                  <c:v>86.06</c:v>
                </c:pt>
                <c:pt idx="1375">
                  <c:v>86.06</c:v>
                </c:pt>
                <c:pt idx="1376">
                  <c:v>86.06</c:v>
                </c:pt>
                <c:pt idx="1377">
                  <c:v>86.48</c:v>
                </c:pt>
                <c:pt idx="1378">
                  <c:v>87.51</c:v>
                </c:pt>
                <c:pt idx="1379">
                  <c:v>88.44</c:v>
                </c:pt>
                <c:pt idx="1380">
                  <c:v>88.38</c:v>
                </c:pt>
                <c:pt idx="1381">
                  <c:v>87.89</c:v>
                </c:pt>
                <c:pt idx="1382">
                  <c:v>87.89</c:v>
                </c:pt>
                <c:pt idx="1383">
                  <c:v>87.89</c:v>
                </c:pt>
                <c:pt idx="1384">
                  <c:v>86.27</c:v>
                </c:pt>
                <c:pt idx="1385">
                  <c:v>88.2</c:v>
                </c:pt>
                <c:pt idx="1386">
                  <c:v>89.96</c:v>
                </c:pt>
                <c:pt idx="1387">
                  <c:v>89.34</c:v>
                </c:pt>
                <c:pt idx="1388">
                  <c:v>90.03</c:v>
                </c:pt>
                <c:pt idx="1389">
                  <c:v>90.03</c:v>
                </c:pt>
                <c:pt idx="1390">
                  <c:v>90.03</c:v>
                </c:pt>
                <c:pt idx="1391">
                  <c:v>91.21</c:v>
                </c:pt>
                <c:pt idx="1392">
                  <c:v>89.16</c:v>
                </c:pt>
                <c:pt idx="1393">
                  <c:v>89.47</c:v>
                </c:pt>
                <c:pt idx="1394">
                  <c:v>91.11</c:v>
                </c:pt>
                <c:pt idx="1395">
                  <c:v>93.27</c:v>
                </c:pt>
                <c:pt idx="1396">
                  <c:v>93.27</c:v>
                </c:pt>
                <c:pt idx="1397">
                  <c:v>93.27</c:v>
                </c:pt>
                <c:pt idx="1398">
                  <c:v>92.69</c:v>
                </c:pt>
                <c:pt idx="1399">
                  <c:v>90.78</c:v>
                </c:pt>
                <c:pt idx="1400">
                  <c:v>91.55</c:v>
                </c:pt>
                <c:pt idx="1401">
                  <c:v>91.41</c:v>
                </c:pt>
                <c:pt idx="1402">
                  <c:v>94.44</c:v>
                </c:pt>
                <c:pt idx="1403">
                  <c:v>94.44</c:v>
                </c:pt>
                <c:pt idx="1404">
                  <c:v>94.44</c:v>
                </c:pt>
                <c:pt idx="1405">
                  <c:v>96.48</c:v>
                </c:pt>
                <c:pt idx="1406">
                  <c:v>93.28</c:v>
                </c:pt>
                <c:pt idx="1407">
                  <c:v>94.81</c:v>
                </c:pt>
                <c:pt idx="1408">
                  <c:v>92.97</c:v>
                </c:pt>
                <c:pt idx="1409">
                  <c:v>93.54</c:v>
                </c:pt>
                <c:pt idx="1410">
                  <c:v>93.54</c:v>
                </c:pt>
                <c:pt idx="1411">
                  <c:v>93.54</c:v>
                </c:pt>
                <c:pt idx="1412">
                  <c:v>95.39</c:v>
                </c:pt>
                <c:pt idx="1413">
                  <c:v>96.84</c:v>
                </c:pt>
                <c:pt idx="1414">
                  <c:v>96.84</c:v>
                </c:pt>
                <c:pt idx="1415">
                  <c:v>99.08</c:v>
                </c:pt>
                <c:pt idx="1416">
                  <c:v>97.93</c:v>
                </c:pt>
                <c:pt idx="1417">
                  <c:v>97.93</c:v>
                </c:pt>
                <c:pt idx="1418">
                  <c:v>97.93</c:v>
                </c:pt>
                <c:pt idx="1419">
                  <c:v>100.99</c:v>
                </c:pt>
                <c:pt idx="1420">
                  <c:v>104.97</c:v>
                </c:pt>
                <c:pt idx="1421">
                  <c:v>112.93</c:v>
                </c:pt>
                <c:pt idx="1422">
                  <c:v>110.46</c:v>
                </c:pt>
                <c:pt idx="1423">
                  <c:v>118.11</c:v>
                </c:pt>
                <c:pt idx="1424">
                  <c:v>118.11</c:v>
                </c:pt>
                <c:pt idx="1425">
                  <c:v>118.11</c:v>
                </c:pt>
                <c:pt idx="1426">
                  <c:v>123.21</c:v>
                </c:pt>
                <c:pt idx="1427">
                  <c:v>127.98</c:v>
                </c:pt>
                <c:pt idx="1428">
                  <c:v>111.14</c:v>
                </c:pt>
                <c:pt idx="1429">
                  <c:v>109.33</c:v>
                </c:pt>
                <c:pt idx="1430">
                  <c:v>112.67</c:v>
                </c:pt>
                <c:pt idx="1431">
                  <c:v>112.67</c:v>
                </c:pt>
                <c:pt idx="1432">
                  <c:v>112.67</c:v>
                </c:pt>
                <c:pt idx="1433">
                  <c:v>106.9</c:v>
                </c:pt>
                <c:pt idx="1434">
                  <c:v>99.91</c:v>
                </c:pt>
                <c:pt idx="1435">
                  <c:v>98.02</c:v>
                </c:pt>
                <c:pt idx="1436">
                  <c:v>106.64</c:v>
                </c:pt>
                <c:pt idx="1437">
                  <c:v>107.93</c:v>
                </c:pt>
                <c:pt idx="1438">
                  <c:v>107.93</c:v>
                </c:pt>
                <c:pt idx="1439">
                  <c:v>107.93</c:v>
                </c:pt>
                <c:pt idx="1440">
                  <c:v>115.62</c:v>
                </c:pt>
                <c:pt idx="1441">
                  <c:v>115.48</c:v>
                </c:pt>
                <c:pt idx="1442">
                  <c:v>121.6</c:v>
                </c:pt>
                <c:pt idx="1443">
                  <c:v>119.03</c:v>
                </c:pt>
                <c:pt idx="1444">
                  <c:v>120.65</c:v>
                </c:pt>
                <c:pt idx="1445">
                  <c:v>120.65</c:v>
                </c:pt>
                <c:pt idx="1446">
                  <c:v>120.65</c:v>
                </c:pt>
                <c:pt idx="1447">
                  <c:v>112.48</c:v>
                </c:pt>
                <c:pt idx="1448">
                  <c:v>110.23</c:v>
                </c:pt>
                <c:pt idx="1449">
                  <c:v>113.45</c:v>
                </c:pt>
                <c:pt idx="1450">
                  <c:v>107.91</c:v>
                </c:pt>
                <c:pt idx="1451">
                  <c:v>104.39</c:v>
                </c:pt>
                <c:pt idx="1452">
                  <c:v>104.39</c:v>
                </c:pt>
                <c:pt idx="1453">
                  <c:v>104.39</c:v>
                </c:pt>
                <c:pt idx="1454">
                  <c:v>107.53</c:v>
                </c:pt>
                <c:pt idx="1455">
                  <c:v>106.64</c:v>
                </c:pt>
                <c:pt idx="1456">
                  <c:v>101.07</c:v>
                </c:pt>
                <c:pt idx="1457">
                  <c:v>100.58</c:v>
                </c:pt>
                <c:pt idx="1458">
                  <c:v>102.78</c:v>
                </c:pt>
                <c:pt idx="1459">
                  <c:v>102.78</c:v>
                </c:pt>
                <c:pt idx="1460">
                  <c:v>102.78</c:v>
                </c:pt>
                <c:pt idx="1461">
                  <c:v>98.48</c:v>
                </c:pt>
                <c:pt idx="1462">
                  <c:v>104.64</c:v>
                </c:pt>
                <c:pt idx="1463">
                  <c:v>108.78</c:v>
                </c:pt>
                <c:pt idx="1464">
                  <c:v>111.7</c:v>
                </c:pt>
                <c:pt idx="1465">
                  <c:v>111.7</c:v>
                </c:pt>
                <c:pt idx="1466">
                  <c:v>111.7</c:v>
                </c:pt>
                <c:pt idx="1467">
                  <c:v>111.7</c:v>
                </c:pt>
                <c:pt idx="1468">
                  <c:v>113.16</c:v>
                </c:pt>
                <c:pt idx="1469">
                  <c:v>107.25</c:v>
                </c:pt>
                <c:pt idx="1470">
                  <c:v>106.8</c:v>
                </c:pt>
                <c:pt idx="1471">
                  <c:v>108.33</c:v>
                </c:pt>
                <c:pt idx="1472">
                  <c:v>106.65</c:v>
                </c:pt>
                <c:pt idx="1473">
                  <c:v>106.65</c:v>
                </c:pt>
                <c:pt idx="1474">
                  <c:v>106.65</c:v>
                </c:pt>
                <c:pt idx="1475">
                  <c:v>102.32</c:v>
                </c:pt>
                <c:pt idx="1476">
                  <c:v>104.99</c:v>
                </c:pt>
                <c:pt idx="1477">
                  <c:v>105.32</c:v>
                </c:pt>
                <c:pt idx="1478">
                  <c:v>107.59</c:v>
                </c:pt>
                <c:pt idx="1479">
                  <c:v>109.34</c:v>
                </c:pt>
                <c:pt idx="1480">
                  <c:v>109.34</c:v>
                </c:pt>
                <c:pt idx="1481">
                  <c:v>109.34</c:v>
                </c:pt>
                <c:pt idx="1482">
                  <c:v>107.58</c:v>
                </c:pt>
                <c:pt idx="1483">
                  <c:v>104.97</c:v>
                </c:pt>
                <c:pt idx="1484">
                  <c:v>110.14</c:v>
                </c:pt>
                <c:pt idx="1485">
                  <c:v>110.9</c:v>
                </c:pt>
                <c:pt idx="1486">
                  <c:v>112.39</c:v>
                </c:pt>
                <c:pt idx="1487">
                  <c:v>112.39</c:v>
                </c:pt>
                <c:pt idx="1488">
                  <c:v>112.39</c:v>
                </c:pt>
                <c:pt idx="1489">
                  <c:v>105.94</c:v>
                </c:pt>
                <c:pt idx="1490">
                  <c:v>102.46</c:v>
                </c:pt>
                <c:pt idx="1491">
                  <c:v>107.51</c:v>
                </c:pt>
                <c:pt idx="1492">
                  <c:v>107.45</c:v>
                </c:pt>
                <c:pt idx="1493">
                  <c:v>111.55</c:v>
                </c:pt>
                <c:pt idx="1494">
                  <c:v>111.55</c:v>
                </c:pt>
                <c:pt idx="1495">
                  <c:v>111.55</c:v>
                </c:pt>
                <c:pt idx="1496">
                  <c:v>114.24</c:v>
                </c:pt>
                <c:pt idx="1497">
                  <c:v>111.93</c:v>
                </c:pt>
                <c:pt idx="1498">
                  <c:v>109.11</c:v>
                </c:pt>
                <c:pt idx="1499">
                  <c:v>112.04</c:v>
                </c:pt>
                <c:pt idx="1500">
                  <c:v>112.55</c:v>
                </c:pt>
                <c:pt idx="1501">
                  <c:v>112.55</c:v>
                </c:pt>
                <c:pt idx="1502">
                  <c:v>112.55</c:v>
                </c:pt>
                <c:pt idx="1503">
                  <c:v>113.42</c:v>
                </c:pt>
                <c:pt idx="1504">
                  <c:v>113.56</c:v>
                </c:pt>
                <c:pt idx="1505">
                  <c:v>114.03</c:v>
                </c:pt>
                <c:pt idx="1506">
                  <c:v>117.4</c:v>
                </c:pt>
                <c:pt idx="1507">
                  <c:v>119.43</c:v>
                </c:pt>
                <c:pt idx="1508">
                  <c:v>119.43</c:v>
                </c:pt>
                <c:pt idx="1509">
                  <c:v>119.43</c:v>
                </c:pt>
                <c:pt idx="1510">
                  <c:v>121.67</c:v>
                </c:pt>
                <c:pt idx="1511">
                  <c:v>122.84</c:v>
                </c:pt>
                <c:pt idx="1512">
                  <c:v>116.29</c:v>
                </c:pt>
                <c:pt idx="1513">
                  <c:v>117.61</c:v>
                </c:pt>
                <c:pt idx="1514">
                  <c:v>119.72</c:v>
                </c:pt>
                <c:pt idx="1515">
                  <c:v>119.72</c:v>
                </c:pt>
                <c:pt idx="1516">
                  <c:v>119.72</c:v>
                </c:pt>
                <c:pt idx="1517">
                  <c:v>119.51</c:v>
                </c:pt>
                <c:pt idx="1518">
                  <c:v>120.57</c:v>
                </c:pt>
                <c:pt idx="1519">
                  <c:v>123.58</c:v>
                </c:pt>
                <c:pt idx="1520">
                  <c:v>123.07</c:v>
                </c:pt>
                <c:pt idx="1521">
                  <c:v>122.01</c:v>
                </c:pt>
                <c:pt idx="1522">
                  <c:v>122.01</c:v>
                </c:pt>
                <c:pt idx="1523">
                  <c:v>122.01</c:v>
                </c:pt>
                <c:pt idx="1524">
                  <c:v>122.27</c:v>
                </c:pt>
                <c:pt idx="1525">
                  <c:v>121.17</c:v>
                </c:pt>
                <c:pt idx="1526">
                  <c:v>118.51</c:v>
                </c:pt>
                <c:pt idx="1527">
                  <c:v>119.81</c:v>
                </c:pt>
                <c:pt idx="1528">
                  <c:v>113.12</c:v>
                </c:pt>
                <c:pt idx="1529">
                  <c:v>113.12</c:v>
                </c:pt>
                <c:pt idx="1530">
                  <c:v>113.12</c:v>
                </c:pt>
                <c:pt idx="1531">
                  <c:v>114.13</c:v>
                </c:pt>
                <c:pt idx="1532">
                  <c:v>114.65</c:v>
                </c:pt>
                <c:pt idx="1533">
                  <c:v>111.74</c:v>
                </c:pt>
                <c:pt idx="1534">
                  <c:v>110.05</c:v>
                </c:pt>
                <c:pt idx="1535">
                  <c:v>113.12</c:v>
                </c:pt>
                <c:pt idx="1536">
                  <c:v>113.12</c:v>
                </c:pt>
                <c:pt idx="1537">
                  <c:v>113.12</c:v>
                </c:pt>
                <c:pt idx="1538">
                  <c:v>115.09</c:v>
                </c:pt>
                <c:pt idx="1539">
                  <c:v>117.98</c:v>
                </c:pt>
                <c:pt idx="1540">
                  <c:v>116.26</c:v>
                </c:pt>
                <c:pt idx="1541">
                  <c:v>114.81</c:v>
                </c:pt>
                <c:pt idx="1542">
                  <c:v>111.63</c:v>
                </c:pt>
                <c:pt idx="1543">
                  <c:v>111.63</c:v>
                </c:pt>
                <c:pt idx="1544">
                  <c:v>111.63</c:v>
                </c:pt>
                <c:pt idx="1545">
                  <c:v>113.5</c:v>
                </c:pt>
                <c:pt idx="1546">
                  <c:v>102.77</c:v>
                </c:pt>
                <c:pt idx="1547">
                  <c:v>100.69</c:v>
                </c:pt>
                <c:pt idx="1548">
                  <c:v>104.65</c:v>
                </c:pt>
                <c:pt idx="1549">
                  <c:v>107.02</c:v>
                </c:pt>
                <c:pt idx="1550">
                  <c:v>107.02</c:v>
                </c:pt>
                <c:pt idx="1551">
                  <c:v>107.02</c:v>
                </c:pt>
                <c:pt idx="1552">
                  <c:v>107.1</c:v>
                </c:pt>
                <c:pt idx="1553">
                  <c:v>99.49</c:v>
                </c:pt>
                <c:pt idx="1554">
                  <c:v>99.57</c:v>
                </c:pt>
                <c:pt idx="1555">
                  <c:v>99.1</c:v>
                </c:pt>
                <c:pt idx="1556">
                  <c:v>101.16</c:v>
                </c:pt>
                <c:pt idx="1557">
                  <c:v>101.16</c:v>
                </c:pt>
                <c:pt idx="1558">
                  <c:v>101.16</c:v>
                </c:pt>
                <c:pt idx="1559">
                  <c:v>106.27</c:v>
                </c:pt>
                <c:pt idx="1560">
                  <c:v>107.35</c:v>
                </c:pt>
                <c:pt idx="1561">
                  <c:v>106.92</c:v>
                </c:pt>
                <c:pt idx="1562">
                  <c:v>103.86</c:v>
                </c:pt>
                <c:pt idx="1563">
                  <c:v>103.2</c:v>
                </c:pt>
                <c:pt idx="1564">
                  <c:v>103.2</c:v>
                </c:pt>
                <c:pt idx="1565">
                  <c:v>103.2</c:v>
                </c:pt>
                <c:pt idx="1566">
                  <c:v>105.15</c:v>
                </c:pt>
                <c:pt idx="1567">
                  <c:v>104.4</c:v>
                </c:pt>
                <c:pt idx="1568">
                  <c:v>106.62</c:v>
                </c:pt>
                <c:pt idx="1569">
                  <c:v>107.14</c:v>
                </c:pt>
                <c:pt idx="1570">
                  <c:v>110.01</c:v>
                </c:pt>
                <c:pt idx="1571">
                  <c:v>110.01</c:v>
                </c:pt>
                <c:pt idx="1572">
                  <c:v>110.01</c:v>
                </c:pt>
                <c:pt idx="1573">
                  <c:v>100.03</c:v>
                </c:pt>
                <c:pt idx="1574">
                  <c:v>100.54</c:v>
                </c:pt>
                <c:pt idx="1575">
                  <c:v>96.78</c:v>
                </c:pt>
                <c:pt idx="1576">
                  <c:v>94.12</c:v>
                </c:pt>
                <c:pt idx="1577">
                  <c:v>94.92</c:v>
                </c:pt>
                <c:pt idx="1578">
                  <c:v>94.92</c:v>
                </c:pt>
                <c:pt idx="1579">
                  <c:v>94.92</c:v>
                </c:pt>
                <c:pt idx="1580">
                  <c:v>96.65</c:v>
                </c:pt>
                <c:pt idx="1581">
                  <c:v>96.31</c:v>
                </c:pt>
                <c:pt idx="1582">
                  <c:v>97.4</c:v>
                </c:pt>
                <c:pt idx="1583">
                  <c:v>99.6</c:v>
                </c:pt>
                <c:pt idx="1584">
                  <c:v>98.15</c:v>
                </c:pt>
                <c:pt idx="1585">
                  <c:v>98.15</c:v>
                </c:pt>
                <c:pt idx="1586">
                  <c:v>98.15</c:v>
                </c:pt>
                <c:pt idx="1587">
                  <c:v>95.1</c:v>
                </c:pt>
                <c:pt idx="1588">
                  <c:v>92.34</c:v>
                </c:pt>
                <c:pt idx="1589">
                  <c:v>93.65</c:v>
                </c:pt>
                <c:pt idx="1590">
                  <c:v>96.59</c:v>
                </c:pt>
                <c:pt idx="1591">
                  <c:v>96.72</c:v>
                </c:pt>
                <c:pt idx="1592">
                  <c:v>96.72</c:v>
                </c:pt>
                <c:pt idx="1593">
                  <c:v>96.72</c:v>
                </c:pt>
                <c:pt idx="1594">
                  <c:v>96.48</c:v>
                </c:pt>
                <c:pt idx="1595">
                  <c:v>100.22</c:v>
                </c:pt>
                <c:pt idx="1596">
                  <c:v>101.22</c:v>
                </c:pt>
                <c:pt idx="1597">
                  <c:v>99.34</c:v>
                </c:pt>
                <c:pt idx="1598">
                  <c:v>100.99</c:v>
                </c:pt>
                <c:pt idx="1599">
                  <c:v>100.99</c:v>
                </c:pt>
                <c:pt idx="1600">
                  <c:v>100.99</c:v>
                </c:pt>
                <c:pt idx="1601">
                  <c:v>105.09</c:v>
                </c:pt>
                <c:pt idx="1602">
                  <c:v>99.31</c:v>
                </c:pt>
                <c:pt idx="1603">
                  <c:v>96.49</c:v>
                </c:pt>
                <c:pt idx="1604">
                  <c:v>92.36</c:v>
                </c:pt>
                <c:pt idx="1605">
                  <c:v>93.02</c:v>
                </c:pt>
                <c:pt idx="1606">
                  <c:v>93.02</c:v>
                </c:pt>
                <c:pt idx="1607">
                  <c:v>93.02</c:v>
                </c:pt>
                <c:pt idx="1608">
                  <c:v>95.74</c:v>
                </c:pt>
                <c:pt idx="1609">
                  <c:v>92.83</c:v>
                </c:pt>
                <c:pt idx="1610">
                  <c:v>88</c:v>
                </c:pt>
                <c:pt idx="1611">
                  <c:v>89.15</c:v>
                </c:pt>
                <c:pt idx="1612">
                  <c:v>92.84</c:v>
                </c:pt>
                <c:pt idx="1613">
                  <c:v>92.84</c:v>
                </c:pt>
                <c:pt idx="1614">
                  <c:v>92.84</c:v>
                </c:pt>
                <c:pt idx="1615">
                  <c:v>94</c:v>
                </c:pt>
                <c:pt idx="1616">
                  <c:v>93.17</c:v>
                </c:pt>
                <c:pt idx="1617">
                  <c:v>94.1</c:v>
                </c:pt>
                <c:pt idx="1618">
                  <c:v>90.84</c:v>
                </c:pt>
                <c:pt idx="1619">
                  <c:v>91.35</c:v>
                </c:pt>
                <c:pt idx="1620">
                  <c:v>91.35</c:v>
                </c:pt>
                <c:pt idx="1621">
                  <c:v>91.35</c:v>
                </c:pt>
                <c:pt idx="1622">
                  <c:v>92</c:v>
                </c:pt>
                <c:pt idx="1623">
                  <c:v>90.62</c:v>
                </c:pt>
                <c:pt idx="1624">
                  <c:v>89.83</c:v>
                </c:pt>
                <c:pt idx="1625">
                  <c:v>90.46</c:v>
                </c:pt>
                <c:pt idx="1626">
                  <c:v>86.15</c:v>
                </c:pt>
                <c:pt idx="1627">
                  <c:v>86.15</c:v>
                </c:pt>
                <c:pt idx="1628">
                  <c:v>86.15</c:v>
                </c:pt>
                <c:pt idx="1629">
                  <c:v>84.06</c:v>
                </c:pt>
                <c:pt idx="1630">
                  <c:v>86.27</c:v>
                </c:pt>
                <c:pt idx="1631">
                  <c:v>89.32</c:v>
                </c:pt>
                <c:pt idx="1632">
                  <c:v>88.49</c:v>
                </c:pt>
                <c:pt idx="1633">
                  <c:v>87.96</c:v>
                </c:pt>
                <c:pt idx="1634">
                  <c:v>87.96</c:v>
                </c:pt>
                <c:pt idx="1635">
                  <c:v>87.96</c:v>
                </c:pt>
                <c:pt idx="1636">
                  <c:v>88.86</c:v>
                </c:pt>
                <c:pt idx="1637">
                  <c:v>91.8</c:v>
                </c:pt>
                <c:pt idx="1638">
                  <c:v>93.37</c:v>
                </c:pt>
                <c:pt idx="1639">
                  <c:v>94.42</c:v>
                </c:pt>
                <c:pt idx="1640">
                  <c:v>97.92</c:v>
                </c:pt>
                <c:pt idx="1641">
                  <c:v>97.92</c:v>
                </c:pt>
                <c:pt idx="1642">
                  <c:v>97.92</c:v>
                </c:pt>
                <c:pt idx="1643">
                  <c:v>96.19</c:v>
                </c:pt>
                <c:pt idx="1644">
                  <c:v>94.29</c:v>
                </c:pt>
                <c:pt idx="1645">
                  <c:v>92.45</c:v>
                </c:pt>
                <c:pt idx="1646">
                  <c:v>94.57</c:v>
                </c:pt>
                <c:pt idx="1647">
                  <c:v>91.63</c:v>
                </c:pt>
                <c:pt idx="1648">
                  <c:v>91.63</c:v>
                </c:pt>
                <c:pt idx="1649">
                  <c:v>91.63</c:v>
                </c:pt>
                <c:pt idx="1650">
                  <c:v>91.62</c:v>
                </c:pt>
                <c:pt idx="1651">
                  <c:v>90.03</c:v>
                </c:pt>
                <c:pt idx="1652">
                  <c:v>92.41</c:v>
                </c:pt>
                <c:pt idx="1653">
                  <c:v>92.38</c:v>
                </c:pt>
                <c:pt idx="1654">
                  <c:v>93.5</c:v>
                </c:pt>
                <c:pt idx="1655">
                  <c:v>93.5</c:v>
                </c:pt>
                <c:pt idx="1656">
                  <c:v>93.5</c:v>
                </c:pt>
                <c:pt idx="1657">
                  <c:v>93.26</c:v>
                </c:pt>
                <c:pt idx="1658">
                  <c:v>93.52</c:v>
                </c:pt>
                <c:pt idx="1659">
                  <c:v>95.69</c:v>
                </c:pt>
                <c:pt idx="1660">
                  <c:v>96.96</c:v>
                </c:pt>
                <c:pt idx="1661">
                  <c:v>95.77</c:v>
                </c:pt>
                <c:pt idx="1662">
                  <c:v>95.77</c:v>
                </c:pt>
                <c:pt idx="1663">
                  <c:v>95.77</c:v>
                </c:pt>
                <c:pt idx="1664">
                  <c:v>94.83</c:v>
                </c:pt>
                <c:pt idx="1665">
                  <c:v>94.65</c:v>
                </c:pt>
                <c:pt idx="1666">
                  <c:v>96.16</c:v>
                </c:pt>
                <c:pt idx="1667">
                  <c:v>94.67</c:v>
                </c:pt>
                <c:pt idx="1668">
                  <c:v>98.57</c:v>
                </c:pt>
                <c:pt idx="1669">
                  <c:v>98.57</c:v>
                </c:pt>
                <c:pt idx="1670">
                  <c:v>98.57</c:v>
                </c:pt>
                <c:pt idx="1671">
                  <c:v>97.92</c:v>
                </c:pt>
                <c:pt idx="1672">
                  <c:v>95.36</c:v>
                </c:pt>
                <c:pt idx="1673">
                  <c:v>92.65</c:v>
                </c:pt>
                <c:pt idx="1674">
                  <c:v>93.67</c:v>
                </c:pt>
                <c:pt idx="1675">
                  <c:v>95.99</c:v>
                </c:pt>
                <c:pt idx="1676">
                  <c:v>95.99</c:v>
                </c:pt>
                <c:pt idx="1677">
                  <c:v>95.99</c:v>
                </c:pt>
                <c:pt idx="1678">
                  <c:v>93.14</c:v>
                </c:pt>
                <c:pt idx="1679">
                  <c:v>93.86</c:v>
                </c:pt>
                <c:pt idx="1680">
                  <c:v>92.86</c:v>
                </c:pt>
                <c:pt idx="1681">
                  <c:v>89.78</c:v>
                </c:pt>
                <c:pt idx="1682">
                  <c:v>87.62</c:v>
                </c:pt>
                <c:pt idx="1683">
                  <c:v>87.62</c:v>
                </c:pt>
                <c:pt idx="1684">
                  <c:v>87.62</c:v>
                </c:pt>
                <c:pt idx="1685">
                  <c:v>87.45</c:v>
                </c:pt>
                <c:pt idx="1686">
                  <c:v>88.36</c:v>
                </c:pt>
                <c:pt idx="1687">
                  <c:v>85.41</c:v>
                </c:pt>
                <c:pt idx="1688">
                  <c:v>85.34</c:v>
                </c:pt>
                <c:pt idx="1689">
                  <c:v>83.63</c:v>
                </c:pt>
                <c:pt idx="1690">
                  <c:v>83.63</c:v>
                </c:pt>
                <c:pt idx="1691">
                  <c:v>83.63</c:v>
                </c:pt>
                <c:pt idx="1692">
                  <c:v>83.19</c:v>
                </c:pt>
                <c:pt idx="1693">
                  <c:v>83.03</c:v>
                </c:pt>
                <c:pt idx="1694">
                  <c:v>85.43</c:v>
                </c:pt>
                <c:pt idx="1695">
                  <c:v>86.88</c:v>
                </c:pt>
                <c:pt idx="1696">
                  <c:v>85.57</c:v>
                </c:pt>
                <c:pt idx="1697">
                  <c:v>85.57</c:v>
                </c:pt>
                <c:pt idx="1698">
                  <c:v>85.57</c:v>
                </c:pt>
                <c:pt idx="1699">
                  <c:v>82.68</c:v>
                </c:pt>
                <c:pt idx="1700">
                  <c:v>79.349999999999994</c:v>
                </c:pt>
                <c:pt idx="1701">
                  <c:v>77.17</c:v>
                </c:pt>
                <c:pt idx="1702">
                  <c:v>76.150000000000006</c:v>
                </c:pt>
                <c:pt idx="1703">
                  <c:v>76.099999999999994</c:v>
                </c:pt>
                <c:pt idx="1704">
                  <c:v>76.099999999999994</c:v>
                </c:pt>
                <c:pt idx="1705">
                  <c:v>76.099999999999994</c:v>
                </c:pt>
                <c:pt idx="1706">
                  <c:v>77.989999999999995</c:v>
                </c:pt>
                <c:pt idx="1707">
                  <c:v>80.680000000000007</c:v>
                </c:pt>
                <c:pt idx="1708">
                  <c:v>82.7</c:v>
                </c:pt>
                <c:pt idx="1709">
                  <c:v>81.209999999999994</c:v>
                </c:pt>
                <c:pt idx="1710">
                  <c:v>79.040000000000006</c:v>
                </c:pt>
                <c:pt idx="1711">
                  <c:v>79.040000000000006</c:v>
                </c:pt>
                <c:pt idx="1712">
                  <c:v>79.040000000000006</c:v>
                </c:pt>
                <c:pt idx="1713">
                  <c:v>79.8</c:v>
                </c:pt>
                <c:pt idx="1714">
                  <c:v>79.989999999999995</c:v>
                </c:pt>
                <c:pt idx="1715">
                  <c:v>82.2</c:v>
                </c:pt>
                <c:pt idx="1716">
                  <c:v>80.98</c:v>
                </c:pt>
                <c:pt idx="1717">
                  <c:v>83.92</c:v>
                </c:pt>
                <c:pt idx="1718">
                  <c:v>83.92</c:v>
                </c:pt>
                <c:pt idx="1719">
                  <c:v>83.92</c:v>
                </c:pt>
                <c:pt idx="1720">
                  <c:v>83.92</c:v>
                </c:pt>
                <c:pt idx="1721">
                  <c:v>84.33</c:v>
                </c:pt>
                <c:pt idx="1722">
                  <c:v>83.26</c:v>
                </c:pt>
                <c:pt idx="1723">
                  <c:v>82.26</c:v>
                </c:pt>
                <c:pt idx="1724">
                  <c:v>85.91</c:v>
                </c:pt>
                <c:pt idx="1725">
                  <c:v>85.91</c:v>
                </c:pt>
                <c:pt idx="1726">
                  <c:v>85.91</c:v>
                </c:pt>
                <c:pt idx="1727">
                  <c:v>85.91</c:v>
                </c:pt>
                <c:pt idx="1728">
                  <c:v>82.1</c:v>
                </c:pt>
                <c:pt idx="1729">
                  <c:v>77.84</c:v>
                </c:pt>
                <c:pt idx="1730">
                  <c:v>78.69</c:v>
                </c:pt>
                <c:pt idx="1731">
                  <c:v>78.569999999999993</c:v>
                </c:pt>
                <c:pt idx="1732">
                  <c:v>78.569999999999993</c:v>
                </c:pt>
                <c:pt idx="1733">
                  <c:v>78.569999999999993</c:v>
                </c:pt>
                <c:pt idx="1734">
                  <c:v>79.650000000000006</c:v>
                </c:pt>
                <c:pt idx="1735">
                  <c:v>80.099999999999994</c:v>
                </c:pt>
                <c:pt idx="1736">
                  <c:v>82.67</c:v>
                </c:pt>
                <c:pt idx="1737">
                  <c:v>84.03</c:v>
                </c:pt>
                <c:pt idx="1738">
                  <c:v>85.28</c:v>
                </c:pt>
                <c:pt idx="1739">
                  <c:v>85.28</c:v>
                </c:pt>
                <c:pt idx="1740">
                  <c:v>85.28</c:v>
                </c:pt>
                <c:pt idx="1741">
                  <c:v>84.46</c:v>
                </c:pt>
                <c:pt idx="1742">
                  <c:v>85.92</c:v>
                </c:pt>
                <c:pt idx="1743">
                  <c:v>84.98</c:v>
                </c:pt>
                <c:pt idx="1744">
                  <c:v>86.16</c:v>
                </c:pt>
                <c:pt idx="1745">
                  <c:v>87.63</c:v>
                </c:pt>
                <c:pt idx="1746">
                  <c:v>87.63</c:v>
                </c:pt>
                <c:pt idx="1747">
                  <c:v>87.63</c:v>
                </c:pt>
                <c:pt idx="1748">
                  <c:v>88.19</c:v>
                </c:pt>
                <c:pt idx="1749">
                  <c:v>86.13</c:v>
                </c:pt>
                <c:pt idx="1750">
                  <c:v>86.12</c:v>
                </c:pt>
                <c:pt idx="1751">
                  <c:v>87.47</c:v>
                </c:pt>
                <c:pt idx="1752">
                  <c:v>86.66</c:v>
                </c:pt>
                <c:pt idx="1753">
                  <c:v>86.66</c:v>
                </c:pt>
                <c:pt idx="1754">
                  <c:v>86.66</c:v>
                </c:pt>
                <c:pt idx="1755">
                  <c:v>84.9</c:v>
                </c:pt>
                <c:pt idx="1756">
                  <c:v>84.49</c:v>
                </c:pt>
                <c:pt idx="1757">
                  <c:v>82.84</c:v>
                </c:pt>
                <c:pt idx="1758">
                  <c:v>82.17</c:v>
                </c:pt>
                <c:pt idx="1759">
                  <c:v>79.94</c:v>
                </c:pt>
                <c:pt idx="1760">
                  <c:v>79.94</c:v>
                </c:pt>
                <c:pt idx="1761">
                  <c:v>79.94</c:v>
                </c:pt>
                <c:pt idx="1762">
                  <c:v>80.989999999999995</c:v>
                </c:pt>
                <c:pt idx="1763">
                  <c:v>83.69</c:v>
                </c:pt>
                <c:pt idx="1764">
                  <c:v>85.09</c:v>
                </c:pt>
                <c:pt idx="1765">
                  <c:v>84.5</c:v>
                </c:pt>
                <c:pt idx="1766">
                  <c:v>86.39</c:v>
                </c:pt>
                <c:pt idx="1767">
                  <c:v>86.39</c:v>
                </c:pt>
                <c:pt idx="1768">
                  <c:v>86.39</c:v>
                </c:pt>
                <c:pt idx="1769">
                  <c:v>86.61</c:v>
                </c:pt>
                <c:pt idx="1770">
                  <c:v>85.58</c:v>
                </c:pt>
                <c:pt idx="1771">
                  <c:v>85.38</c:v>
                </c:pt>
                <c:pt idx="1772">
                  <c:v>85.14</c:v>
                </c:pt>
                <c:pt idx="1773">
                  <c:v>83</c:v>
                </c:pt>
                <c:pt idx="1774">
                  <c:v>83</c:v>
                </c:pt>
                <c:pt idx="1775">
                  <c:v>83</c:v>
                </c:pt>
                <c:pt idx="1776">
                  <c:v>84.07</c:v>
                </c:pt>
                <c:pt idx="1777">
                  <c:v>83.05</c:v>
                </c:pt>
                <c:pt idx="1778">
                  <c:v>80.599999999999994</c:v>
                </c:pt>
                <c:pt idx="1779">
                  <c:v>82.21</c:v>
                </c:pt>
                <c:pt idx="1780">
                  <c:v>83.16</c:v>
                </c:pt>
                <c:pt idx="1781">
                  <c:v>83.16</c:v>
                </c:pt>
                <c:pt idx="1782">
                  <c:v>83.16</c:v>
                </c:pt>
                <c:pt idx="1783">
                  <c:v>82.45</c:v>
                </c:pt>
                <c:pt idx="1784">
                  <c:v>83.89</c:v>
                </c:pt>
                <c:pt idx="1785">
                  <c:v>84.31</c:v>
                </c:pt>
                <c:pt idx="1786">
                  <c:v>84.75</c:v>
                </c:pt>
                <c:pt idx="1787">
                  <c:v>85.83</c:v>
                </c:pt>
                <c:pt idx="1788">
                  <c:v>85.83</c:v>
                </c:pt>
                <c:pt idx="1789">
                  <c:v>85.83</c:v>
                </c:pt>
                <c:pt idx="1790">
                  <c:v>86.18</c:v>
                </c:pt>
                <c:pt idx="1791">
                  <c:v>83.29</c:v>
                </c:pt>
                <c:pt idx="1792">
                  <c:v>82.66</c:v>
                </c:pt>
                <c:pt idx="1793">
                  <c:v>81.59</c:v>
                </c:pt>
                <c:pt idx="1794">
                  <c:v>82.78</c:v>
                </c:pt>
                <c:pt idx="1795">
                  <c:v>82.78</c:v>
                </c:pt>
                <c:pt idx="1796">
                  <c:v>82.78</c:v>
                </c:pt>
                <c:pt idx="1797">
                  <c:v>80.77</c:v>
                </c:pt>
                <c:pt idx="1798">
                  <c:v>77.45</c:v>
                </c:pt>
                <c:pt idx="1799">
                  <c:v>73.69</c:v>
                </c:pt>
                <c:pt idx="1800">
                  <c:v>74.7</c:v>
                </c:pt>
                <c:pt idx="1801">
                  <c:v>72.97</c:v>
                </c:pt>
                <c:pt idx="1802">
                  <c:v>72.97</c:v>
                </c:pt>
                <c:pt idx="1803">
                  <c:v>72.97</c:v>
                </c:pt>
                <c:pt idx="1804">
                  <c:v>73.790000000000006</c:v>
                </c:pt>
                <c:pt idx="1805">
                  <c:v>75.319999999999993</c:v>
                </c:pt>
                <c:pt idx="1806">
                  <c:v>76.69</c:v>
                </c:pt>
                <c:pt idx="1807">
                  <c:v>75.91</c:v>
                </c:pt>
                <c:pt idx="1808">
                  <c:v>74.989999999999995</c:v>
                </c:pt>
                <c:pt idx="1809">
                  <c:v>74.989999999999995</c:v>
                </c:pt>
                <c:pt idx="1810">
                  <c:v>74.989999999999995</c:v>
                </c:pt>
                <c:pt idx="1811">
                  <c:v>78.12</c:v>
                </c:pt>
                <c:pt idx="1812">
                  <c:v>78.650000000000006</c:v>
                </c:pt>
                <c:pt idx="1813">
                  <c:v>78.28</c:v>
                </c:pt>
                <c:pt idx="1814">
                  <c:v>79.27</c:v>
                </c:pt>
                <c:pt idx="1815">
                  <c:v>79.77</c:v>
                </c:pt>
                <c:pt idx="1816">
                  <c:v>79.77</c:v>
                </c:pt>
                <c:pt idx="1817">
                  <c:v>79.77</c:v>
                </c:pt>
                <c:pt idx="1818">
                  <c:v>84.93</c:v>
                </c:pt>
                <c:pt idx="1819">
                  <c:v>84.94</c:v>
                </c:pt>
                <c:pt idx="1820">
                  <c:v>84.99</c:v>
                </c:pt>
                <c:pt idx="1821">
                  <c:v>85.12</c:v>
                </c:pt>
                <c:pt idx="1822">
                  <c:v>85.12</c:v>
                </c:pt>
                <c:pt idx="1823">
                  <c:v>85.12</c:v>
                </c:pt>
                <c:pt idx="1824">
                  <c:v>85.12</c:v>
                </c:pt>
                <c:pt idx="1825">
                  <c:v>84.18</c:v>
                </c:pt>
                <c:pt idx="1826">
                  <c:v>85.61</c:v>
                </c:pt>
                <c:pt idx="1827">
                  <c:v>87.33</c:v>
                </c:pt>
                <c:pt idx="1828">
                  <c:v>86.09</c:v>
                </c:pt>
                <c:pt idx="1829">
                  <c:v>86.31</c:v>
                </c:pt>
                <c:pt idx="1830">
                  <c:v>86.31</c:v>
                </c:pt>
                <c:pt idx="1831">
                  <c:v>86.31</c:v>
                </c:pt>
                <c:pt idx="1832">
                  <c:v>84.76</c:v>
                </c:pt>
                <c:pt idx="1833">
                  <c:v>84.77</c:v>
                </c:pt>
                <c:pt idx="1834">
                  <c:v>83.12</c:v>
                </c:pt>
                <c:pt idx="1835">
                  <c:v>81.099999999999994</c:v>
                </c:pt>
                <c:pt idx="1836">
                  <c:v>81.66</c:v>
                </c:pt>
                <c:pt idx="1837">
                  <c:v>81.66</c:v>
                </c:pt>
                <c:pt idx="1838">
                  <c:v>81.66</c:v>
                </c:pt>
                <c:pt idx="1839">
                  <c:v>82.73</c:v>
                </c:pt>
                <c:pt idx="1840">
                  <c:v>80.77</c:v>
                </c:pt>
                <c:pt idx="1841">
                  <c:v>77.69</c:v>
                </c:pt>
                <c:pt idx="1842">
                  <c:v>78.37</c:v>
                </c:pt>
                <c:pt idx="1843">
                  <c:v>79.540000000000006</c:v>
                </c:pt>
                <c:pt idx="1844">
                  <c:v>79.540000000000006</c:v>
                </c:pt>
                <c:pt idx="1845">
                  <c:v>79.540000000000006</c:v>
                </c:pt>
                <c:pt idx="1846">
                  <c:v>79.31</c:v>
                </c:pt>
                <c:pt idx="1847">
                  <c:v>75.319999999999993</c:v>
                </c:pt>
                <c:pt idx="1848">
                  <c:v>72.33</c:v>
                </c:pt>
                <c:pt idx="1849">
                  <c:v>72.5</c:v>
                </c:pt>
                <c:pt idx="1850">
                  <c:v>75.3</c:v>
                </c:pt>
                <c:pt idx="1851">
                  <c:v>75.3</c:v>
                </c:pt>
                <c:pt idx="1852">
                  <c:v>75.3</c:v>
                </c:pt>
                <c:pt idx="1853">
                  <c:v>77.010000000000005</c:v>
                </c:pt>
                <c:pt idx="1854">
                  <c:v>77.44</c:v>
                </c:pt>
                <c:pt idx="1855">
                  <c:v>76.41</c:v>
                </c:pt>
                <c:pt idx="1856">
                  <c:v>74.98</c:v>
                </c:pt>
                <c:pt idx="1857">
                  <c:v>74.17</c:v>
                </c:pt>
                <c:pt idx="1858">
                  <c:v>74.17</c:v>
                </c:pt>
                <c:pt idx="1859">
                  <c:v>74.17</c:v>
                </c:pt>
                <c:pt idx="1860">
                  <c:v>75.23</c:v>
                </c:pt>
                <c:pt idx="1861">
                  <c:v>74.91</c:v>
                </c:pt>
                <c:pt idx="1862">
                  <c:v>76.959999999999994</c:v>
                </c:pt>
                <c:pt idx="1863">
                  <c:v>75.86</c:v>
                </c:pt>
                <c:pt idx="1864">
                  <c:v>75.58</c:v>
                </c:pt>
                <c:pt idx="1865">
                  <c:v>75.58</c:v>
                </c:pt>
                <c:pt idx="1866">
                  <c:v>75.58</c:v>
                </c:pt>
                <c:pt idx="1867">
                  <c:v>75.989999999999995</c:v>
                </c:pt>
                <c:pt idx="1868">
                  <c:v>76.84</c:v>
                </c:pt>
                <c:pt idx="1869">
                  <c:v>78.36</c:v>
                </c:pt>
                <c:pt idx="1870">
                  <c:v>76.260000000000005</c:v>
                </c:pt>
                <c:pt idx="1871">
                  <c:v>76.95</c:v>
                </c:pt>
                <c:pt idx="1872">
                  <c:v>76.95</c:v>
                </c:pt>
                <c:pt idx="1873">
                  <c:v>76.95</c:v>
                </c:pt>
                <c:pt idx="1874">
                  <c:v>77.069999999999993</c:v>
                </c:pt>
                <c:pt idx="1875">
                  <c:v>73.540000000000006</c:v>
                </c:pt>
                <c:pt idx="1876">
                  <c:v>72.66</c:v>
                </c:pt>
                <c:pt idx="1877">
                  <c:v>74.28</c:v>
                </c:pt>
                <c:pt idx="1878">
                  <c:v>76.13</c:v>
                </c:pt>
                <c:pt idx="1879">
                  <c:v>76.13</c:v>
                </c:pt>
                <c:pt idx="1880">
                  <c:v>76.13</c:v>
                </c:pt>
                <c:pt idx="1881">
                  <c:v>76.709999999999994</c:v>
                </c:pt>
                <c:pt idx="1882">
                  <c:v>76.290000000000006</c:v>
                </c:pt>
                <c:pt idx="1883">
                  <c:v>76.95</c:v>
                </c:pt>
                <c:pt idx="1884">
                  <c:v>75.959999999999994</c:v>
                </c:pt>
                <c:pt idx="1885">
                  <c:v>74.790000000000006</c:v>
                </c:pt>
                <c:pt idx="1886">
                  <c:v>74.790000000000006</c:v>
                </c:pt>
                <c:pt idx="1887">
                  <c:v>74.790000000000006</c:v>
                </c:pt>
                <c:pt idx="1888">
                  <c:v>71.84</c:v>
                </c:pt>
                <c:pt idx="1889">
                  <c:v>74.290000000000006</c:v>
                </c:pt>
                <c:pt idx="1890">
                  <c:v>73.2</c:v>
                </c:pt>
                <c:pt idx="1891">
                  <c:v>75.67</c:v>
                </c:pt>
                <c:pt idx="1892">
                  <c:v>76.61</c:v>
                </c:pt>
                <c:pt idx="1893">
                  <c:v>76.61</c:v>
                </c:pt>
                <c:pt idx="1894">
                  <c:v>76.61</c:v>
                </c:pt>
                <c:pt idx="1895">
                  <c:v>76.09</c:v>
                </c:pt>
                <c:pt idx="1896">
                  <c:v>75.900000000000006</c:v>
                </c:pt>
                <c:pt idx="1897">
                  <c:v>77.12</c:v>
                </c:pt>
                <c:pt idx="1898">
                  <c:v>74.14</c:v>
                </c:pt>
                <c:pt idx="1899">
                  <c:v>73.849999999999994</c:v>
                </c:pt>
                <c:pt idx="1900">
                  <c:v>73.849999999999994</c:v>
                </c:pt>
                <c:pt idx="1901">
                  <c:v>73.849999999999994</c:v>
                </c:pt>
                <c:pt idx="1902">
                  <c:v>74.180000000000007</c:v>
                </c:pt>
                <c:pt idx="1903">
                  <c:v>72.260000000000005</c:v>
                </c:pt>
                <c:pt idx="1904">
                  <c:v>74.03</c:v>
                </c:pt>
                <c:pt idx="1905">
                  <c:v>74.34</c:v>
                </c:pt>
                <c:pt idx="1906">
                  <c:v>74.900000000000006</c:v>
                </c:pt>
                <c:pt idx="1907">
                  <c:v>74.900000000000006</c:v>
                </c:pt>
                <c:pt idx="1908">
                  <c:v>74.900000000000006</c:v>
                </c:pt>
                <c:pt idx="1909">
                  <c:v>74.650000000000006</c:v>
                </c:pt>
                <c:pt idx="1910">
                  <c:v>76.25</c:v>
                </c:pt>
                <c:pt idx="1911">
                  <c:v>76.650000000000006</c:v>
                </c:pt>
                <c:pt idx="1912">
                  <c:v>76.52</c:v>
                </c:pt>
                <c:pt idx="1913">
                  <c:v>78.47</c:v>
                </c:pt>
                <c:pt idx="1914">
                  <c:v>78.47</c:v>
                </c:pt>
                <c:pt idx="1915">
                  <c:v>78.47</c:v>
                </c:pt>
                <c:pt idx="1916">
                  <c:v>77.69</c:v>
                </c:pt>
                <c:pt idx="1917">
                  <c:v>79.400000000000006</c:v>
                </c:pt>
                <c:pt idx="1918">
                  <c:v>80.11</c:v>
                </c:pt>
                <c:pt idx="1919">
                  <c:v>81.36</c:v>
                </c:pt>
                <c:pt idx="1920">
                  <c:v>79.87</c:v>
                </c:pt>
                <c:pt idx="1921">
                  <c:v>79.87</c:v>
                </c:pt>
                <c:pt idx="1922">
                  <c:v>79.87</c:v>
                </c:pt>
                <c:pt idx="1923">
                  <c:v>78.5</c:v>
                </c:pt>
                <c:pt idx="1924">
                  <c:v>79.63</c:v>
                </c:pt>
                <c:pt idx="1925">
                  <c:v>79.459999999999994</c:v>
                </c:pt>
                <c:pt idx="1926">
                  <c:v>79.64</c:v>
                </c:pt>
                <c:pt idx="1927">
                  <c:v>81.069999999999993</c:v>
                </c:pt>
                <c:pt idx="1928">
                  <c:v>81.069999999999993</c:v>
                </c:pt>
                <c:pt idx="1929">
                  <c:v>81.069999999999993</c:v>
                </c:pt>
                <c:pt idx="1930">
                  <c:v>82.74</c:v>
                </c:pt>
                <c:pt idx="1931">
                  <c:v>83.64</c:v>
                </c:pt>
                <c:pt idx="1932">
                  <c:v>82.92</c:v>
                </c:pt>
                <c:pt idx="1933">
                  <c:v>84.24</c:v>
                </c:pt>
                <c:pt idx="1934">
                  <c:v>84.99</c:v>
                </c:pt>
                <c:pt idx="1935">
                  <c:v>84.99</c:v>
                </c:pt>
                <c:pt idx="1936">
                  <c:v>84.99</c:v>
                </c:pt>
                <c:pt idx="1937">
                  <c:v>85.56</c:v>
                </c:pt>
                <c:pt idx="1938">
                  <c:v>84.91</c:v>
                </c:pt>
                <c:pt idx="1939">
                  <c:v>83.2</c:v>
                </c:pt>
                <c:pt idx="1940">
                  <c:v>85.14</c:v>
                </c:pt>
                <c:pt idx="1941">
                  <c:v>86.24</c:v>
                </c:pt>
                <c:pt idx="1942">
                  <c:v>86.24</c:v>
                </c:pt>
                <c:pt idx="1943">
                  <c:v>86.24</c:v>
                </c:pt>
                <c:pt idx="1944">
                  <c:v>85.34</c:v>
                </c:pt>
                <c:pt idx="1945">
                  <c:v>86.17</c:v>
                </c:pt>
                <c:pt idx="1946">
                  <c:v>87.55</c:v>
                </c:pt>
                <c:pt idx="1947">
                  <c:v>86.4</c:v>
                </c:pt>
                <c:pt idx="1948">
                  <c:v>86.81</c:v>
                </c:pt>
                <c:pt idx="1949">
                  <c:v>86.81</c:v>
                </c:pt>
                <c:pt idx="1950">
                  <c:v>86.81</c:v>
                </c:pt>
                <c:pt idx="1951">
                  <c:v>86.21</c:v>
                </c:pt>
                <c:pt idx="1952">
                  <c:v>84.89</c:v>
                </c:pt>
                <c:pt idx="1953">
                  <c:v>83.45</c:v>
                </c:pt>
                <c:pt idx="1954">
                  <c:v>84.12</c:v>
                </c:pt>
                <c:pt idx="1955">
                  <c:v>84.8</c:v>
                </c:pt>
                <c:pt idx="1956">
                  <c:v>84.8</c:v>
                </c:pt>
                <c:pt idx="1957">
                  <c:v>84.8</c:v>
                </c:pt>
                <c:pt idx="1958">
                  <c:v>84.46</c:v>
                </c:pt>
                <c:pt idx="1959">
                  <c:v>84.03</c:v>
                </c:pt>
                <c:pt idx="1960">
                  <c:v>83.21</c:v>
                </c:pt>
                <c:pt idx="1961">
                  <c:v>83.36</c:v>
                </c:pt>
                <c:pt idx="1962">
                  <c:v>84.48</c:v>
                </c:pt>
                <c:pt idx="1963">
                  <c:v>84.48</c:v>
                </c:pt>
                <c:pt idx="1964">
                  <c:v>84.48</c:v>
                </c:pt>
                <c:pt idx="1965">
                  <c:v>84.42</c:v>
                </c:pt>
                <c:pt idx="1966">
                  <c:v>85.49</c:v>
                </c:pt>
                <c:pt idx="1967">
                  <c:v>85.86</c:v>
                </c:pt>
                <c:pt idx="1968">
                  <c:v>86.86</c:v>
                </c:pt>
                <c:pt idx="1969">
                  <c:v>88.55</c:v>
                </c:pt>
                <c:pt idx="1970">
                  <c:v>88.55</c:v>
                </c:pt>
                <c:pt idx="1971">
                  <c:v>88.55</c:v>
                </c:pt>
                <c:pt idx="1972">
                  <c:v>89</c:v>
                </c:pt>
                <c:pt idx="1973">
                  <c:v>90.04</c:v>
                </c:pt>
                <c:pt idx="1974">
                  <c:v>90.6</c:v>
                </c:pt>
                <c:pt idx="1975">
                  <c:v>89.92</c:v>
                </c:pt>
                <c:pt idx="1976">
                  <c:v>90.65</c:v>
                </c:pt>
                <c:pt idx="1977">
                  <c:v>90.65</c:v>
                </c:pt>
                <c:pt idx="1978">
                  <c:v>90.65</c:v>
                </c:pt>
                <c:pt idx="1979">
                  <c:v>90.64</c:v>
                </c:pt>
                <c:pt idx="1980">
                  <c:v>92.06</c:v>
                </c:pt>
                <c:pt idx="1981">
                  <c:v>91.88</c:v>
                </c:pt>
                <c:pt idx="1982">
                  <c:v>93.7</c:v>
                </c:pt>
                <c:pt idx="1983">
                  <c:v>93.93</c:v>
                </c:pt>
                <c:pt idx="1984">
                  <c:v>93.93</c:v>
                </c:pt>
                <c:pt idx="1985">
                  <c:v>93.93</c:v>
                </c:pt>
                <c:pt idx="1986">
                  <c:v>94.43</c:v>
                </c:pt>
                <c:pt idx="1987">
                  <c:v>94.34</c:v>
                </c:pt>
                <c:pt idx="1988">
                  <c:v>93.53</c:v>
                </c:pt>
                <c:pt idx="1989">
                  <c:v>93.3</c:v>
                </c:pt>
                <c:pt idx="1990">
                  <c:v>93.27</c:v>
                </c:pt>
                <c:pt idx="1991">
                  <c:v>93.27</c:v>
                </c:pt>
                <c:pt idx="1992">
                  <c:v>93.27</c:v>
                </c:pt>
                <c:pt idx="1993">
                  <c:v>93.29</c:v>
                </c:pt>
                <c:pt idx="1994">
                  <c:v>93.96</c:v>
                </c:pt>
                <c:pt idx="1995">
                  <c:v>96.55</c:v>
                </c:pt>
                <c:pt idx="1996">
                  <c:v>95.38</c:v>
                </c:pt>
                <c:pt idx="1997">
                  <c:v>95.31</c:v>
                </c:pt>
                <c:pt idx="1998">
                  <c:v>95.31</c:v>
                </c:pt>
                <c:pt idx="1999">
                  <c:v>95.31</c:v>
                </c:pt>
                <c:pt idx="2000">
                  <c:v>90.71</c:v>
                </c:pt>
                <c:pt idx="2001">
                  <c:v>90.92</c:v>
                </c:pt>
                <c:pt idx="2002">
                  <c:v>85.81</c:v>
                </c:pt>
                <c:pt idx="2003">
                  <c:v>84.07</c:v>
                </c:pt>
                <c:pt idx="2004">
                  <c:v>84.58</c:v>
                </c:pt>
                <c:pt idx="2005">
                  <c:v>84.58</c:v>
                </c:pt>
                <c:pt idx="2006">
                  <c:v>84.58</c:v>
                </c:pt>
                <c:pt idx="2007">
                  <c:v>88.15</c:v>
                </c:pt>
                <c:pt idx="2008">
                  <c:v>87.65</c:v>
                </c:pt>
                <c:pt idx="2009">
                  <c:v>85.82</c:v>
                </c:pt>
                <c:pt idx="2010">
                  <c:v>86</c:v>
                </c:pt>
                <c:pt idx="2011">
                  <c:v>90.89</c:v>
                </c:pt>
                <c:pt idx="2012">
                  <c:v>90.89</c:v>
                </c:pt>
                <c:pt idx="2013">
                  <c:v>90.89</c:v>
                </c:pt>
                <c:pt idx="2014">
                  <c:v>89.65</c:v>
                </c:pt>
                <c:pt idx="2015">
                  <c:v>89.9</c:v>
                </c:pt>
                <c:pt idx="2016">
                  <c:v>91.5</c:v>
                </c:pt>
                <c:pt idx="2017">
                  <c:v>92.38</c:v>
                </c:pt>
                <c:pt idx="2018">
                  <c:v>92.16</c:v>
                </c:pt>
                <c:pt idx="2019">
                  <c:v>92.16</c:v>
                </c:pt>
                <c:pt idx="2020">
                  <c:v>92.16</c:v>
                </c:pt>
                <c:pt idx="2021">
                  <c:v>89.83</c:v>
                </c:pt>
                <c:pt idx="2022">
                  <c:v>88.07</c:v>
                </c:pt>
                <c:pt idx="2023">
                  <c:v>90.13</c:v>
                </c:pt>
                <c:pt idx="2024">
                  <c:v>87.93</c:v>
                </c:pt>
                <c:pt idx="2025">
                  <c:v>90.48</c:v>
                </c:pt>
                <c:pt idx="2026">
                  <c:v>90.48</c:v>
                </c:pt>
                <c:pt idx="2027">
                  <c:v>90.48</c:v>
                </c:pt>
                <c:pt idx="2028">
                  <c:v>87.45</c:v>
                </c:pt>
                <c:pt idx="2029">
                  <c:v>87.41</c:v>
                </c:pt>
                <c:pt idx="2030">
                  <c:v>84.63</c:v>
                </c:pt>
                <c:pt idx="2031">
                  <c:v>86.85</c:v>
                </c:pt>
                <c:pt idx="2032">
                  <c:v>84.89</c:v>
                </c:pt>
                <c:pt idx="2033">
                  <c:v>84.89</c:v>
                </c:pt>
                <c:pt idx="2034">
                  <c:v>84.89</c:v>
                </c:pt>
                <c:pt idx="2035">
                  <c:v>85.18</c:v>
                </c:pt>
                <c:pt idx="2036">
                  <c:v>81.61</c:v>
                </c:pt>
                <c:pt idx="2037">
                  <c:v>79.540000000000006</c:v>
                </c:pt>
                <c:pt idx="2038">
                  <c:v>80.010000000000005</c:v>
                </c:pt>
                <c:pt idx="2039">
                  <c:v>81.430000000000007</c:v>
                </c:pt>
                <c:pt idx="2040">
                  <c:v>81.430000000000007</c:v>
                </c:pt>
                <c:pt idx="2041">
                  <c:v>81.430000000000007</c:v>
                </c:pt>
                <c:pt idx="2042">
                  <c:v>82.52</c:v>
                </c:pt>
                <c:pt idx="2043">
                  <c:v>82.47</c:v>
                </c:pt>
                <c:pt idx="2044">
                  <c:v>81.180000000000007</c:v>
                </c:pt>
                <c:pt idx="2045">
                  <c:v>77.42</c:v>
                </c:pt>
                <c:pt idx="2046">
                  <c:v>80.61</c:v>
                </c:pt>
                <c:pt idx="2047">
                  <c:v>80.61</c:v>
                </c:pt>
                <c:pt idx="2048">
                  <c:v>80.61</c:v>
                </c:pt>
                <c:pt idx="2049">
                  <c:v>82.32</c:v>
                </c:pt>
                <c:pt idx="2050">
                  <c:v>82.45</c:v>
                </c:pt>
                <c:pt idx="2051">
                  <c:v>81.96</c:v>
                </c:pt>
                <c:pt idx="2052">
                  <c:v>81.42</c:v>
                </c:pt>
                <c:pt idx="2053">
                  <c:v>80.58</c:v>
                </c:pt>
                <c:pt idx="2054">
                  <c:v>80.58</c:v>
                </c:pt>
                <c:pt idx="2055">
                  <c:v>80.58</c:v>
                </c:pt>
                <c:pt idx="2056">
                  <c:v>79.98</c:v>
                </c:pt>
                <c:pt idx="2057">
                  <c:v>81.680000000000007</c:v>
                </c:pt>
                <c:pt idx="2058">
                  <c:v>83.1</c:v>
                </c:pt>
                <c:pt idx="2059">
                  <c:v>82.83</c:v>
                </c:pt>
                <c:pt idx="2060">
                  <c:v>78.88</c:v>
                </c:pt>
                <c:pt idx="2061">
                  <c:v>78.88</c:v>
                </c:pt>
                <c:pt idx="2062">
                  <c:v>78.88</c:v>
                </c:pt>
                <c:pt idx="2063">
                  <c:v>78.03</c:v>
                </c:pt>
                <c:pt idx="2064">
                  <c:v>77.2</c:v>
                </c:pt>
                <c:pt idx="2065">
                  <c:v>74.3</c:v>
                </c:pt>
                <c:pt idx="2066">
                  <c:v>74.05</c:v>
                </c:pt>
                <c:pt idx="2067">
                  <c:v>75.84</c:v>
                </c:pt>
                <c:pt idx="2068">
                  <c:v>75.84</c:v>
                </c:pt>
                <c:pt idx="2069">
                  <c:v>75.84</c:v>
                </c:pt>
                <c:pt idx="2070">
                  <c:v>76.03</c:v>
                </c:pt>
                <c:pt idx="2071">
                  <c:v>73.239999999999995</c:v>
                </c:pt>
                <c:pt idx="2072">
                  <c:v>74.260000000000005</c:v>
                </c:pt>
                <c:pt idx="2073">
                  <c:v>76.61</c:v>
                </c:pt>
                <c:pt idx="2074">
                  <c:v>76.55</c:v>
                </c:pt>
                <c:pt idx="2075">
                  <c:v>76.55</c:v>
                </c:pt>
                <c:pt idx="2076">
                  <c:v>76.55</c:v>
                </c:pt>
                <c:pt idx="2077">
                  <c:v>77.95</c:v>
                </c:pt>
                <c:pt idx="2078">
                  <c:v>79.23</c:v>
                </c:pt>
                <c:pt idx="2079">
                  <c:v>79.7</c:v>
                </c:pt>
                <c:pt idx="2080">
                  <c:v>79.39</c:v>
                </c:pt>
                <c:pt idx="2081">
                  <c:v>79.069999999999993</c:v>
                </c:pt>
                <c:pt idx="2082">
                  <c:v>79.069999999999993</c:v>
                </c:pt>
                <c:pt idx="2083">
                  <c:v>79.069999999999993</c:v>
                </c:pt>
                <c:pt idx="2084">
                  <c:v>79.069999999999993</c:v>
                </c:pt>
                <c:pt idx="2085">
                  <c:v>81.069999999999993</c:v>
                </c:pt>
                <c:pt idx="2086">
                  <c:v>79.650000000000006</c:v>
                </c:pt>
                <c:pt idx="2087">
                  <c:v>78.39</c:v>
                </c:pt>
                <c:pt idx="2088">
                  <c:v>77.040000000000006</c:v>
                </c:pt>
                <c:pt idx="2089">
                  <c:v>77.040000000000006</c:v>
                </c:pt>
                <c:pt idx="2090">
                  <c:v>77.040000000000006</c:v>
                </c:pt>
                <c:pt idx="2091">
                  <c:v>77.040000000000006</c:v>
                </c:pt>
                <c:pt idx="2092">
                  <c:v>75.89</c:v>
                </c:pt>
                <c:pt idx="2093">
                  <c:v>78.25</c:v>
                </c:pt>
                <c:pt idx="2094">
                  <c:v>77.59</c:v>
                </c:pt>
                <c:pt idx="2095">
                  <c:v>78.760000000000005</c:v>
                </c:pt>
                <c:pt idx="2096">
                  <c:v>78.760000000000005</c:v>
                </c:pt>
                <c:pt idx="2097">
                  <c:v>78.760000000000005</c:v>
                </c:pt>
                <c:pt idx="2098">
                  <c:v>76.12</c:v>
                </c:pt>
                <c:pt idx="2099">
                  <c:v>77.59</c:v>
                </c:pt>
                <c:pt idx="2100">
                  <c:v>76.8</c:v>
                </c:pt>
                <c:pt idx="2101">
                  <c:v>77.41</c:v>
                </c:pt>
                <c:pt idx="2102">
                  <c:v>78.290000000000006</c:v>
                </c:pt>
                <c:pt idx="2103">
                  <c:v>78.290000000000006</c:v>
                </c:pt>
                <c:pt idx="2104">
                  <c:v>78.290000000000006</c:v>
                </c:pt>
                <c:pt idx="2105">
                  <c:v>78.150000000000006</c:v>
                </c:pt>
                <c:pt idx="2106">
                  <c:v>78.290000000000006</c:v>
                </c:pt>
                <c:pt idx="2107">
                  <c:v>77.88</c:v>
                </c:pt>
                <c:pt idx="2108">
                  <c:v>79.099999999999994</c:v>
                </c:pt>
                <c:pt idx="2109">
                  <c:v>78.56</c:v>
                </c:pt>
                <c:pt idx="2110">
                  <c:v>78.56</c:v>
                </c:pt>
                <c:pt idx="2111">
                  <c:v>78.56</c:v>
                </c:pt>
                <c:pt idx="2112">
                  <c:v>80.06</c:v>
                </c:pt>
                <c:pt idx="2113">
                  <c:v>79.55</c:v>
                </c:pt>
                <c:pt idx="2114">
                  <c:v>80.040000000000006</c:v>
                </c:pt>
                <c:pt idx="2115">
                  <c:v>82.43</c:v>
                </c:pt>
                <c:pt idx="2116">
                  <c:v>83.55</c:v>
                </c:pt>
                <c:pt idx="2117">
                  <c:v>83.55</c:v>
                </c:pt>
                <c:pt idx="2118">
                  <c:v>83.55</c:v>
                </c:pt>
                <c:pt idx="2119">
                  <c:v>82.4</c:v>
                </c:pt>
                <c:pt idx="2120">
                  <c:v>82.87</c:v>
                </c:pt>
                <c:pt idx="2121">
                  <c:v>81.709999999999994</c:v>
                </c:pt>
                <c:pt idx="2122">
                  <c:v>78.7</c:v>
                </c:pt>
                <c:pt idx="2123">
                  <c:v>77.33</c:v>
                </c:pt>
                <c:pt idx="2124">
                  <c:v>77.33</c:v>
                </c:pt>
                <c:pt idx="2125">
                  <c:v>77.33</c:v>
                </c:pt>
                <c:pt idx="2126">
                  <c:v>77.989999999999995</c:v>
                </c:pt>
                <c:pt idx="2127">
                  <c:v>78.59</c:v>
                </c:pt>
                <c:pt idx="2128">
                  <c:v>79.209999999999994</c:v>
                </c:pt>
                <c:pt idx="2129">
                  <c:v>81.63</c:v>
                </c:pt>
                <c:pt idx="2130">
                  <c:v>82.19</c:v>
                </c:pt>
                <c:pt idx="2131">
                  <c:v>82.19</c:v>
                </c:pt>
                <c:pt idx="2132">
                  <c:v>82.19</c:v>
                </c:pt>
                <c:pt idx="2133">
                  <c:v>82</c:v>
                </c:pt>
                <c:pt idx="2134">
                  <c:v>82.77</c:v>
                </c:pt>
                <c:pt idx="2135">
                  <c:v>81.599999999999994</c:v>
                </c:pt>
                <c:pt idx="2136">
                  <c:v>82.86</c:v>
                </c:pt>
                <c:pt idx="2137">
                  <c:v>83.47</c:v>
                </c:pt>
                <c:pt idx="2138">
                  <c:v>83.47</c:v>
                </c:pt>
                <c:pt idx="2139">
                  <c:v>83.47</c:v>
                </c:pt>
                <c:pt idx="2140">
                  <c:v>83.56</c:v>
                </c:pt>
                <c:pt idx="2141">
                  <c:v>82.34</c:v>
                </c:pt>
                <c:pt idx="2142">
                  <c:v>83.03</c:v>
                </c:pt>
                <c:pt idx="2143">
                  <c:v>83.67</c:v>
                </c:pt>
                <c:pt idx="2144">
                  <c:v>81.62</c:v>
                </c:pt>
                <c:pt idx="2145">
                  <c:v>81.62</c:v>
                </c:pt>
                <c:pt idx="2146">
                  <c:v>81.62</c:v>
                </c:pt>
                <c:pt idx="2147">
                  <c:v>82.53</c:v>
                </c:pt>
                <c:pt idx="2148">
                  <c:v>83.65</c:v>
                </c:pt>
                <c:pt idx="2149">
                  <c:v>83.68</c:v>
                </c:pt>
                <c:pt idx="2150">
                  <c:v>83.62</c:v>
                </c:pt>
                <c:pt idx="2151">
                  <c:v>83.55</c:v>
                </c:pt>
                <c:pt idx="2152">
                  <c:v>83.55</c:v>
                </c:pt>
                <c:pt idx="2153">
                  <c:v>83.55</c:v>
                </c:pt>
                <c:pt idx="2154">
                  <c:v>82.8</c:v>
                </c:pt>
                <c:pt idx="2155">
                  <c:v>82.04</c:v>
                </c:pt>
                <c:pt idx="2156">
                  <c:v>82.96</c:v>
                </c:pt>
                <c:pt idx="2157">
                  <c:v>82.96</c:v>
                </c:pt>
                <c:pt idx="2158">
                  <c:v>82.08</c:v>
                </c:pt>
                <c:pt idx="2159">
                  <c:v>82.08</c:v>
                </c:pt>
                <c:pt idx="2160">
                  <c:v>82.08</c:v>
                </c:pt>
                <c:pt idx="2161">
                  <c:v>82.21</c:v>
                </c:pt>
                <c:pt idx="2162">
                  <c:v>81.92</c:v>
                </c:pt>
                <c:pt idx="2163">
                  <c:v>84.03</c:v>
                </c:pt>
                <c:pt idx="2164">
                  <c:v>85.42</c:v>
                </c:pt>
                <c:pt idx="2165">
                  <c:v>85.34</c:v>
                </c:pt>
                <c:pt idx="2166">
                  <c:v>85.34</c:v>
                </c:pt>
                <c:pt idx="2167">
                  <c:v>85.34</c:v>
                </c:pt>
                <c:pt idx="2168">
                  <c:v>86.89</c:v>
                </c:pt>
                <c:pt idx="2169">
                  <c:v>87.38</c:v>
                </c:pt>
                <c:pt idx="2170">
                  <c:v>85.95</c:v>
                </c:pt>
                <c:pt idx="2171">
                  <c:v>85.78</c:v>
                </c:pt>
                <c:pt idx="2172">
                  <c:v>85.43</c:v>
                </c:pt>
                <c:pt idx="2173">
                  <c:v>85.43</c:v>
                </c:pt>
                <c:pt idx="2174">
                  <c:v>85.43</c:v>
                </c:pt>
                <c:pt idx="2175">
                  <c:v>86.75</c:v>
                </c:pt>
                <c:pt idx="2176">
                  <c:v>86.25</c:v>
                </c:pt>
                <c:pt idx="2177">
                  <c:v>86.09</c:v>
                </c:pt>
                <c:pt idx="2178">
                  <c:v>87.48</c:v>
                </c:pt>
                <c:pt idx="2179">
                  <c:v>87.48</c:v>
                </c:pt>
                <c:pt idx="2180">
                  <c:v>87.48</c:v>
                </c:pt>
                <c:pt idx="2181">
                  <c:v>87.48</c:v>
                </c:pt>
                <c:pt idx="2182">
                  <c:v>87.42</c:v>
                </c:pt>
                <c:pt idx="2183">
                  <c:v>88.92</c:v>
                </c:pt>
                <c:pt idx="2184">
                  <c:v>89.35</c:v>
                </c:pt>
                <c:pt idx="2185">
                  <c:v>90.65</c:v>
                </c:pt>
                <c:pt idx="2186">
                  <c:v>91.17</c:v>
                </c:pt>
                <c:pt idx="2187">
                  <c:v>91.17</c:v>
                </c:pt>
                <c:pt idx="2188">
                  <c:v>91.17</c:v>
                </c:pt>
                <c:pt idx="2189">
                  <c:v>90.38</c:v>
                </c:pt>
                <c:pt idx="2190">
                  <c:v>89.42</c:v>
                </c:pt>
                <c:pt idx="2191">
                  <c:v>90.48</c:v>
                </c:pt>
                <c:pt idx="2192">
                  <c:v>89.74</c:v>
                </c:pt>
                <c:pt idx="2193">
                  <c:v>90.45</c:v>
                </c:pt>
                <c:pt idx="2194">
                  <c:v>90.45</c:v>
                </c:pt>
                <c:pt idx="2195">
                  <c:v>90.45</c:v>
                </c:pt>
                <c:pt idx="2196">
                  <c:v>90.1</c:v>
                </c:pt>
                <c:pt idx="2197">
                  <c:v>90.02</c:v>
                </c:pt>
                <c:pt idx="2198">
                  <c:v>87.29</c:v>
                </c:pt>
                <c:pt idx="2199">
                  <c:v>87.11</c:v>
                </c:pt>
                <c:pt idx="2200">
                  <c:v>87.29</c:v>
                </c:pt>
                <c:pt idx="2201">
                  <c:v>87.29</c:v>
                </c:pt>
                <c:pt idx="2202">
                  <c:v>87.29</c:v>
                </c:pt>
                <c:pt idx="2203">
                  <c:v>87</c:v>
                </c:pt>
                <c:pt idx="2204">
                  <c:v>88.42</c:v>
                </c:pt>
                <c:pt idx="2205">
                  <c:v>88.02</c:v>
                </c:pt>
                <c:pt idx="2206">
                  <c:v>89.01</c:v>
                </c:pt>
                <c:pt idx="2207">
                  <c:v>89.5</c:v>
                </c:pt>
                <c:pt idx="2208">
                  <c:v>89.5</c:v>
                </c:pt>
                <c:pt idx="2209">
                  <c:v>89.5</c:v>
                </c:pt>
                <c:pt idx="2210">
                  <c:v>88.4</c:v>
                </c:pt>
                <c:pt idx="2211">
                  <c:v>87.86</c:v>
                </c:pt>
                <c:pt idx="2212">
                  <c:v>83.44</c:v>
                </c:pt>
                <c:pt idx="2213">
                  <c:v>83.67</c:v>
                </c:pt>
                <c:pt idx="2214">
                  <c:v>82.96</c:v>
                </c:pt>
                <c:pt idx="2215">
                  <c:v>82.96</c:v>
                </c:pt>
                <c:pt idx="2216">
                  <c:v>82.96</c:v>
                </c:pt>
                <c:pt idx="2217">
                  <c:v>83.33</c:v>
                </c:pt>
                <c:pt idx="2218">
                  <c:v>83.16</c:v>
                </c:pt>
                <c:pt idx="2219">
                  <c:v>83.58</c:v>
                </c:pt>
                <c:pt idx="2220">
                  <c:v>83.88</c:v>
                </c:pt>
                <c:pt idx="2221">
                  <c:v>82.79</c:v>
                </c:pt>
                <c:pt idx="2222">
                  <c:v>82.79</c:v>
                </c:pt>
                <c:pt idx="2223">
                  <c:v>82.79</c:v>
                </c:pt>
                <c:pt idx="2224">
                  <c:v>83.36</c:v>
                </c:pt>
                <c:pt idx="2225">
                  <c:v>82.38</c:v>
                </c:pt>
                <c:pt idx="2226">
                  <c:v>82.75</c:v>
                </c:pt>
                <c:pt idx="2227">
                  <c:v>83.27</c:v>
                </c:pt>
                <c:pt idx="2228">
                  <c:v>83.98</c:v>
                </c:pt>
                <c:pt idx="2229">
                  <c:v>83.98</c:v>
                </c:pt>
                <c:pt idx="2230">
                  <c:v>83.98</c:v>
                </c:pt>
                <c:pt idx="2231">
                  <c:v>83.71</c:v>
                </c:pt>
                <c:pt idx="2232">
                  <c:v>82.88</c:v>
                </c:pt>
                <c:pt idx="2233">
                  <c:v>81.900000000000006</c:v>
                </c:pt>
                <c:pt idx="2234">
                  <c:v>81.36</c:v>
                </c:pt>
                <c:pt idx="2235">
                  <c:v>82.12</c:v>
                </c:pt>
                <c:pt idx="2236">
                  <c:v>82.12</c:v>
                </c:pt>
                <c:pt idx="2237">
                  <c:v>82.12</c:v>
                </c:pt>
                <c:pt idx="2238">
                  <c:v>83.1</c:v>
                </c:pt>
                <c:pt idx="2239">
                  <c:v>84.22</c:v>
                </c:pt>
                <c:pt idx="2240">
                  <c:v>83.6</c:v>
                </c:pt>
                <c:pt idx="2241">
                  <c:v>81.86</c:v>
                </c:pt>
                <c:pt idx="2242">
                  <c:v>81.62</c:v>
                </c:pt>
                <c:pt idx="2243">
                  <c:v>81.62</c:v>
                </c:pt>
                <c:pt idx="2244">
                  <c:v>81.62</c:v>
                </c:pt>
                <c:pt idx="2245">
                  <c:v>78.36</c:v>
                </c:pt>
                <c:pt idx="2246">
                  <c:v>77.52</c:v>
                </c:pt>
                <c:pt idx="2247">
                  <c:v>78.41</c:v>
                </c:pt>
                <c:pt idx="2248">
                  <c:v>79.87</c:v>
                </c:pt>
                <c:pt idx="2249">
                  <c:v>79.62</c:v>
                </c:pt>
                <c:pt idx="2250">
                  <c:v>79.62</c:v>
                </c:pt>
                <c:pt idx="2251">
                  <c:v>79.62</c:v>
                </c:pt>
                <c:pt idx="2252">
                  <c:v>81.63</c:v>
                </c:pt>
                <c:pt idx="2253">
                  <c:v>81.92</c:v>
                </c:pt>
                <c:pt idx="2254">
                  <c:v>82.6</c:v>
                </c:pt>
                <c:pt idx="2255">
                  <c:v>82.75</c:v>
                </c:pt>
                <c:pt idx="2256">
                  <c:v>82.62</c:v>
                </c:pt>
                <c:pt idx="2257">
                  <c:v>82.62</c:v>
                </c:pt>
                <c:pt idx="2258">
                  <c:v>82.62</c:v>
                </c:pt>
                <c:pt idx="2259">
                  <c:v>84.25</c:v>
                </c:pt>
                <c:pt idx="2260">
                  <c:v>85.33</c:v>
                </c:pt>
                <c:pt idx="2261">
                  <c:v>85.07</c:v>
                </c:pt>
                <c:pt idx="2262">
                  <c:v>85.71</c:v>
                </c:pt>
                <c:pt idx="2263">
                  <c:v>85.24</c:v>
                </c:pt>
                <c:pt idx="2264">
                  <c:v>85.24</c:v>
                </c:pt>
                <c:pt idx="2265">
                  <c:v>85.24</c:v>
                </c:pt>
                <c:pt idx="2266">
                  <c:v>86.01</c:v>
                </c:pt>
                <c:pt idx="2267">
                  <c:v>85.01</c:v>
                </c:pt>
                <c:pt idx="2268">
                  <c:v>85.25</c:v>
                </c:pt>
                <c:pt idx="2269">
                  <c:v>86.39</c:v>
                </c:pt>
                <c:pt idx="2270">
                  <c:v>86.41</c:v>
                </c:pt>
                <c:pt idx="2271">
                  <c:v>86.41</c:v>
                </c:pt>
                <c:pt idx="2272">
                  <c:v>86.41</c:v>
                </c:pt>
                <c:pt idx="2273">
                  <c:v>86.6</c:v>
                </c:pt>
                <c:pt idx="2274">
                  <c:v>86.24</c:v>
                </c:pt>
                <c:pt idx="2275">
                  <c:v>87.34</c:v>
                </c:pt>
                <c:pt idx="2276">
                  <c:v>87.43</c:v>
                </c:pt>
                <c:pt idx="2277">
                  <c:v>86.54</c:v>
                </c:pt>
                <c:pt idx="2278">
                  <c:v>86.54</c:v>
                </c:pt>
                <c:pt idx="2279">
                  <c:v>86.54</c:v>
                </c:pt>
                <c:pt idx="2280">
                  <c:v>85.75</c:v>
                </c:pt>
                <c:pt idx="2281">
                  <c:v>84.66</c:v>
                </c:pt>
                <c:pt idx="2282">
                  <c:v>85.08</c:v>
                </c:pt>
                <c:pt idx="2283">
                  <c:v>85.4</c:v>
                </c:pt>
                <c:pt idx="2284">
                  <c:v>85.03</c:v>
                </c:pt>
                <c:pt idx="2285">
                  <c:v>85.03</c:v>
                </c:pt>
                <c:pt idx="2286">
                  <c:v>85.03</c:v>
                </c:pt>
                <c:pt idx="2287">
                  <c:v>84.85</c:v>
                </c:pt>
                <c:pt idx="2288">
                  <c:v>83.73</c:v>
                </c:pt>
                <c:pt idx="2289">
                  <c:v>85.08</c:v>
                </c:pt>
                <c:pt idx="2290">
                  <c:v>85.11</c:v>
                </c:pt>
                <c:pt idx="2291">
                  <c:v>82.63</c:v>
                </c:pt>
                <c:pt idx="2292">
                  <c:v>82.63</c:v>
                </c:pt>
                <c:pt idx="2293">
                  <c:v>82.63</c:v>
                </c:pt>
                <c:pt idx="2294">
                  <c:v>82.4</c:v>
                </c:pt>
                <c:pt idx="2295">
                  <c:v>81.010000000000005</c:v>
                </c:pt>
                <c:pt idx="2296">
                  <c:v>81.709999999999994</c:v>
                </c:pt>
                <c:pt idx="2297">
                  <c:v>82.37</c:v>
                </c:pt>
                <c:pt idx="2298">
                  <c:v>81.13</c:v>
                </c:pt>
                <c:pt idx="2299">
                  <c:v>81.13</c:v>
                </c:pt>
                <c:pt idx="2300">
                  <c:v>81.13</c:v>
                </c:pt>
                <c:pt idx="2301">
                  <c:v>79.78</c:v>
                </c:pt>
                <c:pt idx="2302">
                  <c:v>78.63</c:v>
                </c:pt>
                <c:pt idx="2303">
                  <c:v>80.72</c:v>
                </c:pt>
                <c:pt idx="2304">
                  <c:v>79.52</c:v>
                </c:pt>
                <c:pt idx="2305">
                  <c:v>76.81</c:v>
                </c:pt>
                <c:pt idx="2306">
                  <c:v>76.81</c:v>
                </c:pt>
                <c:pt idx="2307">
                  <c:v>76.81</c:v>
                </c:pt>
                <c:pt idx="2308">
                  <c:v>76.3</c:v>
                </c:pt>
                <c:pt idx="2309">
                  <c:v>76.48</c:v>
                </c:pt>
                <c:pt idx="2310">
                  <c:v>78.33</c:v>
                </c:pt>
                <c:pt idx="2311">
                  <c:v>79.16</c:v>
                </c:pt>
                <c:pt idx="2312">
                  <c:v>79.66</c:v>
                </c:pt>
                <c:pt idx="2313">
                  <c:v>79.66</c:v>
                </c:pt>
                <c:pt idx="2314">
                  <c:v>79.66</c:v>
                </c:pt>
                <c:pt idx="2315">
                  <c:v>82.3</c:v>
                </c:pt>
                <c:pt idx="2316">
                  <c:v>80.69</c:v>
                </c:pt>
                <c:pt idx="2317">
                  <c:v>79.760000000000005</c:v>
                </c:pt>
                <c:pt idx="2318">
                  <c:v>81.040000000000006</c:v>
                </c:pt>
                <c:pt idx="2319">
                  <c:v>79.680000000000007</c:v>
                </c:pt>
                <c:pt idx="2320">
                  <c:v>79.680000000000007</c:v>
                </c:pt>
                <c:pt idx="2321">
                  <c:v>79.680000000000007</c:v>
                </c:pt>
                <c:pt idx="2322">
                  <c:v>77.66</c:v>
                </c:pt>
                <c:pt idx="2323">
                  <c:v>77.2</c:v>
                </c:pt>
                <c:pt idx="2324">
                  <c:v>76.05</c:v>
                </c:pt>
                <c:pt idx="2325">
                  <c:v>77.22</c:v>
                </c:pt>
                <c:pt idx="2326">
                  <c:v>79.02</c:v>
                </c:pt>
                <c:pt idx="2327">
                  <c:v>79.02</c:v>
                </c:pt>
                <c:pt idx="2328">
                  <c:v>79.02</c:v>
                </c:pt>
                <c:pt idx="2329">
                  <c:v>81.430000000000007</c:v>
                </c:pt>
                <c:pt idx="2330">
                  <c:v>79.55</c:v>
                </c:pt>
                <c:pt idx="2331">
                  <c:v>78.650000000000006</c:v>
                </c:pt>
                <c:pt idx="2332">
                  <c:v>79.94</c:v>
                </c:pt>
                <c:pt idx="2333">
                  <c:v>78.8</c:v>
                </c:pt>
                <c:pt idx="2334">
                  <c:v>78.8</c:v>
                </c:pt>
                <c:pt idx="2335">
                  <c:v>78.8</c:v>
                </c:pt>
                <c:pt idx="2336">
                  <c:v>77.52</c:v>
                </c:pt>
                <c:pt idx="2337">
                  <c:v>73.75</c:v>
                </c:pt>
                <c:pt idx="2338">
                  <c:v>72.7</c:v>
                </c:pt>
                <c:pt idx="2339">
                  <c:v>72.69</c:v>
                </c:pt>
                <c:pt idx="2340">
                  <c:v>71.06</c:v>
                </c:pt>
                <c:pt idx="2341">
                  <c:v>71.06</c:v>
                </c:pt>
                <c:pt idx="2342">
                  <c:v>71.06</c:v>
                </c:pt>
                <c:pt idx="2343">
                  <c:v>71.84</c:v>
                </c:pt>
                <c:pt idx="2344">
                  <c:v>69.19</c:v>
                </c:pt>
                <c:pt idx="2345">
                  <c:v>70.61</c:v>
                </c:pt>
                <c:pt idx="2346">
                  <c:v>71.97</c:v>
                </c:pt>
                <c:pt idx="2347">
                  <c:v>71.61</c:v>
                </c:pt>
                <c:pt idx="2348">
                  <c:v>71.61</c:v>
                </c:pt>
                <c:pt idx="2349">
                  <c:v>71.61</c:v>
                </c:pt>
                <c:pt idx="2350">
                  <c:v>72.75</c:v>
                </c:pt>
                <c:pt idx="2351">
                  <c:v>73.7</c:v>
                </c:pt>
                <c:pt idx="2352">
                  <c:v>73.650000000000006</c:v>
                </c:pt>
                <c:pt idx="2353">
                  <c:v>74.88</c:v>
                </c:pt>
                <c:pt idx="2354">
                  <c:v>74.489999999999995</c:v>
                </c:pt>
                <c:pt idx="2355">
                  <c:v>74.489999999999995</c:v>
                </c:pt>
                <c:pt idx="2356">
                  <c:v>74.489999999999995</c:v>
                </c:pt>
                <c:pt idx="2357">
                  <c:v>73.900000000000006</c:v>
                </c:pt>
                <c:pt idx="2358">
                  <c:v>75.17</c:v>
                </c:pt>
                <c:pt idx="2359">
                  <c:v>73.459999999999994</c:v>
                </c:pt>
                <c:pt idx="2360">
                  <c:v>71.599999999999994</c:v>
                </c:pt>
                <c:pt idx="2361">
                  <c:v>71.98</c:v>
                </c:pt>
                <c:pt idx="2362">
                  <c:v>71.98</c:v>
                </c:pt>
                <c:pt idx="2363">
                  <c:v>71.98</c:v>
                </c:pt>
                <c:pt idx="2364">
                  <c:v>71.77</c:v>
                </c:pt>
                <c:pt idx="2365">
                  <c:v>73.56</c:v>
                </c:pt>
                <c:pt idx="2366">
                  <c:v>73.900000000000006</c:v>
                </c:pt>
                <c:pt idx="2367">
                  <c:v>77.62</c:v>
                </c:pt>
                <c:pt idx="2368">
                  <c:v>78.05</c:v>
                </c:pt>
                <c:pt idx="2369">
                  <c:v>78.05</c:v>
                </c:pt>
                <c:pt idx="2370">
                  <c:v>78.05</c:v>
                </c:pt>
                <c:pt idx="2371">
                  <c:v>80.930000000000007</c:v>
                </c:pt>
                <c:pt idx="2372">
                  <c:v>77.180000000000007</c:v>
                </c:pt>
                <c:pt idx="2373">
                  <c:v>76.58</c:v>
                </c:pt>
                <c:pt idx="2374">
                  <c:v>79.400000000000006</c:v>
                </c:pt>
                <c:pt idx="2375">
                  <c:v>79.040000000000006</c:v>
                </c:pt>
                <c:pt idx="2376">
                  <c:v>79.040000000000006</c:v>
                </c:pt>
                <c:pt idx="2377">
                  <c:v>79.040000000000006</c:v>
                </c:pt>
                <c:pt idx="2378">
                  <c:v>77.459999999999994</c:v>
                </c:pt>
                <c:pt idx="2379">
                  <c:v>74.25</c:v>
                </c:pt>
                <c:pt idx="2380">
                  <c:v>74.22</c:v>
                </c:pt>
                <c:pt idx="2381">
                  <c:v>74.45</c:v>
                </c:pt>
                <c:pt idx="2382">
                  <c:v>73.06</c:v>
                </c:pt>
                <c:pt idx="2383">
                  <c:v>73.06</c:v>
                </c:pt>
                <c:pt idx="2384">
                  <c:v>73.06</c:v>
                </c:pt>
                <c:pt idx="2385">
                  <c:v>74.290000000000006</c:v>
                </c:pt>
                <c:pt idx="2386">
                  <c:v>76.040000000000006</c:v>
                </c:pt>
                <c:pt idx="2387">
                  <c:v>74.959999999999994</c:v>
                </c:pt>
                <c:pt idx="2388">
                  <c:v>74.38</c:v>
                </c:pt>
                <c:pt idx="2389">
                  <c:v>76.05</c:v>
                </c:pt>
                <c:pt idx="2390">
                  <c:v>76.05</c:v>
                </c:pt>
                <c:pt idx="2391">
                  <c:v>76.05</c:v>
                </c:pt>
                <c:pt idx="2392">
                  <c:v>71.42</c:v>
                </c:pt>
                <c:pt idx="2393">
                  <c:v>71.12</c:v>
                </c:pt>
                <c:pt idx="2394">
                  <c:v>72.55</c:v>
                </c:pt>
                <c:pt idx="2395">
                  <c:v>73.16</c:v>
                </c:pt>
                <c:pt idx="2396">
                  <c:v>73.099999999999994</c:v>
                </c:pt>
                <c:pt idx="2397">
                  <c:v>73.099999999999994</c:v>
                </c:pt>
                <c:pt idx="2398">
                  <c:v>73.099999999999994</c:v>
                </c:pt>
                <c:pt idx="2399">
                  <c:v>75.08</c:v>
                </c:pt>
                <c:pt idx="2400">
                  <c:v>75.53</c:v>
                </c:pt>
                <c:pt idx="2401">
                  <c:v>74.92</c:v>
                </c:pt>
                <c:pt idx="2402">
                  <c:v>75.63</c:v>
                </c:pt>
                <c:pt idx="2403">
                  <c:v>73.87</c:v>
                </c:pt>
                <c:pt idx="2404">
                  <c:v>73.87</c:v>
                </c:pt>
                <c:pt idx="2405">
                  <c:v>73.87</c:v>
                </c:pt>
                <c:pt idx="2406">
                  <c:v>71.83</c:v>
                </c:pt>
                <c:pt idx="2407">
                  <c:v>71.89</c:v>
                </c:pt>
                <c:pt idx="2408">
                  <c:v>72.28</c:v>
                </c:pt>
                <c:pt idx="2409">
                  <c:v>72.56</c:v>
                </c:pt>
                <c:pt idx="2410">
                  <c:v>71.040000000000006</c:v>
                </c:pt>
                <c:pt idx="2411">
                  <c:v>71.040000000000006</c:v>
                </c:pt>
                <c:pt idx="2412">
                  <c:v>71.040000000000006</c:v>
                </c:pt>
                <c:pt idx="2413">
                  <c:v>73.3</c:v>
                </c:pt>
                <c:pt idx="2414">
                  <c:v>73.31</c:v>
                </c:pt>
                <c:pt idx="2415">
                  <c:v>72.81</c:v>
                </c:pt>
                <c:pt idx="2416">
                  <c:v>74.23</c:v>
                </c:pt>
                <c:pt idx="2417">
                  <c:v>75.17</c:v>
                </c:pt>
                <c:pt idx="2418">
                  <c:v>75.17</c:v>
                </c:pt>
                <c:pt idx="2419">
                  <c:v>75.17</c:v>
                </c:pt>
                <c:pt idx="2420">
                  <c:v>73.010000000000005</c:v>
                </c:pt>
                <c:pt idx="2421">
                  <c:v>72.81</c:v>
                </c:pt>
                <c:pt idx="2422">
                  <c:v>72.83</c:v>
                </c:pt>
                <c:pt idx="2423">
                  <c:v>73.28</c:v>
                </c:pt>
                <c:pt idx="2424">
                  <c:v>72.94</c:v>
                </c:pt>
                <c:pt idx="2425">
                  <c:v>72.94</c:v>
                </c:pt>
                <c:pt idx="2426">
                  <c:v>72.94</c:v>
                </c:pt>
                <c:pt idx="2427">
                  <c:v>71.83</c:v>
                </c:pt>
                <c:pt idx="2428">
                  <c:v>73.62</c:v>
                </c:pt>
                <c:pt idx="2429">
                  <c:v>72.31</c:v>
                </c:pt>
                <c:pt idx="2430">
                  <c:v>72.09</c:v>
                </c:pt>
                <c:pt idx="2431">
                  <c:v>71.12</c:v>
                </c:pt>
                <c:pt idx="2432">
                  <c:v>71.12</c:v>
                </c:pt>
                <c:pt idx="2433">
                  <c:v>71.12</c:v>
                </c:pt>
                <c:pt idx="2434">
                  <c:v>72.14</c:v>
                </c:pt>
                <c:pt idx="2435">
                  <c:v>72.19</c:v>
                </c:pt>
                <c:pt idx="2436">
                  <c:v>73.52</c:v>
                </c:pt>
                <c:pt idx="2437">
                  <c:v>73.41</c:v>
                </c:pt>
                <c:pt idx="2438">
                  <c:v>74.489999999999995</c:v>
                </c:pt>
                <c:pt idx="2439">
                  <c:v>74.489999999999995</c:v>
                </c:pt>
                <c:pt idx="2440">
                  <c:v>74.489999999999995</c:v>
                </c:pt>
                <c:pt idx="2441">
                  <c:v>73.91</c:v>
                </c:pt>
                <c:pt idx="2442">
                  <c:v>73.19</c:v>
                </c:pt>
                <c:pt idx="2443">
                  <c:v>73.39</c:v>
                </c:pt>
                <c:pt idx="2444">
                  <c:v>72.88</c:v>
                </c:pt>
                <c:pt idx="2445">
                  <c:v>72.94</c:v>
                </c:pt>
                <c:pt idx="2446">
                  <c:v>72.94</c:v>
                </c:pt>
                <c:pt idx="2447">
                  <c:v>72.94</c:v>
                </c:pt>
                <c:pt idx="2448">
                  <c:v>72.63</c:v>
                </c:pt>
                <c:pt idx="2449">
                  <c:v>73.58</c:v>
                </c:pt>
                <c:pt idx="2450">
                  <c:v>73.58</c:v>
                </c:pt>
                <c:pt idx="2451">
                  <c:v>73.260000000000005</c:v>
                </c:pt>
                <c:pt idx="2452">
                  <c:v>74.17</c:v>
                </c:pt>
                <c:pt idx="2453">
                  <c:v>74.17</c:v>
                </c:pt>
                <c:pt idx="2454">
                  <c:v>74.17</c:v>
                </c:pt>
                <c:pt idx="2455">
                  <c:v>74.39</c:v>
                </c:pt>
                <c:pt idx="2456">
                  <c:v>74.64</c:v>
                </c:pt>
                <c:pt idx="2457">
                  <c:v>74.64</c:v>
                </c:pt>
                <c:pt idx="2458">
                  <c:v>75.930000000000007</c:v>
                </c:pt>
                <c:pt idx="2459">
                  <c:v>76.510000000000005</c:v>
                </c:pt>
                <c:pt idx="2460">
                  <c:v>76.510000000000005</c:v>
                </c:pt>
                <c:pt idx="2461">
                  <c:v>76.510000000000005</c:v>
                </c:pt>
                <c:pt idx="2462">
                  <c:v>76.3</c:v>
                </c:pt>
                <c:pt idx="2463">
                  <c:v>77.05</c:v>
                </c:pt>
                <c:pt idx="2464">
                  <c:v>76.16</c:v>
                </c:pt>
                <c:pt idx="2465">
                  <c:v>76.92</c:v>
                </c:pt>
                <c:pt idx="2466">
                  <c:v>79.760000000000005</c:v>
                </c:pt>
                <c:pt idx="2467">
                  <c:v>79.760000000000005</c:v>
                </c:pt>
                <c:pt idx="2468">
                  <c:v>79.760000000000005</c:v>
                </c:pt>
                <c:pt idx="2469">
                  <c:v>81.010000000000005</c:v>
                </c:pt>
                <c:pt idx="2470">
                  <c:v>79.92</c:v>
                </c:pt>
                <c:pt idx="2471">
                  <c:v>82.03</c:v>
                </c:pt>
                <c:pt idx="2472">
                  <c:v>81.290000000000006</c:v>
                </c:pt>
                <c:pt idx="2473">
                  <c:v>80.790000000000006</c:v>
                </c:pt>
                <c:pt idx="2474">
                  <c:v>80.790000000000006</c:v>
                </c:pt>
                <c:pt idx="2475">
                  <c:v>80.790000000000006</c:v>
                </c:pt>
                <c:pt idx="2476">
                  <c:v>80.150000000000006</c:v>
                </c:pt>
                <c:pt idx="2477">
                  <c:v>79.290000000000006</c:v>
                </c:pt>
                <c:pt idx="2478">
                  <c:v>79</c:v>
                </c:pt>
                <c:pt idx="2479">
                  <c:v>78.290000000000006</c:v>
                </c:pt>
                <c:pt idx="2480">
                  <c:v>78.5</c:v>
                </c:pt>
                <c:pt idx="2481">
                  <c:v>78.5</c:v>
                </c:pt>
                <c:pt idx="2482">
                  <c:v>78.5</c:v>
                </c:pt>
                <c:pt idx="2483">
                  <c:v>77.08</c:v>
                </c:pt>
                <c:pt idx="2484">
                  <c:v>77.489999999999995</c:v>
                </c:pt>
                <c:pt idx="2485">
                  <c:v>76.58</c:v>
                </c:pt>
                <c:pt idx="2486">
                  <c:v>76.87</c:v>
                </c:pt>
                <c:pt idx="2487">
                  <c:v>76.760000000000005</c:v>
                </c:pt>
                <c:pt idx="2488">
                  <c:v>76.760000000000005</c:v>
                </c:pt>
                <c:pt idx="2489">
                  <c:v>76.760000000000005</c:v>
                </c:pt>
                <c:pt idx="2490">
                  <c:v>75.959999999999994</c:v>
                </c:pt>
                <c:pt idx="2491">
                  <c:v>76.2</c:v>
                </c:pt>
                <c:pt idx="2492">
                  <c:v>74.61</c:v>
                </c:pt>
                <c:pt idx="2493">
                  <c:v>74.290000000000006</c:v>
                </c:pt>
                <c:pt idx="2494">
                  <c:v>74.66</c:v>
                </c:pt>
                <c:pt idx="2495">
                  <c:v>74.66</c:v>
                </c:pt>
                <c:pt idx="2496">
                  <c:v>74.66</c:v>
                </c:pt>
                <c:pt idx="2497">
                  <c:v>75.87</c:v>
                </c:pt>
                <c:pt idx="2498">
                  <c:v>77</c:v>
                </c:pt>
                <c:pt idx="2499">
                  <c:v>75.180000000000007</c:v>
                </c:pt>
                <c:pt idx="2500">
                  <c:v>75.02</c:v>
                </c:pt>
                <c:pt idx="2501">
                  <c:v>74.739999999999995</c:v>
                </c:pt>
                <c:pt idx="2502">
                  <c:v>74.739999999999995</c:v>
                </c:pt>
                <c:pt idx="2503">
                  <c:v>74.739999999999995</c:v>
                </c:pt>
                <c:pt idx="2504">
                  <c:v>75.22</c:v>
                </c:pt>
                <c:pt idx="2505">
                  <c:v>75.84</c:v>
                </c:pt>
                <c:pt idx="2506">
                  <c:v>76.040000000000006</c:v>
                </c:pt>
                <c:pt idx="2507">
                  <c:v>76.48</c:v>
                </c:pt>
                <c:pt idx="2508">
                  <c:v>74.430000000000007</c:v>
                </c:pt>
                <c:pt idx="2509">
                  <c:v>74.430000000000007</c:v>
                </c:pt>
                <c:pt idx="2510">
                  <c:v>74.430000000000007</c:v>
                </c:pt>
                <c:pt idx="2511">
                  <c:v>74.78</c:v>
                </c:pt>
                <c:pt idx="2512">
                  <c:v>73.02</c:v>
                </c:pt>
                <c:pt idx="2513">
                  <c:v>72.53</c:v>
                </c:pt>
                <c:pt idx="2514">
                  <c:v>74.040000000000006</c:v>
                </c:pt>
                <c:pt idx="2515">
                  <c:v>73.180000000000007</c:v>
                </c:pt>
                <c:pt idx="2516">
                  <c:v>73.180000000000007</c:v>
                </c:pt>
                <c:pt idx="2517">
                  <c:v>73.180000000000007</c:v>
                </c:pt>
                <c:pt idx="2518">
                  <c:v>71.62</c:v>
                </c:pt>
                <c:pt idx="2519">
                  <c:v>71.040000000000006</c:v>
                </c:pt>
                <c:pt idx="2520">
                  <c:v>69.3</c:v>
                </c:pt>
                <c:pt idx="2521">
                  <c:v>69.459999999999994</c:v>
                </c:pt>
                <c:pt idx="2522">
                  <c:v>70.36</c:v>
                </c:pt>
                <c:pt idx="2523">
                  <c:v>70.36</c:v>
                </c:pt>
                <c:pt idx="2524">
                  <c:v>70.36</c:v>
                </c:pt>
                <c:pt idx="2525">
                  <c:v>69.28</c:v>
                </c:pt>
                <c:pt idx="2526">
                  <c:v>69.56</c:v>
                </c:pt>
                <c:pt idx="2527">
                  <c:v>70.95</c:v>
                </c:pt>
                <c:pt idx="2528">
                  <c:v>69.88</c:v>
                </c:pt>
                <c:pt idx="2529">
                  <c:v>70.58</c:v>
                </c:pt>
                <c:pt idx="2530">
                  <c:v>70.58</c:v>
                </c:pt>
                <c:pt idx="2531">
                  <c:v>70.58</c:v>
                </c:pt>
                <c:pt idx="2532">
                  <c:v>71.069999999999993</c:v>
                </c:pt>
                <c:pt idx="2533">
                  <c:v>70.56</c:v>
                </c:pt>
                <c:pt idx="2534">
                  <c:v>70.78</c:v>
                </c:pt>
                <c:pt idx="2535">
                  <c:v>72</c:v>
                </c:pt>
                <c:pt idx="2536">
                  <c:v>72.16</c:v>
                </c:pt>
                <c:pt idx="2537">
                  <c:v>72.16</c:v>
                </c:pt>
                <c:pt idx="2538">
                  <c:v>72.16</c:v>
                </c:pt>
                <c:pt idx="2539">
                  <c:v>73</c:v>
                </c:pt>
                <c:pt idx="2540">
                  <c:v>73.02</c:v>
                </c:pt>
                <c:pt idx="2541">
                  <c:v>73.790000000000006</c:v>
                </c:pt>
                <c:pt idx="2542">
                  <c:v>74.03</c:v>
                </c:pt>
                <c:pt idx="2543">
                  <c:v>73.63</c:v>
                </c:pt>
                <c:pt idx="2544">
                  <c:v>73.63</c:v>
                </c:pt>
                <c:pt idx="2545">
                  <c:v>73.63</c:v>
                </c:pt>
                <c:pt idx="2546">
                  <c:v>74.739999999999995</c:v>
                </c:pt>
                <c:pt idx="2547">
                  <c:v>74.489999999999995</c:v>
                </c:pt>
                <c:pt idx="2548">
                  <c:v>74.95</c:v>
                </c:pt>
                <c:pt idx="2549">
                  <c:v>70.14</c:v>
                </c:pt>
                <c:pt idx="2550">
                  <c:v>65.58</c:v>
                </c:pt>
                <c:pt idx="2551">
                  <c:v>65.58</c:v>
                </c:pt>
                <c:pt idx="2552">
                  <c:v>65.58</c:v>
                </c:pt>
                <c:pt idx="2553">
                  <c:v>64.209999999999994</c:v>
                </c:pt>
                <c:pt idx="2554">
                  <c:v>62.82</c:v>
                </c:pt>
                <c:pt idx="2555">
                  <c:v>65.48</c:v>
                </c:pt>
                <c:pt idx="2556">
                  <c:v>63.33</c:v>
                </c:pt>
                <c:pt idx="2557">
                  <c:v>64.760000000000005</c:v>
                </c:pt>
                <c:pt idx="2558">
                  <c:v>64.760000000000005</c:v>
                </c:pt>
                <c:pt idx="2559">
                  <c:v>64.760000000000005</c:v>
                </c:pt>
                <c:pt idx="2560">
                  <c:v>64.88</c:v>
                </c:pt>
                <c:pt idx="2561">
                  <c:v>64.67</c:v>
                </c:pt>
                <c:pt idx="2562">
                  <c:v>65.849999999999994</c:v>
                </c:pt>
              </c:numCache>
            </c:numRef>
          </c:val>
          <c:smooth val="0"/>
          <c:extLst xmlns:c16r2="http://schemas.microsoft.com/office/drawing/2015/06/chart">
            <c:ext xmlns:c16="http://schemas.microsoft.com/office/drawing/2014/chart" uri="{C3380CC4-5D6E-409C-BE32-E72D297353CC}">
              <c16:uniqueId val="{00000000-B85D-42E1-89D0-357D0281992C}"/>
            </c:ext>
          </c:extLst>
        </c:ser>
        <c:ser>
          <c:idx val="1"/>
          <c:order val="1"/>
          <c:tx>
            <c:strRef>
              <c:f>'3大现货价格'!$M$3996</c:f>
              <c:strCache>
                <c:ptCount val="1"/>
                <c:pt idx="0">
                  <c:v>WTI</c:v>
                </c:pt>
              </c:strCache>
            </c:strRef>
          </c:tx>
          <c:spPr>
            <a:ln w="19050" cap="rnd" cmpd="sng" algn="ctr">
              <a:solidFill>
                <a:srgbClr val="179FE3"/>
              </a:solidFill>
              <a:prstDash val="solid"/>
              <a:round/>
            </a:ln>
          </c:spPr>
          <c:marker>
            <c:symbol val="none"/>
          </c:marker>
          <c:cat>
            <c:strRef>
              <c:f>'3大现货价格'!$H$3000:$H$5562</c:f>
              <c:strCache>
                <c:ptCount val="2182"/>
                <c:pt idx="0">
                  <c:v>4月
2018</c:v>
                </c:pt>
                <c:pt idx="1">
                  <c:v>4月
2018</c:v>
                </c:pt>
                <c:pt idx="2">
                  <c:v>4月
2018</c:v>
                </c:pt>
                <c:pt idx="3">
                  <c:v>4月
2018</c:v>
                </c:pt>
                <c:pt idx="4">
                  <c:v>4月
2018</c:v>
                </c:pt>
                <c:pt idx="5">
                  <c:v>4月
2018</c:v>
                </c:pt>
                <c:pt idx="6">
                  <c:v>4月
2018</c:v>
                </c:pt>
                <c:pt idx="7">
                  <c:v>4月
2018</c:v>
                </c:pt>
                <c:pt idx="8">
                  <c:v>4月
2018</c:v>
                </c:pt>
                <c:pt idx="9">
                  <c:v>4月
2018</c:v>
                </c:pt>
                <c:pt idx="10">
                  <c:v>4月
2018</c:v>
                </c:pt>
                <c:pt idx="11">
                  <c:v>4月
2018</c:v>
                </c:pt>
                <c:pt idx="12">
                  <c:v>4月
2018</c:v>
                </c:pt>
                <c:pt idx="13">
                  <c:v>4月
2018</c:v>
                </c:pt>
                <c:pt idx="14">
                  <c:v>4月
2018</c:v>
                </c:pt>
                <c:pt idx="15">
                  <c:v>4月
2018</c:v>
                </c:pt>
                <c:pt idx="16">
                  <c:v>4月
2018</c:v>
                </c:pt>
                <c:pt idx="17">
                  <c:v>4月
2018</c:v>
                </c:pt>
                <c:pt idx="18">
                  <c:v>4月
2018</c:v>
                </c:pt>
                <c:pt idx="19">
                  <c:v>4月
2018</c:v>
                </c:pt>
                <c:pt idx="20">
                  <c:v>5月</c:v>
                </c:pt>
                <c:pt idx="21">
                  <c:v>5月</c:v>
                </c:pt>
                <c:pt idx="22">
                  <c:v>5月</c:v>
                </c:pt>
                <c:pt idx="23">
                  <c:v>5月</c:v>
                </c:pt>
                <c:pt idx="24">
                  <c:v>5月</c:v>
                </c:pt>
                <c:pt idx="25">
                  <c:v>5月</c:v>
                </c:pt>
                <c:pt idx="26">
                  <c:v>5月</c:v>
                </c:pt>
                <c:pt idx="27">
                  <c:v>5月</c:v>
                </c:pt>
                <c:pt idx="28">
                  <c:v>5月</c:v>
                </c:pt>
                <c:pt idx="29">
                  <c:v>5月</c:v>
                </c:pt>
                <c:pt idx="30">
                  <c:v>5月</c:v>
                </c:pt>
                <c:pt idx="31">
                  <c:v>5月</c:v>
                </c:pt>
                <c:pt idx="32">
                  <c:v>5月</c:v>
                </c:pt>
                <c:pt idx="33">
                  <c:v>5月</c:v>
                </c:pt>
                <c:pt idx="34">
                  <c:v>5月</c:v>
                </c:pt>
                <c:pt idx="35">
                  <c:v>5月</c:v>
                </c:pt>
                <c:pt idx="36">
                  <c:v>5月</c:v>
                </c:pt>
                <c:pt idx="37">
                  <c:v>5月</c:v>
                </c:pt>
                <c:pt idx="38">
                  <c:v>5月</c:v>
                </c:pt>
                <c:pt idx="39">
                  <c:v>5月</c:v>
                </c:pt>
                <c:pt idx="40">
                  <c:v>5月</c:v>
                </c:pt>
                <c:pt idx="41">
                  <c:v>5月</c:v>
                </c:pt>
                <c:pt idx="42">
                  <c:v>5月</c:v>
                </c:pt>
                <c:pt idx="43">
                  <c:v>5月</c:v>
                </c:pt>
                <c:pt idx="44">
                  <c:v>5月</c:v>
                </c:pt>
                <c:pt idx="45">
                  <c:v>5月</c:v>
                </c:pt>
                <c:pt idx="46">
                  <c:v>5月</c:v>
                </c:pt>
                <c:pt idx="47">
                  <c:v>5月</c:v>
                </c:pt>
                <c:pt idx="48">
                  <c:v>5月</c:v>
                </c:pt>
                <c:pt idx="49">
                  <c:v>5月</c:v>
                </c:pt>
                <c:pt idx="50">
                  <c:v>5月</c:v>
                </c:pt>
                <c:pt idx="51">
                  <c:v>6月</c:v>
                </c:pt>
                <c:pt idx="52">
                  <c:v>6月</c:v>
                </c:pt>
                <c:pt idx="53">
                  <c:v>6月</c:v>
                </c:pt>
                <c:pt idx="54">
                  <c:v>6月</c:v>
                </c:pt>
                <c:pt idx="55">
                  <c:v>6月</c:v>
                </c:pt>
                <c:pt idx="56">
                  <c:v>6月</c:v>
                </c:pt>
                <c:pt idx="57">
                  <c:v>6月</c:v>
                </c:pt>
                <c:pt idx="58">
                  <c:v>6月</c:v>
                </c:pt>
                <c:pt idx="59">
                  <c:v>6月</c:v>
                </c:pt>
                <c:pt idx="60">
                  <c:v>6月</c:v>
                </c:pt>
                <c:pt idx="61">
                  <c:v>6月</c:v>
                </c:pt>
                <c:pt idx="62">
                  <c:v>6月</c:v>
                </c:pt>
                <c:pt idx="63">
                  <c:v>6月</c:v>
                </c:pt>
                <c:pt idx="64">
                  <c:v>6月</c:v>
                </c:pt>
                <c:pt idx="65">
                  <c:v>6月</c:v>
                </c:pt>
                <c:pt idx="66">
                  <c:v>6月</c:v>
                </c:pt>
                <c:pt idx="67">
                  <c:v>6月</c:v>
                </c:pt>
                <c:pt idx="68">
                  <c:v>6月</c:v>
                </c:pt>
                <c:pt idx="69">
                  <c:v>6月</c:v>
                </c:pt>
                <c:pt idx="70">
                  <c:v>6月</c:v>
                </c:pt>
                <c:pt idx="71">
                  <c:v>6月</c:v>
                </c:pt>
                <c:pt idx="72">
                  <c:v>6月</c:v>
                </c:pt>
                <c:pt idx="73">
                  <c:v>6月</c:v>
                </c:pt>
                <c:pt idx="74">
                  <c:v>6月</c:v>
                </c:pt>
                <c:pt idx="75">
                  <c:v>6月</c:v>
                </c:pt>
                <c:pt idx="76">
                  <c:v>6月</c:v>
                </c:pt>
                <c:pt idx="77">
                  <c:v>6月</c:v>
                </c:pt>
                <c:pt idx="78">
                  <c:v>6月</c:v>
                </c:pt>
                <c:pt idx="79">
                  <c:v>6月</c:v>
                </c:pt>
                <c:pt idx="80">
                  <c:v>6月</c:v>
                </c:pt>
                <c:pt idx="81">
                  <c:v>7月</c:v>
                </c:pt>
                <c:pt idx="82">
                  <c:v>7月</c:v>
                </c:pt>
                <c:pt idx="83">
                  <c:v>7月</c:v>
                </c:pt>
                <c:pt idx="84">
                  <c:v>7月</c:v>
                </c:pt>
                <c:pt idx="85">
                  <c:v>7月</c:v>
                </c:pt>
                <c:pt idx="86">
                  <c:v>7月</c:v>
                </c:pt>
                <c:pt idx="87">
                  <c:v>7月</c:v>
                </c:pt>
                <c:pt idx="88">
                  <c:v>7月</c:v>
                </c:pt>
                <c:pt idx="89">
                  <c:v>7月</c:v>
                </c:pt>
                <c:pt idx="90">
                  <c:v>7月</c:v>
                </c:pt>
                <c:pt idx="91">
                  <c:v>7月</c:v>
                </c:pt>
                <c:pt idx="92">
                  <c:v>7月</c:v>
                </c:pt>
                <c:pt idx="93">
                  <c:v>7月</c:v>
                </c:pt>
                <c:pt idx="94">
                  <c:v>7月</c:v>
                </c:pt>
                <c:pt idx="95">
                  <c:v>7月</c:v>
                </c:pt>
                <c:pt idx="96">
                  <c:v>7月</c:v>
                </c:pt>
                <c:pt idx="97">
                  <c:v>7月</c:v>
                </c:pt>
                <c:pt idx="98">
                  <c:v>7月</c:v>
                </c:pt>
                <c:pt idx="99">
                  <c:v>7月</c:v>
                </c:pt>
                <c:pt idx="100">
                  <c:v>7月</c:v>
                </c:pt>
                <c:pt idx="101">
                  <c:v>7月</c:v>
                </c:pt>
                <c:pt idx="102">
                  <c:v>7月</c:v>
                </c:pt>
                <c:pt idx="103">
                  <c:v>7月</c:v>
                </c:pt>
                <c:pt idx="104">
                  <c:v>7月</c:v>
                </c:pt>
                <c:pt idx="105">
                  <c:v>7月</c:v>
                </c:pt>
                <c:pt idx="106">
                  <c:v>7月</c:v>
                </c:pt>
                <c:pt idx="107">
                  <c:v>7月</c:v>
                </c:pt>
                <c:pt idx="108">
                  <c:v>7月</c:v>
                </c:pt>
                <c:pt idx="109">
                  <c:v>7月</c:v>
                </c:pt>
                <c:pt idx="110">
                  <c:v>7月</c:v>
                </c:pt>
                <c:pt idx="111">
                  <c:v>7月</c:v>
                </c:pt>
                <c:pt idx="112">
                  <c:v>8月</c:v>
                </c:pt>
                <c:pt idx="113">
                  <c:v>8月</c:v>
                </c:pt>
                <c:pt idx="114">
                  <c:v>8月</c:v>
                </c:pt>
                <c:pt idx="115">
                  <c:v>8月</c:v>
                </c:pt>
                <c:pt idx="116">
                  <c:v>8月</c:v>
                </c:pt>
                <c:pt idx="117">
                  <c:v>8月</c:v>
                </c:pt>
                <c:pt idx="118">
                  <c:v>8月</c:v>
                </c:pt>
                <c:pt idx="119">
                  <c:v>8月</c:v>
                </c:pt>
                <c:pt idx="120">
                  <c:v>8月</c:v>
                </c:pt>
                <c:pt idx="121">
                  <c:v>8月</c:v>
                </c:pt>
                <c:pt idx="122">
                  <c:v>8月</c:v>
                </c:pt>
                <c:pt idx="123">
                  <c:v>8月</c:v>
                </c:pt>
                <c:pt idx="124">
                  <c:v>8月</c:v>
                </c:pt>
                <c:pt idx="125">
                  <c:v>8月</c:v>
                </c:pt>
                <c:pt idx="126">
                  <c:v>8月</c:v>
                </c:pt>
                <c:pt idx="127">
                  <c:v>8月</c:v>
                </c:pt>
                <c:pt idx="128">
                  <c:v>8月</c:v>
                </c:pt>
                <c:pt idx="129">
                  <c:v>8月</c:v>
                </c:pt>
                <c:pt idx="130">
                  <c:v>8月</c:v>
                </c:pt>
                <c:pt idx="131">
                  <c:v>8月</c:v>
                </c:pt>
                <c:pt idx="132">
                  <c:v>8月</c:v>
                </c:pt>
                <c:pt idx="133">
                  <c:v>8月</c:v>
                </c:pt>
                <c:pt idx="134">
                  <c:v>8月</c:v>
                </c:pt>
                <c:pt idx="135">
                  <c:v>8月</c:v>
                </c:pt>
                <c:pt idx="136">
                  <c:v>8月</c:v>
                </c:pt>
                <c:pt idx="137">
                  <c:v>8月</c:v>
                </c:pt>
                <c:pt idx="138">
                  <c:v>8月</c:v>
                </c:pt>
                <c:pt idx="139">
                  <c:v>8月</c:v>
                </c:pt>
                <c:pt idx="140">
                  <c:v>8月</c:v>
                </c:pt>
                <c:pt idx="141">
                  <c:v>8月</c:v>
                </c:pt>
                <c:pt idx="142">
                  <c:v>8月</c:v>
                </c:pt>
                <c:pt idx="143">
                  <c:v>9月</c:v>
                </c:pt>
                <c:pt idx="144">
                  <c:v>9月</c:v>
                </c:pt>
                <c:pt idx="145">
                  <c:v>9月</c:v>
                </c:pt>
                <c:pt idx="146">
                  <c:v>9月</c:v>
                </c:pt>
                <c:pt idx="147">
                  <c:v>9月</c:v>
                </c:pt>
                <c:pt idx="148">
                  <c:v>9月</c:v>
                </c:pt>
                <c:pt idx="149">
                  <c:v>9月</c:v>
                </c:pt>
                <c:pt idx="150">
                  <c:v>9月</c:v>
                </c:pt>
                <c:pt idx="151">
                  <c:v>9月</c:v>
                </c:pt>
                <c:pt idx="152">
                  <c:v>9月</c:v>
                </c:pt>
                <c:pt idx="153">
                  <c:v>9月</c:v>
                </c:pt>
                <c:pt idx="154">
                  <c:v>9月</c:v>
                </c:pt>
                <c:pt idx="155">
                  <c:v>9月</c:v>
                </c:pt>
                <c:pt idx="156">
                  <c:v>9月</c:v>
                </c:pt>
                <c:pt idx="157">
                  <c:v>9月</c:v>
                </c:pt>
                <c:pt idx="158">
                  <c:v>9月</c:v>
                </c:pt>
                <c:pt idx="159">
                  <c:v>9月</c:v>
                </c:pt>
                <c:pt idx="160">
                  <c:v>9月</c:v>
                </c:pt>
                <c:pt idx="161">
                  <c:v>9月</c:v>
                </c:pt>
                <c:pt idx="162">
                  <c:v>9月</c:v>
                </c:pt>
                <c:pt idx="163">
                  <c:v>9月</c:v>
                </c:pt>
                <c:pt idx="164">
                  <c:v>9月</c:v>
                </c:pt>
                <c:pt idx="165">
                  <c:v>9月</c:v>
                </c:pt>
                <c:pt idx="166">
                  <c:v>9月</c:v>
                </c:pt>
                <c:pt idx="167">
                  <c:v>9月</c:v>
                </c:pt>
                <c:pt idx="168">
                  <c:v>9月</c:v>
                </c:pt>
                <c:pt idx="169">
                  <c:v>9月</c:v>
                </c:pt>
                <c:pt idx="170">
                  <c:v>9月</c:v>
                </c:pt>
                <c:pt idx="171">
                  <c:v>9月</c:v>
                </c:pt>
                <c:pt idx="172">
                  <c:v>9月</c:v>
                </c:pt>
                <c:pt idx="173">
                  <c:v>10月</c:v>
                </c:pt>
                <c:pt idx="174">
                  <c:v>10月</c:v>
                </c:pt>
                <c:pt idx="175">
                  <c:v>10月</c:v>
                </c:pt>
                <c:pt idx="176">
                  <c:v>10月</c:v>
                </c:pt>
                <c:pt idx="177">
                  <c:v>10月</c:v>
                </c:pt>
                <c:pt idx="178">
                  <c:v>10月</c:v>
                </c:pt>
                <c:pt idx="179">
                  <c:v>10月</c:v>
                </c:pt>
                <c:pt idx="180">
                  <c:v>10月</c:v>
                </c:pt>
                <c:pt idx="181">
                  <c:v>10月</c:v>
                </c:pt>
                <c:pt idx="182">
                  <c:v>10月</c:v>
                </c:pt>
                <c:pt idx="183">
                  <c:v>10月</c:v>
                </c:pt>
                <c:pt idx="184">
                  <c:v>10月</c:v>
                </c:pt>
                <c:pt idx="185">
                  <c:v>10月</c:v>
                </c:pt>
                <c:pt idx="186">
                  <c:v>10月</c:v>
                </c:pt>
                <c:pt idx="187">
                  <c:v>10月</c:v>
                </c:pt>
                <c:pt idx="188">
                  <c:v>10月</c:v>
                </c:pt>
                <c:pt idx="189">
                  <c:v>10月</c:v>
                </c:pt>
                <c:pt idx="190">
                  <c:v>10月</c:v>
                </c:pt>
                <c:pt idx="191">
                  <c:v>10月</c:v>
                </c:pt>
                <c:pt idx="192">
                  <c:v>10月</c:v>
                </c:pt>
                <c:pt idx="193">
                  <c:v>10月</c:v>
                </c:pt>
                <c:pt idx="194">
                  <c:v>10月</c:v>
                </c:pt>
                <c:pt idx="195">
                  <c:v>10月</c:v>
                </c:pt>
                <c:pt idx="196">
                  <c:v>10月</c:v>
                </c:pt>
                <c:pt idx="197">
                  <c:v>10月</c:v>
                </c:pt>
                <c:pt idx="198">
                  <c:v>10月</c:v>
                </c:pt>
                <c:pt idx="199">
                  <c:v>10月</c:v>
                </c:pt>
                <c:pt idx="200">
                  <c:v>10月</c:v>
                </c:pt>
                <c:pt idx="201">
                  <c:v>10月</c:v>
                </c:pt>
                <c:pt idx="202">
                  <c:v>10月</c:v>
                </c:pt>
                <c:pt idx="203">
                  <c:v>10月</c:v>
                </c:pt>
                <c:pt idx="204">
                  <c:v>11月</c:v>
                </c:pt>
                <c:pt idx="205">
                  <c:v>11月</c:v>
                </c:pt>
                <c:pt idx="206">
                  <c:v>11月</c:v>
                </c:pt>
                <c:pt idx="207">
                  <c:v>11月</c:v>
                </c:pt>
                <c:pt idx="208">
                  <c:v>11月</c:v>
                </c:pt>
                <c:pt idx="209">
                  <c:v>11月</c:v>
                </c:pt>
                <c:pt idx="210">
                  <c:v>11月</c:v>
                </c:pt>
                <c:pt idx="211">
                  <c:v>11月</c:v>
                </c:pt>
                <c:pt idx="212">
                  <c:v>11月</c:v>
                </c:pt>
                <c:pt idx="213">
                  <c:v>11月</c:v>
                </c:pt>
                <c:pt idx="214">
                  <c:v>11月</c:v>
                </c:pt>
                <c:pt idx="215">
                  <c:v>11月</c:v>
                </c:pt>
                <c:pt idx="216">
                  <c:v>11月</c:v>
                </c:pt>
                <c:pt idx="217">
                  <c:v>11月</c:v>
                </c:pt>
                <c:pt idx="218">
                  <c:v>11月</c:v>
                </c:pt>
                <c:pt idx="219">
                  <c:v>11月</c:v>
                </c:pt>
                <c:pt idx="220">
                  <c:v>11月</c:v>
                </c:pt>
                <c:pt idx="221">
                  <c:v>11月</c:v>
                </c:pt>
                <c:pt idx="222">
                  <c:v>11月</c:v>
                </c:pt>
                <c:pt idx="223">
                  <c:v>11月</c:v>
                </c:pt>
                <c:pt idx="224">
                  <c:v>11月</c:v>
                </c:pt>
                <c:pt idx="225">
                  <c:v>11月</c:v>
                </c:pt>
                <c:pt idx="226">
                  <c:v>11月</c:v>
                </c:pt>
                <c:pt idx="227">
                  <c:v>11月</c:v>
                </c:pt>
                <c:pt idx="228">
                  <c:v>11月</c:v>
                </c:pt>
                <c:pt idx="229">
                  <c:v>11月</c:v>
                </c:pt>
                <c:pt idx="230">
                  <c:v>11月</c:v>
                </c:pt>
                <c:pt idx="231">
                  <c:v>11月</c:v>
                </c:pt>
                <c:pt idx="232">
                  <c:v>11月</c:v>
                </c:pt>
                <c:pt idx="233">
                  <c:v>11月</c:v>
                </c:pt>
                <c:pt idx="234">
                  <c:v>12月</c:v>
                </c:pt>
                <c:pt idx="235">
                  <c:v>12月</c:v>
                </c:pt>
                <c:pt idx="236">
                  <c:v>12月</c:v>
                </c:pt>
                <c:pt idx="237">
                  <c:v>12月</c:v>
                </c:pt>
                <c:pt idx="238">
                  <c:v>12月</c:v>
                </c:pt>
                <c:pt idx="239">
                  <c:v>12月</c:v>
                </c:pt>
                <c:pt idx="240">
                  <c:v>12月</c:v>
                </c:pt>
                <c:pt idx="241">
                  <c:v>12月</c:v>
                </c:pt>
                <c:pt idx="242">
                  <c:v>12月</c:v>
                </c:pt>
                <c:pt idx="243">
                  <c:v>12月</c:v>
                </c:pt>
                <c:pt idx="244">
                  <c:v>12月</c:v>
                </c:pt>
                <c:pt idx="245">
                  <c:v>12月</c:v>
                </c:pt>
                <c:pt idx="246">
                  <c:v>12月</c:v>
                </c:pt>
                <c:pt idx="247">
                  <c:v>12月</c:v>
                </c:pt>
                <c:pt idx="248">
                  <c:v>12月</c:v>
                </c:pt>
                <c:pt idx="249">
                  <c:v>12月</c:v>
                </c:pt>
                <c:pt idx="250">
                  <c:v>12月</c:v>
                </c:pt>
                <c:pt idx="251">
                  <c:v>12月</c:v>
                </c:pt>
                <c:pt idx="252">
                  <c:v>12月</c:v>
                </c:pt>
                <c:pt idx="253">
                  <c:v>12月</c:v>
                </c:pt>
                <c:pt idx="254">
                  <c:v>12月</c:v>
                </c:pt>
                <c:pt idx="255">
                  <c:v>12月</c:v>
                </c:pt>
                <c:pt idx="256">
                  <c:v>12月</c:v>
                </c:pt>
                <c:pt idx="257">
                  <c:v>12月</c:v>
                </c:pt>
                <c:pt idx="258">
                  <c:v>12月</c:v>
                </c:pt>
                <c:pt idx="259">
                  <c:v>12月</c:v>
                </c:pt>
                <c:pt idx="260">
                  <c:v>12月</c:v>
                </c:pt>
                <c:pt idx="261">
                  <c:v>12月</c:v>
                </c:pt>
                <c:pt idx="262">
                  <c:v>12月</c:v>
                </c:pt>
                <c:pt idx="263">
                  <c:v>12月</c:v>
                </c:pt>
                <c:pt idx="264">
                  <c:v>12月</c:v>
                </c:pt>
                <c:pt idx="265">
                  <c:v>1月
2019</c:v>
                </c:pt>
                <c:pt idx="266">
                  <c:v>1月
2019</c:v>
                </c:pt>
                <c:pt idx="267">
                  <c:v>1月
2019</c:v>
                </c:pt>
                <c:pt idx="268">
                  <c:v>1月
2019</c:v>
                </c:pt>
                <c:pt idx="269">
                  <c:v>1月
2019</c:v>
                </c:pt>
                <c:pt idx="270">
                  <c:v>1月
2019</c:v>
                </c:pt>
                <c:pt idx="271">
                  <c:v>1月
2019</c:v>
                </c:pt>
                <c:pt idx="272">
                  <c:v>1月
2019</c:v>
                </c:pt>
                <c:pt idx="273">
                  <c:v>1月
2019</c:v>
                </c:pt>
                <c:pt idx="274">
                  <c:v>1月
2019</c:v>
                </c:pt>
                <c:pt idx="275">
                  <c:v>1月
2019</c:v>
                </c:pt>
                <c:pt idx="276">
                  <c:v>1月
2019</c:v>
                </c:pt>
                <c:pt idx="277">
                  <c:v>1月
2019</c:v>
                </c:pt>
                <c:pt idx="278">
                  <c:v>1月
2019</c:v>
                </c:pt>
                <c:pt idx="279">
                  <c:v>1月
2019</c:v>
                </c:pt>
                <c:pt idx="280">
                  <c:v>1月
2019</c:v>
                </c:pt>
                <c:pt idx="281">
                  <c:v>1月
2019</c:v>
                </c:pt>
                <c:pt idx="282">
                  <c:v>1月
2019</c:v>
                </c:pt>
                <c:pt idx="283">
                  <c:v>1月
2019</c:v>
                </c:pt>
                <c:pt idx="284">
                  <c:v>1月
2019</c:v>
                </c:pt>
                <c:pt idx="285">
                  <c:v>1月
2019</c:v>
                </c:pt>
                <c:pt idx="286">
                  <c:v>1月
2019</c:v>
                </c:pt>
                <c:pt idx="287">
                  <c:v>1月
2019</c:v>
                </c:pt>
                <c:pt idx="288">
                  <c:v>1月
2019</c:v>
                </c:pt>
                <c:pt idx="289">
                  <c:v>1月
2019</c:v>
                </c:pt>
                <c:pt idx="290">
                  <c:v>1月
2019</c:v>
                </c:pt>
                <c:pt idx="291">
                  <c:v>1月
2019</c:v>
                </c:pt>
                <c:pt idx="292">
                  <c:v>1月
2019</c:v>
                </c:pt>
                <c:pt idx="293">
                  <c:v>1月
2019</c:v>
                </c:pt>
                <c:pt idx="294">
                  <c:v>1月
2019</c:v>
                </c:pt>
                <c:pt idx="295">
                  <c:v>1月
2019</c:v>
                </c:pt>
                <c:pt idx="296">
                  <c:v>2月</c:v>
                </c:pt>
                <c:pt idx="297">
                  <c:v>2月</c:v>
                </c:pt>
                <c:pt idx="298">
                  <c:v>2月</c:v>
                </c:pt>
                <c:pt idx="299">
                  <c:v>2月</c:v>
                </c:pt>
                <c:pt idx="300">
                  <c:v>2月</c:v>
                </c:pt>
                <c:pt idx="301">
                  <c:v>2月</c:v>
                </c:pt>
                <c:pt idx="302">
                  <c:v>2月</c:v>
                </c:pt>
                <c:pt idx="303">
                  <c:v>2月</c:v>
                </c:pt>
                <c:pt idx="304">
                  <c:v>2月</c:v>
                </c:pt>
                <c:pt idx="305">
                  <c:v>2月</c:v>
                </c:pt>
                <c:pt idx="306">
                  <c:v>2月</c:v>
                </c:pt>
                <c:pt idx="307">
                  <c:v>2月</c:v>
                </c:pt>
                <c:pt idx="308">
                  <c:v>2月</c:v>
                </c:pt>
                <c:pt idx="309">
                  <c:v>2月</c:v>
                </c:pt>
                <c:pt idx="310">
                  <c:v>2月</c:v>
                </c:pt>
                <c:pt idx="311">
                  <c:v>2月</c:v>
                </c:pt>
                <c:pt idx="312">
                  <c:v>2月</c:v>
                </c:pt>
                <c:pt idx="313">
                  <c:v>2月</c:v>
                </c:pt>
                <c:pt idx="314">
                  <c:v>2月</c:v>
                </c:pt>
                <c:pt idx="315">
                  <c:v>2月</c:v>
                </c:pt>
                <c:pt idx="316">
                  <c:v>2月</c:v>
                </c:pt>
                <c:pt idx="317">
                  <c:v>2月</c:v>
                </c:pt>
                <c:pt idx="318">
                  <c:v>2月</c:v>
                </c:pt>
                <c:pt idx="319">
                  <c:v>2月</c:v>
                </c:pt>
                <c:pt idx="320">
                  <c:v>2月</c:v>
                </c:pt>
                <c:pt idx="321">
                  <c:v>2月</c:v>
                </c:pt>
                <c:pt idx="322">
                  <c:v>2月</c:v>
                </c:pt>
                <c:pt idx="323">
                  <c:v>2月</c:v>
                </c:pt>
                <c:pt idx="324">
                  <c:v>3月</c:v>
                </c:pt>
                <c:pt idx="325">
                  <c:v>3月</c:v>
                </c:pt>
                <c:pt idx="326">
                  <c:v>3月</c:v>
                </c:pt>
                <c:pt idx="327">
                  <c:v>3月</c:v>
                </c:pt>
                <c:pt idx="328">
                  <c:v>3月</c:v>
                </c:pt>
                <c:pt idx="329">
                  <c:v>3月</c:v>
                </c:pt>
                <c:pt idx="330">
                  <c:v>3月</c:v>
                </c:pt>
                <c:pt idx="331">
                  <c:v>3月</c:v>
                </c:pt>
                <c:pt idx="332">
                  <c:v>3月</c:v>
                </c:pt>
                <c:pt idx="333">
                  <c:v>3月</c:v>
                </c:pt>
                <c:pt idx="334">
                  <c:v>3月</c:v>
                </c:pt>
                <c:pt idx="335">
                  <c:v>3月</c:v>
                </c:pt>
                <c:pt idx="336">
                  <c:v>3月</c:v>
                </c:pt>
                <c:pt idx="337">
                  <c:v>3月</c:v>
                </c:pt>
                <c:pt idx="338">
                  <c:v>3月</c:v>
                </c:pt>
                <c:pt idx="339">
                  <c:v>3月</c:v>
                </c:pt>
                <c:pt idx="340">
                  <c:v>3月</c:v>
                </c:pt>
                <c:pt idx="341">
                  <c:v>3月</c:v>
                </c:pt>
                <c:pt idx="342">
                  <c:v>3月</c:v>
                </c:pt>
                <c:pt idx="343">
                  <c:v>3月</c:v>
                </c:pt>
                <c:pt idx="344">
                  <c:v>3月</c:v>
                </c:pt>
                <c:pt idx="345">
                  <c:v>3月</c:v>
                </c:pt>
                <c:pt idx="346">
                  <c:v>3月</c:v>
                </c:pt>
                <c:pt idx="347">
                  <c:v>3月</c:v>
                </c:pt>
                <c:pt idx="348">
                  <c:v>3月</c:v>
                </c:pt>
                <c:pt idx="349">
                  <c:v>3月</c:v>
                </c:pt>
                <c:pt idx="350">
                  <c:v>3月</c:v>
                </c:pt>
                <c:pt idx="351">
                  <c:v>3月</c:v>
                </c:pt>
                <c:pt idx="352">
                  <c:v>3月</c:v>
                </c:pt>
                <c:pt idx="353">
                  <c:v>3月</c:v>
                </c:pt>
                <c:pt idx="354">
                  <c:v>3月</c:v>
                </c:pt>
                <c:pt idx="355">
                  <c:v>4月</c:v>
                </c:pt>
                <c:pt idx="356">
                  <c:v>4月</c:v>
                </c:pt>
                <c:pt idx="357">
                  <c:v>4月</c:v>
                </c:pt>
                <c:pt idx="358">
                  <c:v>4月</c:v>
                </c:pt>
                <c:pt idx="359">
                  <c:v>4月</c:v>
                </c:pt>
                <c:pt idx="360">
                  <c:v>4月</c:v>
                </c:pt>
                <c:pt idx="361">
                  <c:v>4月</c:v>
                </c:pt>
                <c:pt idx="362">
                  <c:v>4月</c:v>
                </c:pt>
                <c:pt idx="363">
                  <c:v>4月</c:v>
                </c:pt>
                <c:pt idx="364">
                  <c:v>4月</c:v>
                </c:pt>
                <c:pt idx="365">
                  <c:v>4月</c:v>
                </c:pt>
                <c:pt idx="366">
                  <c:v>4月</c:v>
                </c:pt>
                <c:pt idx="367">
                  <c:v>4月</c:v>
                </c:pt>
                <c:pt idx="368">
                  <c:v>4月</c:v>
                </c:pt>
                <c:pt idx="369">
                  <c:v>4月</c:v>
                </c:pt>
                <c:pt idx="370">
                  <c:v>4月</c:v>
                </c:pt>
                <c:pt idx="371">
                  <c:v>4月</c:v>
                </c:pt>
                <c:pt idx="372">
                  <c:v>4月</c:v>
                </c:pt>
                <c:pt idx="373">
                  <c:v>4月</c:v>
                </c:pt>
                <c:pt idx="374">
                  <c:v>4月</c:v>
                </c:pt>
                <c:pt idx="375">
                  <c:v>4月</c:v>
                </c:pt>
                <c:pt idx="376">
                  <c:v>4月</c:v>
                </c:pt>
                <c:pt idx="377">
                  <c:v>4月</c:v>
                </c:pt>
                <c:pt idx="378">
                  <c:v>4月</c:v>
                </c:pt>
                <c:pt idx="379">
                  <c:v>4月</c:v>
                </c:pt>
                <c:pt idx="380">
                  <c:v>4月</c:v>
                </c:pt>
                <c:pt idx="381">
                  <c:v>4月</c:v>
                </c:pt>
                <c:pt idx="382">
                  <c:v>4月</c:v>
                </c:pt>
                <c:pt idx="383">
                  <c:v>4月</c:v>
                </c:pt>
                <c:pt idx="384">
                  <c:v>4月</c:v>
                </c:pt>
                <c:pt idx="385">
                  <c:v>5月</c:v>
                </c:pt>
                <c:pt idx="386">
                  <c:v>5月</c:v>
                </c:pt>
                <c:pt idx="387">
                  <c:v>5月</c:v>
                </c:pt>
                <c:pt idx="388">
                  <c:v>5月</c:v>
                </c:pt>
                <c:pt idx="389">
                  <c:v>5月</c:v>
                </c:pt>
                <c:pt idx="390">
                  <c:v>5月</c:v>
                </c:pt>
                <c:pt idx="391">
                  <c:v>5月</c:v>
                </c:pt>
                <c:pt idx="392">
                  <c:v>5月</c:v>
                </c:pt>
                <c:pt idx="393">
                  <c:v>5月</c:v>
                </c:pt>
                <c:pt idx="394">
                  <c:v>5月</c:v>
                </c:pt>
                <c:pt idx="395">
                  <c:v>5月</c:v>
                </c:pt>
                <c:pt idx="396">
                  <c:v>5月</c:v>
                </c:pt>
                <c:pt idx="397">
                  <c:v>5月</c:v>
                </c:pt>
                <c:pt idx="398">
                  <c:v>5月</c:v>
                </c:pt>
                <c:pt idx="399">
                  <c:v>5月</c:v>
                </c:pt>
                <c:pt idx="400">
                  <c:v>5月</c:v>
                </c:pt>
                <c:pt idx="401">
                  <c:v>5月</c:v>
                </c:pt>
                <c:pt idx="402">
                  <c:v>5月</c:v>
                </c:pt>
                <c:pt idx="403">
                  <c:v>5月</c:v>
                </c:pt>
                <c:pt idx="404">
                  <c:v>5月</c:v>
                </c:pt>
                <c:pt idx="405">
                  <c:v>5月</c:v>
                </c:pt>
                <c:pt idx="406">
                  <c:v>5月</c:v>
                </c:pt>
                <c:pt idx="407">
                  <c:v>5月</c:v>
                </c:pt>
                <c:pt idx="408">
                  <c:v>5月</c:v>
                </c:pt>
                <c:pt idx="409">
                  <c:v>5月</c:v>
                </c:pt>
                <c:pt idx="410">
                  <c:v>5月</c:v>
                </c:pt>
                <c:pt idx="411">
                  <c:v>5月</c:v>
                </c:pt>
                <c:pt idx="412">
                  <c:v>5月</c:v>
                </c:pt>
                <c:pt idx="413">
                  <c:v>5月</c:v>
                </c:pt>
                <c:pt idx="414">
                  <c:v>5月</c:v>
                </c:pt>
                <c:pt idx="415">
                  <c:v>5月</c:v>
                </c:pt>
                <c:pt idx="416">
                  <c:v>6月</c:v>
                </c:pt>
                <c:pt idx="417">
                  <c:v>6月</c:v>
                </c:pt>
                <c:pt idx="418">
                  <c:v>6月</c:v>
                </c:pt>
                <c:pt idx="419">
                  <c:v>6月</c:v>
                </c:pt>
                <c:pt idx="420">
                  <c:v>6月</c:v>
                </c:pt>
                <c:pt idx="421">
                  <c:v>6月</c:v>
                </c:pt>
                <c:pt idx="422">
                  <c:v>6月</c:v>
                </c:pt>
                <c:pt idx="423">
                  <c:v>6月</c:v>
                </c:pt>
                <c:pt idx="424">
                  <c:v>6月</c:v>
                </c:pt>
                <c:pt idx="425">
                  <c:v>6月</c:v>
                </c:pt>
                <c:pt idx="426">
                  <c:v>6月</c:v>
                </c:pt>
                <c:pt idx="427">
                  <c:v>6月</c:v>
                </c:pt>
                <c:pt idx="428">
                  <c:v>6月</c:v>
                </c:pt>
                <c:pt idx="429">
                  <c:v>6月</c:v>
                </c:pt>
                <c:pt idx="430">
                  <c:v>6月</c:v>
                </c:pt>
                <c:pt idx="431">
                  <c:v>6月</c:v>
                </c:pt>
                <c:pt idx="432">
                  <c:v>6月</c:v>
                </c:pt>
                <c:pt idx="433">
                  <c:v>6月</c:v>
                </c:pt>
                <c:pt idx="434">
                  <c:v>6月</c:v>
                </c:pt>
                <c:pt idx="435">
                  <c:v>6月</c:v>
                </c:pt>
                <c:pt idx="436">
                  <c:v>6月</c:v>
                </c:pt>
                <c:pt idx="437">
                  <c:v>6月</c:v>
                </c:pt>
                <c:pt idx="438">
                  <c:v>6月</c:v>
                </c:pt>
                <c:pt idx="439">
                  <c:v>6月</c:v>
                </c:pt>
                <c:pt idx="440">
                  <c:v>6月</c:v>
                </c:pt>
                <c:pt idx="441">
                  <c:v>6月</c:v>
                </c:pt>
                <c:pt idx="442">
                  <c:v>6月</c:v>
                </c:pt>
                <c:pt idx="443">
                  <c:v>6月</c:v>
                </c:pt>
                <c:pt idx="444">
                  <c:v>6月</c:v>
                </c:pt>
                <c:pt idx="445">
                  <c:v>6月</c:v>
                </c:pt>
                <c:pt idx="446">
                  <c:v>7月</c:v>
                </c:pt>
                <c:pt idx="447">
                  <c:v>7月</c:v>
                </c:pt>
                <c:pt idx="448">
                  <c:v>7月</c:v>
                </c:pt>
                <c:pt idx="449">
                  <c:v>7月</c:v>
                </c:pt>
                <c:pt idx="450">
                  <c:v>7月</c:v>
                </c:pt>
                <c:pt idx="451">
                  <c:v>7月</c:v>
                </c:pt>
                <c:pt idx="452">
                  <c:v>7月</c:v>
                </c:pt>
                <c:pt idx="453">
                  <c:v>7月</c:v>
                </c:pt>
                <c:pt idx="454">
                  <c:v>7月</c:v>
                </c:pt>
                <c:pt idx="455">
                  <c:v>7月</c:v>
                </c:pt>
                <c:pt idx="456">
                  <c:v>7月</c:v>
                </c:pt>
                <c:pt idx="457">
                  <c:v>7月</c:v>
                </c:pt>
                <c:pt idx="458">
                  <c:v>7月</c:v>
                </c:pt>
                <c:pt idx="459">
                  <c:v>7月</c:v>
                </c:pt>
                <c:pt idx="460">
                  <c:v>7月</c:v>
                </c:pt>
                <c:pt idx="461">
                  <c:v>7月</c:v>
                </c:pt>
                <c:pt idx="462">
                  <c:v>7月</c:v>
                </c:pt>
                <c:pt idx="463">
                  <c:v>7月</c:v>
                </c:pt>
                <c:pt idx="464">
                  <c:v>7月</c:v>
                </c:pt>
                <c:pt idx="465">
                  <c:v>7月</c:v>
                </c:pt>
                <c:pt idx="466">
                  <c:v>7月</c:v>
                </c:pt>
                <c:pt idx="467">
                  <c:v>7月</c:v>
                </c:pt>
                <c:pt idx="468">
                  <c:v>7月</c:v>
                </c:pt>
                <c:pt idx="469">
                  <c:v>7月</c:v>
                </c:pt>
                <c:pt idx="470">
                  <c:v>7月</c:v>
                </c:pt>
                <c:pt idx="471">
                  <c:v>7月</c:v>
                </c:pt>
                <c:pt idx="472">
                  <c:v>7月</c:v>
                </c:pt>
                <c:pt idx="473">
                  <c:v>7月</c:v>
                </c:pt>
                <c:pt idx="474">
                  <c:v>7月</c:v>
                </c:pt>
                <c:pt idx="475">
                  <c:v>7月</c:v>
                </c:pt>
                <c:pt idx="476">
                  <c:v>7月</c:v>
                </c:pt>
                <c:pt idx="477">
                  <c:v>8月</c:v>
                </c:pt>
                <c:pt idx="478">
                  <c:v>8月</c:v>
                </c:pt>
                <c:pt idx="479">
                  <c:v>8月</c:v>
                </c:pt>
                <c:pt idx="480">
                  <c:v>8月</c:v>
                </c:pt>
                <c:pt idx="481">
                  <c:v>8月</c:v>
                </c:pt>
                <c:pt idx="482">
                  <c:v>8月</c:v>
                </c:pt>
                <c:pt idx="483">
                  <c:v>8月</c:v>
                </c:pt>
                <c:pt idx="484">
                  <c:v>8月</c:v>
                </c:pt>
                <c:pt idx="485">
                  <c:v>8月</c:v>
                </c:pt>
                <c:pt idx="486">
                  <c:v>8月</c:v>
                </c:pt>
                <c:pt idx="487">
                  <c:v>8月</c:v>
                </c:pt>
                <c:pt idx="488">
                  <c:v>8月</c:v>
                </c:pt>
                <c:pt idx="489">
                  <c:v>8月</c:v>
                </c:pt>
                <c:pt idx="490">
                  <c:v>8月</c:v>
                </c:pt>
                <c:pt idx="491">
                  <c:v>8月</c:v>
                </c:pt>
                <c:pt idx="492">
                  <c:v>8月</c:v>
                </c:pt>
                <c:pt idx="493">
                  <c:v>8月</c:v>
                </c:pt>
                <c:pt idx="494">
                  <c:v>8月</c:v>
                </c:pt>
                <c:pt idx="495">
                  <c:v>8月</c:v>
                </c:pt>
                <c:pt idx="496">
                  <c:v>8月</c:v>
                </c:pt>
                <c:pt idx="497">
                  <c:v>8月</c:v>
                </c:pt>
                <c:pt idx="498">
                  <c:v>8月</c:v>
                </c:pt>
                <c:pt idx="499">
                  <c:v>8月</c:v>
                </c:pt>
                <c:pt idx="500">
                  <c:v>8月</c:v>
                </c:pt>
                <c:pt idx="501">
                  <c:v>8月</c:v>
                </c:pt>
                <c:pt idx="502">
                  <c:v>8月</c:v>
                </c:pt>
                <c:pt idx="503">
                  <c:v>8月</c:v>
                </c:pt>
                <c:pt idx="504">
                  <c:v>8月</c:v>
                </c:pt>
                <c:pt idx="505">
                  <c:v>8月</c:v>
                </c:pt>
                <c:pt idx="506">
                  <c:v>8月</c:v>
                </c:pt>
                <c:pt idx="507">
                  <c:v>8月</c:v>
                </c:pt>
                <c:pt idx="508">
                  <c:v>9月</c:v>
                </c:pt>
                <c:pt idx="509">
                  <c:v>9月</c:v>
                </c:pt>
                <c:pt idx="510">
                  <c:v>9月</c:v>
                </c:pt>
                <c:pt idx="511">
                  <c:v>9月</c:v>
                </c:pt>
                <c:pt idx="512">
                  <c:v>9月</c:v>
                </c:pt>
                <c:pt idx="513">
                  <c:v>9月</c:v>
                </c:pt>
                <c:pt idx="514">
                  <c:v>9月</c:v>
                </c:pt>
                <c:pt idx="515">
                  <c:v>9月</c:v>
                </c:pt>
                <c:pt idx="516">
                  <c:v>9月</c:v>
                </c:pt>
                <c:pt idx="517">
                  <c:v>9月</c:v>
                </c:pt>
                <c:pt idx="518">
                  <c:v>9月</c:v>
                </c:pt>
                <c:pt idx="519">
                  <c:v>9月</c:v>
                </c:pt>
                <c:pt idx="520">
                  <c:v>9月</c:v>
                </c:pt>
                <c:pt idx="521">
                  <c:v>9月</c:v>
                </c:pt>
                <c:pt idx="522">
                  <c:v>9月</c:v>
                </c:pt>
                <c:pt idx="523">
                  <c:v>9月</c:v>
                </c:pt>
                <c:pt idx="524">
                  <c:v>9月</c:v>
                </c:pt>
                <c:pt idx="525">
                  <c:v>9月</c:v>
                </c:pt>
                <c:pt idx="526">
                  <c:v>9月</c:v>
                </c:pt>
                <c:pt idx="527">
                  <c:v>9月</c:v>
                </c:pt>
                <c:pt idx="528">
                  <c:v>9月</c:v>
                </c:pt>
                <c:pt idx="529">
                  <c:v>9月</c:v>
                </c:pt>
                <c:pt idx="530">
                  <c:v>9月</c:v>
                </c:pt>
                <c:pt idx="531">
                  <c:v>9月</c:v>
                </c:pt>
                <c:pt idx="532">
                  <c:v>9月</c:v>
                </c:pt>
                <c:pt idx="533">
                  <c:v>9月</c:v>
                </c:pt>
                <c:pt idx="534">
                  <c:v>9月</c:v>
                </c:pt>
                <c:pt idx="535">
                  <c:v>9月</c:v>
                </c:pt>
                <c:pt idx="536">
                  <c:v>9月</c:v>
                </c:pt>
                <c:pt idx="537">
                  <c:v>9月</c:v>
                </c:pt>
                <c:pt idx="538">
                  <c:v>10月</c:v>
                </c:pt>
                <c:pt idx="539">
                  <c:v>10月</c:v>
                </c:pt>
                <c:pt idx="540">
                  <c:v>10月</c:v>
                </c:pt>
                <c:pt idx="541">
                  <c:v>10月</c:v>
                </c:pt>
                <c:pt idx="542">
                  <c:v>10月</c:v>
                </c:pt>
                <c:pt idx="543">
                  <c:v>10月</c:v>
                </c:pt>
                <c:pt idx="544">
                  <c:v>10月</c:v>
                </c:pt>
                <c:pt idx="545">
                  <c:v>10月</c:v>
                </c:pt>
                <c:pt idx="546">
                  <c:v>10月</c:v>
                </c:pt>
                <c:pt idx="547">
                  <c:v>10月</c:v>
                </c:pt>
                <c:pt idx="548">
                  <c:v>10月</c:v>
                </c:pt>
                <c:pt idx="549">
                  <c:v>10月</c:v>
                </c:pt>
                <c:pt idx="550">
                  <c:v>10月</c:v>
                </c:pt>
                <c:pt idx="551">
                  <c:v>10月</c:v>
                </c:pt>
                <c:pt idx="552">
                  <c:v>10月</c:v>
                </c:pt>
                <c:pt idx="553">
                  <c:v>10月</c:v>
                </c:pt>
                <c:pt idx="554">
                  <c:v>10月</c:v>
                </c:pt>
                <c:pt idx="555">
                  <c:v>10月</c:v>
                </c:pt>
                <c:pt idx="556">
                  <c:v>10月</c:v>
                </c:pt>
                <c:pt idx="557">
                  <c:v>10月</c:v>
                </c:pt>
                <c:pt idx="558">
                  <c:v>10月</c:v>
                </c:pt>
                <c:pt idx="559">
                  <c:v>10月</c:v>
                </c:pt>
                <c:pt idx="560">
                  <c:v>10月</c:v>
                </c:pt>
                <c:pt idx="561">
                  <c:v>10月</c:v>
                </c:pt>
                <c:pt idx="562">
                  <c:v>10月</c:v>
                </c:pt>
                <c:pt idx="563">
                  <c:v>10月</c:v>
                </c:pt>
                <c:pt idx="564">
                  <c:v>10月</c:v>
                </c:pt>
                <c:pt idx="565">
                  <c:v>10月</c:v>
                </c:pt>
                <c:pt idx="566">
                  <c:v>10月</c:v>
                </c:pt>
                <c:pt idx="567">
                  <c:v>10月</c:v>
                </c:pt>
                <c:pt idx="568">
                  <c:v>10月</c:v>
                </c:pt>
                <c:pt idx="569">
                  <c:v>11月</c:v>
                </c:pt>
                <c:pt idx="570">
                  <c:v>11月</c:v>
                </c:pt>
                <c:pt idx="571">
                  <c:v>11月</c:v>
                </c:pt>
                <c:pt idx="572">
                  <c:v>11月</c:v>
                </c:pt>
                <c:pt idx="573">
                  <c:v>11月</c:v>
                </c:pt>
                <c:pt idx="574">
                  <c:v>11月</c:v>
                </c:pt>
                <c:pt idx="575">
                  <c:v>11月</c:v>
                </c:pt>
                <c:pt idx="576">
                  <c:v>11月</c:v>
                </c:pt>
                <c:pt idx="577">
                  <c:v>11月</c:v>
                </c:pt>
                <c:pt idx="578">
                  <c:v>11月</c:v>
                </c:pt>
                <c:pt idx="579">
                  <c:v>11月</c:v>
                </c:pt>
                <c:pt idx="580">
                  <c:v>11月</c:v>
                </c:pt>
                <c:pt idx="581">
                  <c:v>11月</c:v>
                </c:pt>
                <c:pt idx="582">
                  <c:v>11月</c:v>
                </c:pt>
                <c:pt idx="583">
                  <c:v>11月</c:v>
                </c:pt>
                <c:pt idx="584">
                  <c:v>11月</c:v>
                </c:pt>
                <c:pt idx="585">
                  <c:v>11月</c:v>
                </c:pt>
                <c:pt idx="586">
                  <c:v>11月</c:v>
                </c:pt>
                <c:pt idx="587">
                  <c:v>11月</c:v>
                </c:pt>
                <c:pt idx="588">
                  <c:v>11月</c:v>
                </c:pt>
                <c:pt idx="589">
                  <c:v>11月</c:v>
                </c:pt>
                <c:pt idx="590">
                  <c:v>11月</c:v>
                </c:pt>
                <c:pt idx="591">
                  <c:v>11月</c:v>
                </c:pt>
                <c:pt idx="592">
                  <c:v>11月</c:v>
                </c:pt>
                <c:pt idx="593">
                  <c:v>11月</c:v>
                </c:pt>
                <c:pt idx="594">
                  <c:v>11月</c:v>
                </c:pt>
                <c:pt idx="595">
                  <c:v>11月</c:v>
                </c:pt>
                <c:pt idx="596">
                  <c:v>11月</c:v>
                </c:pt>
                <c:pt idx="597">
                  <c:v>11月</c:v>
                </c:pt>
                <c:pt idx="598">
                  <c:v>11月</c:v>
                </c:pt>
                <c:pt idx="599">
                  <c:v>12月
2019</c:v>
                </c:pt>
                <c:pt idx="600">
                  <c:v>12月
2019</c:v>
                </c:pt>
                <c:pt idx="601">
                  <c:v>12月
2019</c:v>
                </c:pt>
                <c:pt idx="602">
                  <c:v>12月
2019</c:v>
                </c:pt>
                <c:pt idx="603">
                  <c:v>12月
2019</c:v>
                </c:pt>
                <c:pt idx="604">
                  <c:v>12月
2019</c:v>
                </c:pt>
                <c:pt idx="605">
                  <c:v>12月
2019</c:v>
                </c:pt>
                <c:pt idx="606">
                  <c:v>12月
2019</c:v>
                </c:pt>
                <c:pt idx="607">
                  <c:v>12月
2019</c:v>
                </c:pt>
                <c:pt idx="608">
                  <c:v>12月
2019</c:v>
                </c:pt>
                <c:pt idx="609">
                  <c:v>12月
2019</c:v>
                </c:pt>
                <c:pt idx="610">
                  <c:v>12月
2019</c:v>
                </c:pt>
                <c:pt idx="611">
                  <c:v>12月
2019</c:v>
                </c:pt>
                <c:pt idx="612">
                  <c:v>12月
2019</c:v>
                </c:pt>
                <c:pt idx="613">
                  <c:v>12月
2019</c:v>
                </c:pt>
                <c:pt idx="614">
                  <c:v>12月
2019</c:v>
                </c:pt>
                <c:pt idx="615">
                  <c:v>12月
2019</c:v>
                </c:pt>
                <c:pt idx="616">
                  <c:v>12月
2019</c:v>
                </c:pt>
                <c:pt idx="617">
                  <c:v>12月
2019</c:v>
                </c:pt>
                <c:pt idx="618">
                  <c:v>12月
2019</c:v>
                </c:pt>
                <c:pt idx="619">
                  <c:v>12月
2019</c:v>
                </c:pt>
                <c:pt idx="620">
                  <c:v>12月
2019</c:v>
                </c:pt>
                <c:pt idx="621">
                  <c:v>12月
2019</c:v>
                </c:pt>
                <c:pt idx="622">
                  <c:v>12月
2019</c:v>
                </c:pt>
                <c:pt idx="623">
                  <c:v>12月
2019</c:v>
                </c:pt>
                <c:pt idx="624">
                  <c:v>12月
2019</c:v>
                </c:pt>
                <c:pt idx="625">
                  <c:v>12月
2019</c:v>
                </c:pt>
                <c:pt idx="626">
                  <c:v>12月
2019</c:v>
                </c:pt>
                <c:pt idx="627">
                  <c:v>12月
2019</c:v>
                </c:pt>
                <c:pt idx="628">
                  <c:v>12月
2019</c:v>
                </c:pt>
                <c:pt idx="629">
                  <c:v>12月
2019</c:v>
                </c:pt>
                <c:pt idx="630">
                  <c:v>1月
2020</c:v>
                </c:pt>
                <c:pt idx="631">
                  <c:v>1月
2020</c:v>
                </c:pt>
                <c:pt idx="632">
                  <c:v>1月
2020</c:v>
                </c:pt>
                <c:pt idx="633">
                  <c:v>1月
2020</c:v>
                </c:pt>
                <c:pt idx="634">
                  <c:v>1月
2020</c:v>
                </c:pt>
                <c:pt idx="635">
                  <c:v>1月
2020</c:v>
                </c:pt>
                <c:pt idx="636">
                  <c:v>1月
2020</c:v>
                </c:pt>
                <c:pt idx="637">
                  <c:v>1月
2020</c:v>
                </c:pt>
                <c:pt idx="638">
                  <c:v>1月
2020</c:v>
                </c:pt>
                <c:pt idx="639">
                  <c:v>1月
2020</c:v>
                </c:pt>
                <c:pt idx="640">
                  <c:v>1月
2020</c:v>
                </c:pt>
                <c:pt idx="641">
                  <c:v>1月
2020</c:v>
                </c:pt>
                <c:pt idx="642">
                  <c:v>1月
2020</c:v>
                </c:pt>
                <c:pt idx="643">
                  <c:v>1月
2020</c:v>
                </c:pt>
                <c:pt idx="644">
                  <c:v>1月
2020</c:v>
                </c:pt>
                <c:pt idx="645">
                  <c:v>1月
2020</c:v>
                </c:pt>
                <c:pt idx="646">
                  <c:v>1月
2020</c:v>
                </c:pt>
                <c:pt idx="647">
                  <c:v>1月
2020</c:v>
                </c:pt>
                <c:pt idx="648">
                  <c:v>1月
2020</c:v>
                </c:pt>
                <c:pt idx="649">
                  <c:v>1月
2020</c:v>
                </c:pt>
                <c:pt idx="650">
                  <c:v>1月
2020</c:v>
                </c:pt>
                <c:pt idx="651">
                  <c:v>1月
2020</c:v>
                </c:pt>
                <c:pt idx="652">
                  <c:v>1月
2020</c:v>
                </c:pt>
                <c:pt idx="653">
                  <c:v>1月
2020</c:v>
                </c:pt>
                <c:pt idx="654">
                  <c:v>1月
2020</c:v>
                </c:pt>
                <c:pt idx="655">
                  <c:v>1月
2020</c:v>
                </c:pt>
                <c:pt idx="656">
                  <c:v>1月
2020</c:v>
                </c:pt>
                <c:pt idx="657">
                  <c:v>1月
2020</c:v>
                </c:pt>
                <c:pt idx="658">
                  <c:v>1月
2020</c:v>
                </c:pt>
                <c:pt idx="659">
                  <c:v>1月
2020</c:v>
                </c:pt>
                <c:pt idx="660">
                  <c:v>1月
2020</c:v>
                </c:pt>
                <c:pt idx="661">
                  <c:v>2月</c:v>
                </c:pt>
                <c:pt idx="662">
                  <c:v>2月</c:v>
                </c:pt>
                <c:pt idx="663">
                  <c:v>2月</c:v>
                </c:pt>
                <c:pt idx="664">
                  <c:v>2月</c:v>
                </c:pt>
                <c:pt idx="665">
                  <c:v>2月</c:v>
                </c:pt>
                <c:pt idx="666">
                  <c:v>2月</c:v>
                </c:pt>
                <c:pt idx="667">
                  <c:v>2月</c:v>
                </c:pt>
                <c:pt idx="668">
                  <c:v>2月</c:v>
                </c:pt>
                <c:pt idx="669">
                  <c:v>2月</c:v>
                </c:pt>
                <c:pt idx="670">
                  <c:v>2月</c:v>
                </c:pt>
                <c:pt idx="671">
                  <c:v>2月</c:v>
                </c:pt>
                <c:pt idx="672">
                  <c:v>2月</c:v>
                </c:pt>
                <c:pt idx="673">
                  <c:v>2月</c:v>
                </c:pt>
                <c:pt idx="674">
                  <c:v>2月</c:v>
                </c:pt>
                <c:pt idx="675">
                  <c:v>2月</c:v>
                </c:pt>
                <c:pt idx="676">
                  <c:v>2月</c:v>
                </c:pt>
                <c:pt idx="677">
                  <c:v>2月</c:v>
                </c:pt>
                <c:pt idx="678">
                  <c:v>2月</c:v>
                </c:pt>
                <c:pt idx="679">
                  <c:v>2月</c:v>
                </c:pt>
                <c:pt idx="680">
                  <c:v>2月</c:v>
                </c:pt>
                <c:pt idx="681">
                  <c:v>2月</c:v>
                </c:pt>
                <c:pt idx="682">
                  <c:v>2月</c:v>
                </c:pt>
                <c:pt idx="683">
                  <c:v>2月</c:v>
                </c:pt>
                <c:pt idx="684">
                  <c:v>2月</c:v>
                </c:pt>
                <c:pt idx="685">
                  <c:v>2月</c:v>
                </c:pt>
                <c:pt idx="686">
                  <c:v>2月</c:v>
                </c:pt>
                <c:pt idx="687">
                  <c:v>2月</c:v>
                </c:pt>
                <c:pt idx="688">
                  <c:v>2月</c:v>
                </c:pt>
                <c:pt idx="689">
                  <c:v>2月</c:v>
                </c:pt>
                <c:pt idx="690">
                  <c:v>3月
2020</c:v>
                </c:pt>
                <c:pt idx="691">
                  <c:v>3月
2020</c:v>
                </c:pt>
                <c:pt idx="692">
                  <c:v>3月
2020</c:v>
                </c:pt>
                <c:pt idx="693">
                  <c:v>3月
2020</c:v>
                </c:pt>
                <c:pt idx="694">
                  <c:v>3月
2020</c:v>
                </c:pt>
                <c:pt idx="695">
                  <c:v>3月
2020</c:v>
                </c:pt>
                <c:pt idx="696">
                  <c:v>3月
2020</c:v>
                </c:pt>
                <c:pt idx="697">
                  <c:v>3月
2020</c:v>
                </c:pt>
                <c:pt idx="698">
                  <c:v>3月
2020</c:v>
                </c:pt>
                <c:pt idx="699">
                  <c:v>3月
2020</c:v>
                </c:pt>
                <c:pt idx="700">
                  <c:v>3月
2020</c:v>
                </c:pt>
                <c:pt idx="701">
                  <c:v>3月
2020</c:v>
                </c:pt>
                <c:pt idx="702">
                  <c:v>3月
2020</c:v>
                </c:pt>
                <c:pt idx="703">
                  <c:v>3月
2020</c:v>
                </c:pt>
                <c:pt idx="704">
                  <c:v>3月
2020</c:v>
                </c:pt>
                <c:pt idx="705">
                  <c:v>3月
2020</c:v>
                </c:pt>
                <c:pt idx="706">
                  <c:v>3月
2020</c:v>
                </c:pt>
                <c:pt idx="707">
                  <c:v>3月
2020</c:v>
                </c:pt>
                <c:pt idx="708">
                  <c:v>3月
2020</c:v>
                </c:pt>
                <c:pt idx="709">
                  <c:v>3月
2020</c:v>
                </c:pt>
                <c:pt idx="710">
                  <c:v>3月
2020</c:v>
                </c:pt>
                <c:pt idx="711">
                  <c:v>3月
2020</c:v>
                </c:pt>
                <c:pt idx="712">
                  <c:v>3月
2020</c:v>
                </c:pt>
                <c:pt idx="713">
                  <c:v>3月
2020</c:v>
                </c:pt>
                <c:pt idx="714">
                  <c:v>3月
2020</c:v>
                </c:pt>
                <c:pt idx="715">
                  <c:v>3月
2020</c:v>
                </c:pt>
                <c:pt idx="716">
                  <c:v>3月
2020</c:v>
                </c:pt>
                <c:pt idx="717">
                  <c:v>3月
2020</c:v>
                </c:pt>
                <c:pt idx="718">
                  <c:v>3月
2020</c:v>
                </c:pt>
                <c:pt idx="719">
                  <c:v>3月
2020</c:v>
                </c:pt>
                <c:pt idx="720">
                  <c:v>3月
2020</c:v>
                </c:pt>
                <c:pt idx="721">
                  <c:v>4月
2020</c:v>
                </c:pt>
                <c:pt idx="722">
                  <c:v>4月
2020</c:v>
                </c:pt>
                <c:pt idx="723">
                  <c:v>4月
2020</c:v>
                </c:pt>
                <c:pt idx="724">
                  <c:v>4月
2020</c:v>
                </c:pt>
                <c:pt idx="725">
                  <c:v>4月
2020</c:v>
                </c:pt>
                <c:pt idx="726">
                  <c:v>4月
2020</c:v>
                </c:pt>
                <c:pt idx="727">
                  <c:v>4月
2020</c:v>
                </c:pt>
                <c:pt idx="728">
                  <c:v>4月
2020</c:v>
                </c:pt>
                <c:pt idx="729">
                  <c:v>4月
2020</c:v>
                </c:pt>
                <c:pt idx="730">
                  <c:v>4月
2020</c:v>
                </c:pt>
                <c:pt idx="731">
                  <c:v>4月
2020</c:v>
                </c:pt>
                <c:pt idx="732">
                  <c:v>4月
2020</c:v>
                </c:pt>
                <c:pt idx="733">
                  <c:v>4月
2020</c:v>
                </c:pt>
                <c:pt idx="734">
                  <c:v>4月
2020</c:v>
                </c:pt>
                <c:pt idx="735">
                  <c:v>4月
2020</c:v>
                </c:pt>
                <c:pt idx="736">
                  <c:v>4月
2020</c:v>
                </c:pt>
                <c:pt idx="737">
                  <c:v>4月
2020</c:v>
                </c:pt>
                <c:pt idx="738">
                  <c:v>4月
2020</c:v>
                </c:pt>
                <c:pt idx="739">
                  <c:v>4月
2020</c:v>
                </c:pt>
                <c:pt idx="740">
                  <c:v>4月
2020</c:v>
                </c:pt>
                <c:pt idx="741">
                  <c:v>4月
2020</c:v>
                </c:pt>
                <c:pt idx="742">
                  <c:v>4月
2020</c:v>
                </c:pt>
                <c:pt idx="743">
                  <c:v>4月
2020</c:v>
                </c:pt>
                <c:pt idx="744">
                  <c:v>4月
2020</c:v>
                </c:pt>
                <c:pt idx="745">
                  <c:v>4月
2020</c:v>
                </c:pt>
                <c:pt idx="746">
                  <c:v>4月
2020</c:v>
                </c:pt>
                <c:pt idx="747">
                  <c:v>4月
2020</c:v>
                </c:pt>
                <c:pt idx="748">
                  <c:v>4月
2020</c:v>
                </c:pt>
                <c:pt idx="749">
                  <c:v>4月
2020</c:v>
                </c:pt>
                <c:pt idx="750">
                  <c:v>4月
2020</c:v>
                </c:pt>
                <c:pt idx="751">
                  <c:v>5月</c:v>
                </c:pt>
                <c:pt idx="752">
                  <c:v>5月</c:v>
                </c:pt>
                <c:pt idx="753">
                  <c:v>5月</c:v>
                </c:pt>
                <c:pt idx="754">
                  <c:v>5月</c:v>
                </c:pt>
                <c:pt idx="755">
                  <c:v>5月</c:v>
                </c:pt>
                <c:pt idx="756">
                  <c:v>5月</c:v>
                </c:pt>
                <c:pt idx="757">
                  <c:v>5月</c:v>
                </c:pt>
                <c:pt idx="758">
                  <c:v>5月</c:v>
                </c:pt>
                <c:pt idx="759">
                  <c:v>5月</c:v>
                </c:pt>
                <c:pt idx="760">
                  <c:v>5月</c:v>
                </c:pt>
                <c:pt idx="761">
                  <c:v>5月</c:v>
                </c:pt>
                <c:pt idx="762">
                  <c:v>5月</c:v>
                </c:pt>
                <c:pt idx="763">
                  <c:v>5月</c:v>
                </c:pt>
                <c:pt idx="764">
                  <c:v>5月</c:v>
                </c:pt>
                <c:pt idx="765">
                  <c:v>5月</c:v>
                </c:pt>
                <c:pt idx="766">
                  <c:v>5月</c:v>
                </c:pt>
                <c:pt idx="767">
                  <c:v>5月</c:v>
                </c:pt>
                <c:pt idx="768">
                  <c:v>5月</c:v>
                </c:pt>
                <c:pt idx="769">
                  <c:v>5月</c:v>
                </c:pt>
                <c:pt idx="770">
                  <c:v>5月</c:v>
                </c:pt>
                <c:pt idx="771">
                  <c:v>5月</c:v>
                </c:pt>
                <c:pt idx="772">
                  <c:v>5月</c:v>
                </c:pt>
                <c:pt idx="773">
                  <c:v>5月</c:v>
                </c:pt>
                <c:pt idx="774">
                  <c:v>5月</c:v>
                </c:pt>
                <c:pt idx="775">
                  <c:v>5月</c:v>
                </c:pt>
                <c:pt idx="776">
                  <c:v>5月</c:v>
                </c:pt>
                <c:pt idx="777">
                  <c:v>5月</c:v>
                </c:pt>
                <c:pt idx="778">
                  <c:v>5月</c:v>
                </c:pt>
                <c:pt idx="779">
                  <c:v>5月</c:v>
                </c:pt>
                <c:pt idx="780">
                  <c:v>5月</c:v>
                </c:pt>
                <c:pt idx="781">
                  <c:v>5月</c:v>
                </c:pt>
                <c:pt idx="782">
                  <c:v>6月
2020</c:v>
                </c:pt>
                <c:pt idx="783">
                  <c:v>6月
2020</c:v>
                </c:pt>
                <c:pt idx="784">
                  <c:v>6月
2020</c:v>
                </c:pt>
                <c:pt idx="785">
                  <c:v>6月
2020</c:v>
                </c:pt>
                <c:pt idx="786">
                  <c:v>6月
2020</c:v>
                </c:pt>
                <c:pt idx="787">
                  <c:v>6月
2020</c:v>
                </c:pt>
                <c:pt idx="788">
                  <c:v>6月
2020</c:v>
                </c:pt>
                <c:pt idx="789">
                  <c:v>6月
2020</c:v>
                </c:pt>
                <c:pt idx="790">
                  <c:v>6月
2020</c:v>
                </c:pt>
                <c:pt idx="791">
                  <c:v>6月
2020</c:v>
                </c:pt>
                <c:pt idx="792">
                  <c:v>6月
2020</c:v>
                </c:pt>
                <c:pt idx="793">
                  <c:v>6月
2020</c:v>
                </c:pt>
                <c:pt idx="794">
                  <c:v>6月
2020</c:v>
                </c:pt>
                <c:pt idx="795">
                  <c:v>6月
2020</c:v>
                </c:pt>
                <c:pt idx="796">
                  <c:v>6月
2020</c:v>
                </c:pt>
                <c:pt idx="797">
                  <c:v>6月
2020</c:v>
                </c:pt>
                <c:pt idx="798">
                  <c:v>6月
2020</c:v>
                </c:pt>
                <c:pt idx="799">
                  <c:v>6月
2020</c:v>
                </c:pt>
                <c:pt idx="800">
                  <c:v>6月
2020</c:v>
                </c:pt>
                <c:pt idx="801">
                  <c:v>6月
2020</c:v>
                </c:pt>
                <c:pt idx="802">
                  <c:v>6月
2020</c:v>
                </c:pt>
                <c:pt idx="803">
                  <c:v>6月
2020</c:v>
                </c:pt>
                <c:pt idx="804">
                  <c:v>6月
2020</c:v>
                </c:pt>
                <c:pt idx="805">
                  <c:v>6月
2020</c:v>
                </c:pt>
                <c:pt idx="806">
                  <c:v>6月
2020</c:v>
                </c:pt>
                <c:pt idx="807">
                  <c:v>6月
2020</c:v>
                </c:pt>
                <c:pt idx="808">
                  <c:v>6月
2020</c:v>
                </c:pt>
                <c:pt idx="809">
                  <c:v>6月
2020</c:v>
                </c:pt>
                <c:pt idx="810">
                  <c:v>6月
2020</c:v>
                </c:pt>
                <c:pt idx="811">
                  <c:v>6月
2020</c:v>
                </c:pt>
                <c:pt idx="812">
                  <c:v>7月</c:v>
                </c:pt>
                <c:pt idx="813">
                  <c:v>7月</c:v>
                </c:pt>
                <c:pt idx="814">
                  <c:v>7月</c:v>
                </c:pt>
                <c:pt idx="815">
                  <c:v>7月</c:v>
                </c:pt>
                <c:pt idx="816">
                  <c:v>7月</c:v>
                </c:pt>
                <c:pt idx="817">
                  <c:v>7月</c:v>
                </c:pt>
                <c:pt idx="818">
                  <c:v>7月</c:v>
                </c:pt>
                <c:pt idx="819">
                  <c:v>7月</c:v>
                </c:pt>
                <c:pt idx="820">
                  <c:v>7月</c:v>
                </c:pt>
                <c:pt idx="821">
                  <c:v>7月</c:v>
                </c:pt>
                <c:pt idx="822">
                  <c:v>7月</c:v>
                </c:pt>
                <c:pt idx="823">
                  <c:v>7月</c:v>
                </c:pt>
                <c:pt idx="824">
                  <c:v>7月</c:v>
                </c:pt>
                <c:pt idx="825">
                  <c:v>7月</c:v>
                </c:pt>
                <c:pt idx="826">
                  <c:v>7月</c:v>
                </c:pt>
                <c:pt idx="827">
                  <c:v>7月</c:v>
                </c:pt>
                <c:pt idx="828">
                  <c:v>7月</c:v>
                </c:pt>
                <c:pt idx="829">
                  <c:v>7月</c:v>
                </c:pt>
                <c:pt idx="830">
                  <c:v>7月</c:v>
                </c:pt>
                <c:pt idx="831">
                  <c:v>7月</c:v>
                </c:pt>
                <c:pt idx="832">
                  <c:v>7月</c:v>
                </c:pt>
                <c:pt idx="833">
                  <c:v>7月</c:v>
                </c:pt>
                <c:pt idx="834">
                  <c:v>7月</c:v>
                </c:pt>
                <c:pt idx="835">
                  <c:v>7月</c:v>
                </c:pt>
                <c:pt idx="836">
                  <c:v>7月</c:v>
                </c:pt>
                <c:pt idx="837">
                  <c:v>7月</c:v>
                </c:pt>
                <c:pt idx="838">
                  <c:v>7月</c:v>
                </c:pt>
                <c:pt idx="839">
                  <c:v>7月</c:v>
                </c:pt>
                <c:pt idx="840">
                  <c:v>7月</c:v>
                </c:pt>
                <c:pt idx="841">
                  <c:v>7月</c:v>
                </c:pt>
                <c:pt idx="842">
                  <c:v>7月</c:v>
                </c:pt>
                <c:pt idx="843">
                  <c:v>8月
2020</c:v>
                </c:pt>
                <c:pt idx="844">
                  <c:v>8月
2020</c:v>
                </c:pt>
                <c:pt idx="845">
                  <c:v>8月
2020</c:v>
                </c:pt>
                <c:pt idx="846">
                  <c:v>8月
2020</c:v>
                </c:pt>
                <c:pt idx="847">
                  <c:v>8月
2020</c:v>
                </c:pt>
                <c:pt idx="848">
                  <c:v>8月
2020</c:v>
                </c:pt>
                <c:pt idx="849">
                  <c:v>8月
2020</c:v>
                </c:pt>
                <c:pt idx="850">
                  <c:v>8月
2020</c:v>
                </c:pt>
                <c:pt idx="851">
                  <c:v>8月
2020</c:v>
                </c:pt>
                <c:pt idx="852">
                  <c:v>8月
2020</c:v>
                </c:pt>
                <c:pt idx="853">
                  <c:v>8月
2020</c:v>
                </c:pt>
                <c:pt idx="854">
                  <c:v>8月
2020</c:v>
                </c:pt>
                <c:pt idx="855">
                  <c:v>8月
2020</c:v>
                </c:pt>
                <c:pt idx="856">
                  <c:v>8月
2020</c:v>
                </c:pt>
                <c:pt idx="857">
                  <c:v>8月
2020</c:v>
                </c:pt>
                <c:pt idx="858">
                  <c:v>8月
2020</c:v>
                </c:pt>
                <c:pt idx="859">
                  <c:v>8月
2020</c:v>
                </c:pt>
                <c:pt idx="860">
                  <c:v>8月
2020</c:v>
                </c:pt>
                <c:pt idx="861">
                  <c:v>8月
2020</c:v>
                </c:pt>
                <c:pt idx="862">
                  <c:v>8月
2020</c:v>
                </c:pt>
                <c:pt idx="863">
                  <c:v>8月
2020</c:v>
                </c:pt>
                <c:pt idx="864">
                  <c:v>8月
2020</c:v>
                </c:pt>
                <c:pt idx="865">
                  <c:v>8月
2020</c:v>
                </c:pt>
                <c:pt idx="866">
                  <c:v>8月
2020</c:v>
                </c:pt>
                <c:pt idx="867">
                  <c:v>8月
2020</c:v>
                </c:pt>
                <c:pt idx="868">
                  <c:v>8月
2020</c:v>
                </c:pt>
                <c:pt idx="869">
                  <c:v>8月
2020</c:v>
                </c:pt>
                <c:pt idx="870">
                  <c:v>8月
2020</c:v>
                </c:pt>
                <c:pt idx="871">
                  <c:v>8月
2020</c:v>
                </c:pt>
                <c:pt idx="872">
                  <c:v>8月
2020</c:v>
                </c:pt>
                <c:pt idx="873">
                  <c:v>8月
2020</c:v>
                </c:pt>
                <c:pt idx="874">
                  <c:v>9月</c:v>
                </c:pt>
                <c:pt idx="875">
                  <c:v>9月</c:v>
                </c:pt>
                <c:pt idx="876">
                  <c:v>9月</c:v>
                </c:pt>
                <c:pt idx="877">
                  <c:v>9月</c:v>
                </c:pt>
                <c:pt idx="878">
                  <c:v>9月</c:v>
                </c:pt>
                <c:pt idx="879">
                  <c:v>9月</c:v>
                </c:pt>
                <c:pt idx="880">
                  <c:v>9月</c:v>
                </c:pt>
                <c:pt idx="881">
                  <c:v>9月</c:v>
                </c:pt>
                <c:pt idx="882">
                  <c:v>9月</c:v>
                </c:pt>
                <c:pt idx="883">
                  <c:v>9月</c:v>
                </c:pt>
                <c:pt idx="884">
                  <c:v>9月</c:v>
                </c:pt>
                <c:pt idx="885">
                  <c:v>9月</c:v>
                </c:pt>
                <c:pt idx="886">
                  <c:v>9月</c:v>
                </c:pt>
                <c:pt idx="887">
                  <c:v>9月</c:v>
                </c:pt>
                <c:pt idx="888">
                  <c:v>9月</c:v>
                </c:pt>
                <c:pt idx="889">
                  <c:v>9月</c:v>
                </c:pt>
                <c:pt idx="890">
                  <c:v>9月</c:v>
                </c:pt>
                <c:pt idx="891">
                  <c:v>9月</c:v>
                </c:pt>
                <c:pt idx="892">
                  <c:v>9月</c:v>
                </c:pt>
                <c:pt idx="893">
                  <c:v>9月</c:v>
                </c:pt>
                <c:pt idx="894">
                  <c:v>9月</c:v>
                </c:pt>
                <c:pt idx="895">
                  <c:v>9月</c:v>
                </c:pt>
                <c:pt idx="896">
                  <c:v>9月</c:v>
                </c:pt>
                <c:pt idx="897">
                  <c:v>9月</c:v>
                </c:pt>
                <c:pt idx="898">
                  <c:v>9月</c:v>
                </c:pt>
                <c:pt idx="899">
                  <c:v>9月</c:v>
                </c:pt>
                <c:pt idx="900">
                  <c:v>9月</c:v>
                </c:pt>
                <c:pt idx="901">
                  <c:v>9月</c:v>
                </c:pt>
                <c:pt idx="902">
                  <c:v>9月</c:v>
                </c:pt>
                <c:pt idx="903">
                  <c:v>9月</c:v>
                </c:pt>
                <c:pt idx="904">
                  <c:v>10月</c:v>
                </c:pt>
                <c:pt idx="905">
                  <c:v>10月</c:v>
                </c:pt>
                <c:pt idx="906">
                  <c:v>10月</c:v>
                </c:pt>
                <c:pt idx="907">
                  <c:v>10月</c:v>
                </c:pt>
                <c:pt idx="908">
                  <c:v>10月</c:v>
                </c:pt>
                <c:pt idx="909">
                  <c:v>10月</c:v>
                </c:pt>
                <c:pt idx="910">
                  <c:v>10月</c:v>
                </c:pt>
                <c:pt idx="911">
                  <c:v>10月</c:v>
                </c:pt>
                <c:pt idx="912">
                  <c:v>10月</c:v>
                </c:pt>
                <c:pt idx="913">
                  <c:v>10月</c:v>
                </c:pt>
                <c:pt idx="914">
                  <c:v>10月</c:v>
                </c:pt>
                <c:pt idx="915">
                  <c:v>10月</c:v>
                </c:pt>
                <c:pt idx="916">
                  <c:v>10月</c:v>
                </c:pt>
                <c:pt idx="917">
                  <c:v>10月</c:v>
                </c:pt>
                <c:pt idx="918">
                  <c:v>10月</c:v>
                </c:pt>
                <c:pt idx="919">
                  <c:v>10月</c:v>
                </c:pt>
                <c:pt idx="920">
                  <c:v>10月</c:v>
                </c:pt>
                <c:pt idx="921">
                  <c:v>10月</c:v>
                </c:pt>
                <c:pt idx="922">
                  <c:v>10月</c:v>
                </c:pt>
                <c:pt idx="923">
                  <c:v>10月</c:v>
                </c:pt>
                <c:pt idx="924">
                  <c:v>10月</c:v>
                </c:pt>
                <c:pt idx="925">
                  <c:v>10月</c:v>
                </c:pt>
                <c:pt idx="926">
                  <c:v>10月</c:v>
                </c:pt>
                <c:pt idx="927">
                  <c:v>10月</c:v>
                </c:pt>
                <c:pt idx="928">
                  <c:v>10月</c:v>
                </c:pt>
                <c:pt idx="929">
                  <c:v>10月</c:v>
                </c:pt>
                <c:pt idx="930">
                  <c:v>10月</c:v>
                </c:pt>
                <c:pt idx="931">
                  <c:v>10月</c:v>
                </c:pt>
                <c:pt idx="932">
                  <c:v>10月</c:v>
                </c:pt>
                <c:pt idx="933">
                  <c:v>10月</c:v>
                </c:pt>
                <c:pt idx="934">
                  <c:v>10月</c:v>
                </c:pt>
                <c:pt idx="935">
                  <c:v>11月</c:v>
                </c:pt>
                <c:pt idx="936">
                  <c:v>11月</c:v>
                </c:pt>
                <c:pt idx="937">
                  <c:v>11月</c:v>
                </c:pt>
                <c:pt idx="938">
                  <c:v>11月</c:v>
                </c:pt>
                <c:pt idx="939">
                  <c:v>11月</c:v>
                </c:pt>
                <c:pt idx="940">
                  <c:v>11月</c:v>
                </c:pt>
                <c:pt idx="941">
                  <c:v>11月</c:v>
                </c:pt>
                <c:pt idx="942">
                  <c:v>11月</c:v>
                </c:pt>
                <c:pt idx="943">
                  <c:v>11月</c:v>
                </c:pt>
                <c:pt idx="944">
                  <c:v>11月</c:v>
                </c:pt>
                <c:pt idx="945">
                  <c:v>11月</c:v>
                </c:pt>
                <c:pt idx="946">
                  <c:v>11月</c:v>
                </c:pt>
                <c:pt idx="947">
                  <c:v>11月</c:v>
                </c:pt>
                <c:pt idx="948">
                  <c:v>11月</c:v>
                </c:pt>
                <c:pt idx="949">
                  <c:v>11月</c:v>
                </c:pt>
                <c:pt idx="950">
                  <c:v>11月</c:v>
                </c:pt>
                <c:pt idx="951">
                  <c:v>11月</c:v>
                </c:pt>
                <c:pt idx="952">
                  <c:v>11月</c:v>
                </c:pt>
                <c:pt idx="953">
                  <c:v>11月</c:v>
                </c:pt>
                <c:pt idx="954">
                  <c:v>11月</c:v>
                </c:pt>
                <c:pt idx="955">
                  <c:v>11月</c:v>
                </c:pt>
                <c:pt idx="956">
                  <c:v>11月</c:v>
                </c:pt>
                <c:pt idx="957">
                  <c:v>11月</c:v>
                </c:pt>
                <c:pt idx="958">
                  <c:v>11月</c:v>
                </c:pt>
                <c:pt idx="959">
                  <c:v>11月</c:v>
                </c:pt>
                <c:pt idx="960">
                  <c:v>11月</c:v>
                </c:pt>
                <c:pt idx="961">
                  <c:v>11月</c:v>
                </c:pt>
                <c:pt idx="962">
                  <c:v>11月</c:v>
                </c:pt>
                <c:pt idx="963">
                  <c:v>11月</c:v>
                </c:pt>
                <c:pt idx="964">
                  <c:v>11月</c:v>
                </c:pt>
                <c:pt idx="965">
                  <c:v>12月</c:v>
                </c:pt>
                <c:pt idx="966">
                  <c:v>12月</c:v>
                </c:pt>
                <c:pt idx="967">
                  <c:v>12月</c:v>
                </c:pt>
                <c:pt idx="968">
                  <c:v>12月</c:v>
                </c:pt>
                <c:pt idx="969">
                  <c:v>12月</c:v>
                </c:pt>
                <c:pt idx="970">
                  <c:v>12月</c:v>
                </c:pt>
                <c:pt idx="971">
                  <c:v>12月</c:v>
                </c:pt>
                <c:pt idx="972">
                  <c:v>12月</c:v>
                </c:pt>
                <c:pt idx="973">
                  <c:v>12月</c:v>
                </c:pt>
                <c:pt idx="974">
                  <c:v>12月</c:v>
                </c:pt>
                <c:pt idx="975">
                  <c:v>12月</c:v>
                </c:pt>
                <c:pt idx="976">
                  <c:v>12月</c:v>
                </c:pt>
                <c:pt idx="977">
                  <c:v>12月</c:v>
                </c:pt>
                <c:pt idx="978">
                  <c:v>12月</c:v>
                </c:pt>
                <c:pt idx="979">
                  <c:v>12月</c:v>
                </c:pt>
                <c:pt idx="980">
                  <c:v>12月</c:v>
                </c:pt>
                <c:pt idx="981">
                  <c:v>12月</c:v>
                </c:pt>
                <c:pt idx="982">
                  <c:v>12月</c:v>
                </c:pt>
                <c:pt idx="983">
                  <c:v>12月</c:v>
                </c:pt>
                <c:pt idx="984">
                  <c:v>12月</c:v>
                </c:pt>
                <c:pt idx="985">
                  <c:v>12月</c:v>
                </c:pt>
                <c:pt idx="986">
                  <c:v>12月</c:v>
                </c:pt>
                <c:pt idx="987">
                  <c:v>12月</c:v>
                </c:pt>
                <c:pt idx="988">
                  <c:v>12月</c:v>
                </c:pt>
                <c:pt idx="989">
                  <c:v>12月</c:v>
                </c:pt>
                <c:pt idx="990">
                  <c:v>12月</c:v>
                </c:pt>
                <c:pt idx="991">
                  <c:v>12月</c:v>
                </c:pt>
                <c:pt idx="992">
                  <c:v>12月</c:v>
                </c:pt>
                <c:pt idx="993">
                  <c:v>12月</c:v>
                </c:pt>
                <c:pt idx="994">
                  <c:v>12月</c:v>
                </c:pt>
                <c:pt idx="995">
                  <c:v>12月</c:v>
                </c:pt>
                <c:pt idx="996">
                  <c:v>1月
2021</c:v>
                </c:pt>
                <c:pt idx="997">
                  <c:v>1月
2021</c:v>
                </c:pt>
                <c:pt idx="998">
                  <c:v>1月
2021</c:v>
                </c:pt>
                <c:pt idx="999">
                  <c:v>1月
2021</c:v>
                </c:pt>
                <c:pt idx="1000">
                  <c:v>1月
2021</c:v>
                </c:pt>
                <c:pt idx="1001">
                  <c:v>1月
2021</c:v>
                </c:pt>
                <c:pt idx="1002">
                  <c:v>1月
2021</c:v>
                </c:pt>
                <c:pt idx="1003">
                  <c:v>1月
2021</c:v>
                </c:pt>
                <c:pt idx="1004">
                  <c:v>1月
2021</c:v>
                </c:pt>
                <c:pt idx="1005">
                  <c:v>1月
2021</c:v>
                </c:pt>
                <c:pt idx="1006">
                  <c:v>1月
2021</c:v>
                </c:pt>
                <c:pt idx="1007">
                  <c:v>1月
2021</c:v>
                </c:pt>
                <c:pt idx="1008">
                  <c:v>1月
2021</c:v>
                </c:pt>
                <c:pt idx="1009">
                  <c:v>1月
2021</c:v>
                </c:pt>
                <c:pt idx="1010">
                  <c:v>1月
2021</c:v>
                </c:pt>
                <c:pt idx="1011">
                  <c:v>1月
2021</c:v>
                </c:pt>
                <c:pt idx="1012">
                  <c:v>1月
2021</c:v>
                </c:pt>
                <c:pt idx="1013">
                  <c:v>1月
2021</c:v>
                </c:pt>
                <c:pt idx="1014">
                  <c:v>1月
2021</c:v>
                </c:pt>
                <c:pt idx="1015">
                  <c:v>1月
2021</c:v>
                </c:pt>
                <c:pt idx="1016">
                  <c:v>1月
2021</c:v>
                </c:pt>
                <c:pt idx="1017">
                  <c:v>1月
2021</c:v>
                </c:pt>
                <c:pt idx="1018">
                  <c:v>1月
2021</c:v>
                </c:pt>
                <c:pt idx="1019">
                  <c:v>1月
2021</c:v>
                </c:pt>
                <c:pt idx="1020">
                  <c:v>1月
2021</c:v>
                </c:pt>
                <c:pt idx="1021">
                  <c:v>1月
2021</c:v>
                </c:pt>
                <c:pt idx="1022">
                  <c:v>1月
2021</c:v>
                </c:pt>
                <c:pt idx="1023">
                  <c:v>1月
2021</c:v>
                </c:pt>
                <c:pt idx="1024">
                  <c:v>1月
2021</c:v>
                </c:pt>
                <c:pt idx="1025">
                  <c:v>1月
2021</c:v>
                </c:pt>
                <c:pt idx="1026">
                  <c:v>1月
2021</c:v>
                </c:pt>
                <c:pt idx="1027">
                  <c:v>2月
2021</c:v>
                </c:pt>
                <c:pt idx="1028">
                  <c:v>2月
2021</c:v>
                </c:pt>
                <c:pt idx="1029">
                  <c:v>2月
2021</c:v>
                </c:pt>
                <c:pt idx="1030">
                  <c:v>2月
2021</c:v>
                </c:pt>
                <c:pt idx="1031">
                  <c:v>2月
2021</c:v>
                </c:pt>
                <c:pt idx="1032">
                  <c:v>2月
2021</c:v>
                </c:pt>
                <c:pt idx="1033">
                  <c:v>2月
2021</c:v>
                </c:pt>
                <c:pt idx="1034">
                  <c:v>2月
2021</c:v>
                </c:pt>
                <c:pt idx="1035">
                  <c:v>2月
2021</c:v>
                </c:pt>
                <c:pt idx="1036">
                  <c:v>2月
2021</c:v>
                </c:pt>
                <c:pt idx="1037">
                  <c:v>2月
2021</c:v>
                </c:pt>
                <c:pt idx="1038">
                  <c:v>2月
2021</c:v>
                </c:pt>
                <c:pt idx="1039">
                  <c:v>2月
2021</c:v>
                </c:pt>
                <c:pt idx="1040">
                  <c:v>2月
2021</c:v>
                </c:pt>
                <c:pt idx="1041">
                  <c:v>2月
2021</c:v>
                </c:pt>
                <c:pt idx="1042">
                  <c:v>2月
2021</c:v>
                </c:pt>
                <c:pt idx="1043">
                  <c:v>2月
2021</c:v>
                </c:pt>
                <c:pt idx="1044">
                  <c:v>2月
2021</c:v>
                </c:pt>
                <c:pt idx="1045">
                  <c:v>2月
2021</c:v>
                </c:pt>
                <c:pt idx="1046">
                  <c:v>2月
2021</c:v>
                </c:pt>
                <c:pt idx="1047">
                  <c:v>2月
2021</c:v>
                </c:pt>
                <c:pt idx="1048">
                  <c:v>2月
2021</c:v>
                </c:pt>
                <c:pt idx="1049">
                  <c:v>2月
2021</c:v>
                </c:pt>
                <c:pt idx="1050">
                  <c:v>2月
2021</c:v>
                </c:pt>
                <c:pt idx="1051">
                  <c:v>2月
2021</c:v>
                </c:pt>
                <c:pt idx="1052">
                  <c:v>2月
2021</c:v>
                </c:pt>
                <c:pt idx="1053">
                  <c:v>2月
2021</c:v>
                </c:pt>
                <c:pt idx="1054">
                  <c:v>2月
2021</c:v>
                </c:pt>
                <c:pt idx="1055">
                  <c:v>3月
2021</c:v>
                </c:pt>
                <c:pt idx="1056">
                  <c:v>3月
2021</c:v>
                </c:pt>
                <c:pt idx="1057">
                  <c:v>3月
2021</c:v>
                </c:pt>
                <c:pt idx="1058">
                  <c:v>3月
2021</c:v>
                </c:pt>
                <c:pt idx="1059">
                  <c:v>3月
2021</c:v>
                </c:pt>
                <c:pt idx="1060">
                  <c:v>3月
2021</c:v>
                </c:pt>
                <c:pt idx="1061">
                  <c:v>3月
2021</c:v>
                </c:pt>
                <c:pt idx="1062">
                  <c:v>3月
2021</c:v>
                </c:pt>
                <c:pt idx="1063">
                  <c:v>3月
2021</c:v>
                </c:pt>
                <c:pt idx="1064">
                  <c:v>3月
2021</c:v>
                </c:pt>
                <c:pt idx="1065">
                  <c:v>3月
2021</c:v>
                </c:pt>
                <c:pt idx="1066">
                  <c:v>3月
2021</c:v>
                </c:pt>
                <c:pt idx="1067">
                  <c:v>3月
2021</c:v>
                </c:pt>
                <c:pt idx="1068">
                  <c:v>3月
2021</c:v>
                </c:pt>
                <c:pt idx="1069">
                  <c:v>3月
2021</c:v>
                </c:pt>
                <c:pt idx="1070">
                  <c:v>3月
2021</c:v>
                </c:pt>
                <c:pt idx="1071">
                  <c:v>3月
2021</c:v>
                </c:pt>
                <c:pt idx="1072">
                  <c:v>3月
2021</c:v>
                </c:pt>
                <c:pt idx="1073">
                  <c:v>3月
2021</c:v>
                </c:pt>
                <c:pt idx="1074">
                  <c:v>3月
2021</c:v>
                </c:pt>
                <c:pt idx="1075">
                  <c:v>3月
2021</c:v>
                </c:pt>
                <c:pt idx="1076">
                  <c:v>3月
2021</c:v>
                </c:pt>
                <c:pt idx="1077">
                  <c:v>3月
2021</c:v>
                </c:pt>
                <c:pt idx="1078">
                  <c:v>3月
2021</c:v>
                </c:pt>
                <c:pt idx="1079">
                  <c:v>3月
2021</c:v>
                </c:pt>
                <c:pt idx="1080">
                  <c:v>3月
2021</c:v>
                </c:pt>
                <c:pt idx="1081">
                  <c:v>3月
2021</c:v>
                </c:pt>
                <c:pt idx="1082">
                  <c:v>3月
2021</c:v>
                </c:pt>
                <c:pt idx="1083">
                  <c:v>3月
2021</c:v>
                </c:pt>
                <c:pt idx="1084">
                  <c:v>3月
2021</c:v>
                </c:pt>
                <c:pt idx="1085">
                  <c:v>3月
2021</c:v>
                </c:pt>
                <c:pt idx="1086">
                  <c:v>4月
2021</c:v>
                </c:pt>
                <c:pt idx="1087">
                  <c:v>4月
2021</c:v>
                </c:pt>
                <c:pt idx="1088">
                  <c:v>4月
2021</c:v>
                </c:pt>
                <c:pt idx="1089">
                  <c:v>4月
2021</c:v>
                </c:pt>
                <c:pt idx="1090">
                  <c:v>4月
2021</c:v>
                </c:pt>
                <c:pt idx="1091">
                  <c:v>4月
2021</c:v>
                </c:pt>
                <c:pt idx="1092">
                  <c:v>4月
2021</c:v>
                </c:pt>
                <c:pt idx="1093">
                  <c:v>4月
2021</c:v>
                </c:pt>
                <c:pt idx="1094">
                  <c:v>4月
2021</c:v>
                </c:pt>
                <c:pt idx="1095">
                  <c:v>4月
2021</c:v>
                </c:pt>
                <c:pt idx="1096">
                  <c:v>4月
2021</c:v>
                </c:pt>
                <c:pt idx="1097">
                  <c:v>4月
2021</c:v>
                </c:pt>
                <c:pt idx="1098">
                  <c:v>4月
2021</c:v>
                </c:pt>
                <c:pt idx="1099">
                  <c:v>4月
2021</c:v>
                </c:pt>
                <c:pt idx="1100">
                  <c:v>4月
2021</c:v>
                </c:pt>
                <c:pt idx="1101">
                  <c:v>4月
2021</c:v>
                </c:pt>
                <c:pt idx="1102">
                  <c:v>4月
2021</c:v>
                </c:pt>
                <c:pt idx="1103">
                  <c:v>4月
2021</c:v>
                </c:pt>
                <c:pt idx="1104">
                  <c:v>4月
2021</c:v>
                </c:pt>
                <c:pt idx="1105">
                  <c:v>4月
2021</c:v>
                </c:pt>
                <c:pt idx="1106">
                  <c:v>4月
2021</c:v>
                </c:pt>
                <c:pt idx="1107">
                  <c:v>4月
2021</c:v>
                </c:pt>
                <c:pt idx="1108">
                  <c:v>4月
2021</c:v>
                </c:pt>
                <c:pt idx="1109">
                  <c:v>4月
2021</c:v>
                </c:pt>
                <c:pt idx="1110">
                  <c:v>4月
2021</c:v>
                </c:pt>
                <c:pt idx="1111">
                  <c:v>4月
2021</c:v>
                </c:pt>
                <c:pt idx="1112">
                  <c:v>4月
2021</c:v>
                </c:pt>
                <c:pt idx="1113">
                  <c:v>4月
2021</c:v>
                </c:pt>
                <c:pt idx="1114">
                  <c:v>4月
2021</c:v>
                </c:pt>
                <c:pt idx="1115">
                  <c:v>4月
2021</c:v>
                </c:pt>
                <c:pt idx="1116">
                  <c:v>5月
2021</c:v>
                </c:pt>
                <c:pt idx="1117">
                  <c:v>5月
2021</c:v>
                </c:pt>
                <c:pt idx="1118">
                  <c:v>5月
2021</c:v>
                </c:pt>
                <c:pt idx="1119">
                  <c:v>5月
2021</c:v>
                </c:pt>
                <c:pt idx="1120">
                  <c:v>5月
2021</c:v>
                </c:pt>
                <c:pt idx="1121">
                  <c:v>5月
2021</c:v>
                </c:pt>
                <c:pt idx="1122">
                  <c:v>5月
2021</c:v>
                </c:pt>
                <c:pt idx="1123">
                  <c:v>5月
2021</c:v>
                </c:pt>
                <c:pt idx="1124">
                  <c:v>5月
2021</c:v>
                </c:pt>
                <c:pt idx="1125">
                  <c:v>5月
2021</c:v>
                </c:pt>
                <c:pt idx="1126">
                  <c:v>5月
2021</c:v>
                </c:pt>
                <c:pt idx="1127">
                  <c:v>5月
2021</c:v>
                </c:pt>
                <c:pt idx="1128">
                  <c:v>5月
2021</c:v>
                </c:pt>
                <c:pt idx="1129">
                  <c:v>5月
2021</c:v>
                </c:pt>
                <c:pt idx="1130">
                  <c:v>5月
2021</c:v>
                </c:pt>
                <c:pt idx="1131">
                  <c:v>5月
2021</c:v>
                </c:pt>
                <c:pt idx="1132">
                  <c:v>5月
2021</c:v>
                </c:pt>
                <c:pt idx="1133">
                  <c:v>5月
2021</c:v>
                </c:pt>
                <c:pt idx="1134">
                  <c:v>5月
2021</c:v>
                </c:pt>
                <c:pt idx="1135">
                  <c:v>5月
2021</c:v>
                </c:pt>
                <c:pt idx="1136">
                  <c:v>5月
2021</c:v>
                </c:pt>
                <c:pt idx="1137">
                  <c:v>5月
2021</c:v>
                </c:pt>
                <c:pt idx="1138">
                  <c:v>5月
2021</c:v>
                </c:pt>
                <c:pt idx="1139">
                  <c:v>5月
2021</c:v>
                </c:pt>
                <c:pt idx="1140">
                  <c:v>5月
2021</c:v>
                </c:pt>
                <c:pt idx="1141">
                  <c:v>5月
2021</c:v>
                </c:pt>
                <c:pt idx="1142">
                  <c:v>5月
2021</c:v>
                </c:pt>
                <c:pt idx="1143">
                  <c:v>5月
2021</c:v>
                </c:pt>
                <c:pt idx="1144">
                  <c:v>5月
2021</c:v>
                </c:pt>
                <c:pt idx="1145">
                  <c:v>5月
2021</c:v>
                </c:pt>
                <c:pt idx="1146">
                  <c:v>5月
2021</c:v>
                </c:pt>
                <c:pt idx="1147">
                  <c:v>6月
2021</c:v>
                </c:pt>
                <c:pt idx="1148">
                  <c:v>6月
2021</c:v>
                </c:pt>
                <c:pt idx="1149">
                  <c:v>6月
2021</c:v>
                </c:pt>
                <c:pt idx="1150">
                  <c:v>6月
2021</c:v>
                </c:pt>
                <c:pt idx="1151">
                  <c:v>6月
2021</c:v>
                </c:pt>
                <c:pt idx="1152">
                  <c:v>6月
2021</c:v>
                </c:pt>
                <c:pt idx="1153">
                  <c:v>6月
2021</c:v>
                </c:pt>
                <c:pt idx="1154">
                  <c:v>6月
2021</c:v>
                </c:pt>
                <c:pt idx="1155">
                  <c:v>6月
2021</c:v>
                </c:pt>
                <c:pt idx="1156">
                  <c:v>6月
2021</c:v>
                </c:pt>
                <c:pt idx="1157">
                  <c:v>6月
2021</c:v>
                </c:pt>
                <c:pt idx="1158">
                  <c:v>6月
2021</c:v>
                </c:pt>
                <c:pt idx="1159">
                  <c:v>6月
2021</c:v>
                </c:pt>
                <c:pt idx="1160">
                  <c:v>6月
2021</c:v>
                </c:pt>
                <c:pt idx="1161">
                  <c:v>6月
2021</c:v>
                </c:pt>
                <c:pt idx="1162">
                  <c:v>6月
2021</c:v>
                </c:pt>
                <c:pt idx="1163">
                  <c:v>6月
2021</c:v>
                </c:pt>
                <c:pt idx="1164">
                  <c:v>6月
2021</c:v>
                </c:pt>
                <c:pt idx="1165">
                  <c:v>6月
2021</c:v>
                </c:pt>
                <c:pt idx="1166">
                  <c:v>6月
2021</c:v>
                </c:pt>
                <c:pt idx="1167">
                  <c:v>6月
2021</c:v>
                </c:pt>
                <c:pt idx="1168">
                  <c:v>6月
2021</c:v>
                </c:pt>
                <c:pt idx="1169">
                  <c:v>6月
2021</c:v>
                </c:pt>
                <c:pt idx="1170">
                  <c:v>6月
2021</c:v>
                </c:pt>
                <c:pt idx="1171">
                  <c:v>6月
2021</c:v>
                </c:pt>
                <c:pt idx="1172">
                  <c:v>6月
2021</c:v>
                </c:pt>
                <c:pt idx="1173">
                  <c:v>6月
2021</c:v>
                </c:pt>
                <c:pt idx="1174">
                  <c:v>6月
2021</c:v>
                </c:pt>
                <c:pt idx="1175">
                  <c:v>6月
2021</c:v>
                </c:pt>
                <c:pt idx="1176">
                  <c:v>6月
2021</c:v>
                </c:pt>
                <c:pt idx="1177">
                  <c:v>7月
</c:v>
                </c:pt>
                <c:pt idx="1178">
                  <c:v>7月
</c:v>
                </c:pt>
                <c:pt idx="1179">
                  <c:v>7月
</c:v>
                </c:pt>
                <c:pt idx="1180">
                  <c:v>7月
</c:v>
                </c:pt>
                <c:pt idx="1181">
                  <c:v>7月
</c:v>
                </c:pt>
                <c:pt idx="1182">
                  <c:v>7月
</c:v>
                </c:pt>
                <c:pt idx="1183">
                  <c:v>7月
</c:v>
                </c:pt>
                <c:pt idx="1184">
                  <c:v>7月
</c:v>
                </c:pt>
                <c:pt idx="1185">
                  <c:v>7月
</c:v>
                </c:pt>
                <c:pt idx="1186">
                  <c:v>7月
</c:v>
                </c:pt>
                <c:pt idx="1187">
                  <c:v>7月
</c:v>
                </c:pt>
                <c:pt idx="1188">
                  <c:v>7月
</c:v>
                </c:pt>
                <c:pt idx="1189">
                  <c:v>7月
</c:v>
                </c:pt>
                <c:pt idx="1190">
                  <c:v>7月
</c:v>
                </c:pt>
                <c:pt idx="1191">
                  <c:v>7月
</c:v>
                </c:pt>
                <c:pt idx="1192">
                  <c:v>7月
</c:v>
                </c:pt>
                <c:pt idx="1193">
                  <c:v>7月
</c:v>
                </c:pt>
                <c:pt idx="1194">
                  <c:v>7月
</c:v>
                </c:pt>
                <c:pt idx="1195">
                  <c:v>7月
</c:v>
                </c:pt>
                <c:pt idx="1196">
                  <c:v>7月
</c:v>
                </c:pt>
                <c:pt idx="1197">
                  <c:v>7月
</c:v>
                </c:pt>
                <c:pt idx="1198">
                  <c:v>7月
</c:v>
                </c:pt>
                <c:pt idx="1199">
                  <c:v>7月
</c:v>
                </c:pt>
                <c:pt idx="1200">
                  <c:v>7月
</c:v>
                </c:pt>
                <c:pt idx="1201">
                  <c:v>7月
</c:v>
                </c:pt>
                <c:pt idx="1202">
                  <c:v>7月
</c:v>
                </c:pt>
                <c:pt idx="1203">
                  <c:v>7月
</c:v>
                </c:pt>
                <c:pt idx="1204">
                  <c:v>7月
</c:v>
                </c:pt>
                <c:pt idx="1205">
                  <c:v>7月
</c:v>
                </c:pt>
                <c:pt idx="1206">
                  <c:v>7月
</c:v>
                </c:pt>
                <c:pt idx="1207">
                  <c:v>7月
</c:v>
                </c:pt>
                <c:pt idx="1208">
                  <c:v>8月
2021</c:v>
                </c:pt>
                <c:pt idx="1209">
                  <c:v>8月
2021</c:v>
                </c:pt>
                <c:pt idx="1210">
                  <c:v>8月
2021</c:v>
                </c:pt>
                <c:pt idx="1211">
                  <c:v>8月
2021</c:v>
                </c:pt>
                <c:pt idx="1212">
                  <c:v>8月
2021</c:v>
                </c:pt>
                <c:pt idx="1213">
                  <c:v>8月
2021</c:v>
                </c:pt>
                <c:pt idx="1214">
                  <c:v>8月
2021</c:v>
                </c:pt>
                <c:pt idx="1215">
                  <c:v>8月
2021</c:v>
                </c:pt>
                <c:pt idx="1216">
                  <c:v>8月
2021</c:v>
                </c:pt>
                <c:pt idx="1217">
                  <c:v>8月
2021</c:v>
                </c:pt>
                <c:pt idx="1218">
                  <c:v>8月
2021</c:v>
                </c:pt>
                <c:pt idx="1219">
                  <c:v>8月
2021</c:v>
                </c:pt>
                <c:pt idx="1220">
                  <c:v>8月
2021</c:v>
                </c:pt>
                <c:pt idx="1221">
                  <c:v>8月
2021</c:v>
                </c:pt>
                <c:pt idx="1222">
                  <c:v>8月
2021</c:v>
                </c:pt>
                <c:pt idx="1223">
                  <c:v>8月
2021</c:v>
                </c:pt>
                <c:pt idx="1224">
                  <c:v>8月
2021</c:v>
                </c:pt>
                <c:pt idx="1225">
                  <c:v>8月
2021</c:v>
                </c:pt>
                <c:pt idx="1226">
                  <c:v>8月
2021</c:v>
                </c:pt>
                <c:pt idx="1227">
                  <c:v>8月
2021</c:v>
                </c:pt>
                <c:pt idx="1228">
                  <c:v>8月
2021</c:v>
                </c:pt>
                <c:pt idx="1229">
                  <c:v>8月
2021</c:v>
                </c:pt>
                <c:pt idx="1230">
                  <c:v>8月
2021</c:v>
                </c:pt>
                <c:pt idx="1231">
                  <c:v>8月
2021</c:v>
                </c:pt>
                <c:pt idx="1232">
                  <c:v>8月
2021</c:v>
                </c:pt>
                <c:pt idx="1233">
                  <c:v>8月
2021</c:v>
                </c:pt>
                <c:pt idx="1234">
                  <c:v>8月
2021</c:v>
                </c:pt>
                <c:pt idx="1235">
                  <c:v>8月
2021</c:v>
                </c:pt>
                <c:pt idx="1236">
                  <c:v>8月
2021</c:v>
                </c:pt>
                <c:pt idx="1237">
                  <c:v>8月
2021</c:v>
                </c:pt>
                <c:pt idx="1238">
                  <c:v>8月
2021</c:v>
                </c:pt>
                <c:pt idx="1239">
                  <c:v>9月
2021</c:v>
                </c:pt>
                <c:pt idx="1240">
                  <c:v>9月
2021</c:v>
                </c:pt>
                <c:pt idx="1241">
                  <c:v>9月
2021</c:v>
                </c:pt>
                <c:pt idx="1242">
                  <c:v>9月
2021</c:v>
                </c:pt>
                <c:pt idx="1243">
                  <c:v>9月
2021</c:v>
                </c:pt>
                <c:pt idx="1244">
                  <c:v>9月
2021</c:v>
                </c:pt>
                <c:pt idx="1245">
                  <c:v>9月
2021</c:v>
                </c:pt>
                <c:pt idx="1246">
                  <c:v>9月
2021</c:v>
                </c:pt>
                <c:pt idx="1247">
                  <c:v>9月
2021</c:v>
                </c:pt>
                <c:pt idx="1248">
                  <c:v>9月
2021</c:v>
                </c:pt>
                <c:pt idx="1249">
                  <c:v>9月
2021</c:v>
                </c:pt>
                <c:pt idx="1250">
                  <c:v>9月
2021</c:v>
                </c:pt>
                <c:pt idx="1251">
                  <c:v>9月
2021</c:v>
                </c:pt>
                <c:pt idx="1252">
                  <c:v>9月
2021</c:v>
                </c:pt>
                <c:pt idx="1253">
                  <c:v>9月
2021</c:v>
                </c:pt>
                <c:pt idx="1254">
                  <c:v>9月
2021</c:v>
                </c:pt>
                <c:pt idx="1255">
                  <c:v>9月
2021</c:v>
                </c:pt>
                <c:pt idx="1256">
                  <c:v>9月
2021</c:v>
                </c:pt>
                <c:pt idx="1257">
                  <c:v>9月
2021</c:v>
                </c:pt>
                <c:pt idx="1258">
                  <c:v>9月
2021</c:v>
                </c:pt>
                <c:pt idx="1259">
                  <c:v>9月
2021</c:v>
                </c:pt>
                <c:pt idx="1260">
                  <c:v>9月
2021</c:v>
                </c:pt>
                <c:pt idx="1261">
                  <c:v>9月
2021</c:v>
                </c:pt>
                <c:pt idx="1262">
                  <c:v>9月
2021</c:v>
                </c:pt>
                <c:pt idx="1263">
                  <c:v>9月
2021</c:v>
                </c:pt>
                <c:pt idx="1264">
                  <c:v>9月
2021</c:v>
                </c:pt>
                <c:pt idx="1265">
                  <c:v>9月
2021</c:v>
                </c:pt>
                <c:pt idx="1266">
                  <c:v>9月
2021</c:v>
                </c:pt>
                <c:pt idx="1267">
                  <c:v>9月
2021</c:v>
                </c:pt>
                <c:pt idx="1268">
                  <c:v>9月
2021</c:v>
                </c:pt>
                <c:pt idx="1269">
                  <c:v>10月
2021</c:v>
                </c:pt>
                <c:pt idx="1270">
                  <c:v>10月
2021</c:v>
                </c:pt>
                <c:pt idx="1271">
                  <c:v>10月
2021</c:v>
                </c:pt>
                <c:pt idx="1272">
                  <c:v>10月
2021</c:v>
                </c:pt>
                <c:pt idx="1273">
                  <c:v>10月
2021</c:v>
                </c:pt>
                <c:pt idx="1274">
                  <c:v>10月
2021</c:v>
                </c:pt>
                <c:pt idx="1275">
                  <c:v>10月
2021</c:v>
                </c:pt>
                <c:pt idx="1276">
                  <c:v>10月
2021</c:v>
                </c:pt>
                <c:pt idx="1277">
                  <c:v>10月
2021</c:v>
                </c:pt>
                <c:pt idx="1278">
                  <c:v>10月
2021</c:v>
                </c:pt>
                <c:pt idx="1279">
                  <c:v>10月
2021</c:v>
                </c:pt>
                <c:pt idx="1280">
                  <c:v>10月
2021</c:v>
                </c:pt>
                <c:pt idx="1281">
                  <c:v>10月
2021</c:v>
                </c:pt>
                <c:pt idx="1282">
                  <c:v>10月
2021</c:v>
                </c:pt>
                <c:pt idx="1283">
                  <c:v>10月
2021</c:v>
                </c:pt>
                <c:pt idx="1284">
                  <c:v>10月
2021</c:v>
                </c:pt>
                <c:pt idx="1285">
                  <c:v>10月
2021</c:v>
                </c:pt>
                <c:pt idx="1286">
                  <c:v>10月
2021</c:v>
                </c:pt>
                <c:pt idx="1287">
                  <c:v>10月
2021</c:v>
                </c:pt>
                <c:pt idx="1288">
                  <c:v>10月
2021</c:v>
                </c:pt>
                <c:pt idx="1289">
                  <c:v>10月
2021</c:v>
                </c:pt>
                <c:pt idx="1290">
                  <c:v>10月
2021</c:v>
                </c:pt>
                <c:pt idx="1291">
                  <c:v>10月
2021</c:v>
                </c:pt>
                <c:pt idx="1292">
                  <c:v>10月
2021</c:v>
                </c:pt>
                <c:pt idx="1293">
                  <c:v>10月
2021</c:v>
                </c:pt>
                <c:pt idx="1294">
                  <c:v>10月
2021</c:v>
                </c:pt>
                <c:pt idx="1295">
                  <c:v>10月
2021</c:v>
                </c:pt>
                <c:pt idx="1296">
                  <c:v>10月
2021</c:v>
                </c:pt>
                <c:pt idx="1297">
                  <c:v>10月
2021</c:v>
                </c:pt>
                <c:pt idx="1298">
                  <c:v>10月
2021</c:v>
                </c:pt>
                <c:pt idx="1299">
                  <c:v>10月
2021</c:v>
                </c:pt>
                <c:pt idx="1300">
                  <c:v>11月
2021</c:v>
                </c:pt>
                <c:pt idx="1301">
                  <c:v>11月
2021</c:v>
                </c:pt>
                <c:pt idx="1302">
                  <c:v>11月
2021</c:v>
                </c:pt>
                <c:pt idx="1303">
                  <c:v>11月
2021</c:v>
                </c:pt>
                <c:pt idx="1304">
                  <c:v>11月
2021</c:v>
                </c:pt>
                <c:pt idx="1305">
                  <c:v>11月
2021</c:v>
                </c:pt>
                <c:pt idx="1306">
                  <c:v>11月
2021</c:v>
                </c:pt>
                <c:pt idx="1307">
                  <c:v>11月
2021</c:v>
                </c:pt>
                <c:pt idx="1308">
                  <c:v>11月
2021</c:v>
                </c:pt>
                <c:pt idx="1309">
                  <c:v>11月
2021</c:v>
                </c:pt>
                <c:pt idx="1310">
                  <c:v>11月
2021</c:v>
                </c:pt>
                <c:pt idx="1311">
                  <c:v>11月
2021</c:v>
                </c:pt>
                <c:pt idx="1312">
                  <c:v>11月
2021</c:v>
                </c:pt>
                <c:pt idx="1313">
                  <c:v>11月
2021</c:v>
                </c:pt>
                <c:pt idx="1314">
                  <c:v>11月
2021</c:v>
                </c:pt>
                <c:pt idx="1315">
                  <c:v>11月
2021</c:v>
                </c:pt>
                <c:pt idx="1316">
                  <c:v>11月
2021</c:v>
                </c:pt>
                <c:pt idx="1317">
                  <c:v>11月
2021</c:v>
                </c:pt>
                <c:pt idx="1318">
                  <c:v>11月
2021</c:v>
                </c:pt>
                <c:pt idx="1319">
                  <c:v>11月
2021</c:v>
                </c:pt>
                <c:pt idx="1320">
                  <c:v>11月
2021</c:v>
                </c:pt>
                <c:pt idx="1321">
                  <c:v>11月
2021</c:v>
                </c:pt>
                <c:pt idx="1322">
                  <c:v>11月
2021</c:v>
                </c:pt>
                <c:pt idx="1323">
                  <c:v>11月
2021</c:v>
                </c:pt>
                <c:pt idx="1324">
                  <c:v>11月
2021</c:v>
                </c:pt>
                <c:pt idx="1325">
                  <c:v>11月
2021</c:v>
                </c:pt>
                <c:pt idx="1326">
                  <c:v>11月
2021</c:v>
                </c:pt>
                <c:pt idx="1327">
                  <c:v>11月
2021</c:v>
                </c:pt>
                <c:pt idx="1328">
                  <c:v>11月
2021</c:v>
                </c:pt>
                <c:pt idx="1329">
                  <c:v>11月
2021</c:v>
                </c:pt>
                <c:pt idx="1330">
                  <c:v>12月
2021</c:v>
                </c:pt>
                <c:pt idx="1331">
                  <c:v>12月
2021</c:v>
                </c:pt>
                <c:pt idx="1332">
                  <c:v>12月
2021</c:v>
                </c:pt>
                <c:pt idx="1333">
                  <c:v>12月
2021</c:v>
                </c:pt>
                <c:pt idx="1334">
                  <c:v>12月
2021</c:v>
                </c:pt>
                <c:pt idx="1335">
                  <c:v>12月
2021</c:v>
                </c:pt>
                <c:pt idx="1336">
                  <c:v>12月
2021</c:v>
                </c:pt>
                <c:pt idx="1337">
                  <c:v>12月
2021</c:v>
                </c:pt>
                <c:pt idx="1338">
                  <c:v>12月
2021</c:v>
                </c:pt>
                <c:pt idx="1339">
                  <c:v>12月
2021</c:v>
                </c:pt>
                <c:pt idx="1340">
                  <c:v>12月
2021</c:v>
                </c:pt>
                <c:pt idx="1341">
                  <c:v>12月
2021</c:v>
                </c:pt>
                <c:pt idx="1342">
                  <c:v>12月
2021</c:v>
                </c:pt>
                <c:pt idx="1343">
                  <c:v>12月
2021</c:v>
                </c:pt>
                <c:pt idx="1344">
                  <c:v>12月
2021</c:v>
                </c:pt>
                <c:pt idx="1345">
                  <c:v>12月
2021</c:v>
                </c:pt>
                <c:pt idx="1346">
                  <c:v>12月
2021</c:v>
                </c:pt>
                <c:pt idx="1347">
                  <c:v>12月
2021</c:v>
                </c:pt>
                <c:pt idx="1348">
                  <c:v>12月
2021</c:v>
                </c:pt>
                <c:pt idx="1349">
                  <c:v>12月
2021</c:v>
                </c:pt>
                <c:pt idx="1350">
                  <c:v>12月
2021</c:v>
                </c:pt>
                <c:pt idx="1351">
                  <c:v>12月
2021</c:v>
                </c:pt>
                <c:pt idx="1352">
                  <c:v>12月
2021</c:v>
                </c:pt>
                <c:pt idx="1353">
                  <c:v>12月
2021</c:v>
                </c:pt>
                <c:pt idx="1354">
                  <c:v>12月
2021</c:v>
                </c:pt>
                <c:pt idx="1355">
                  <c:v>12月
2021</c:v>
                </c:pt>
                <c:pt idx="1356">
                  <c:v>12月
2021</c:v>
                </c:pt>
                <c:pt idx="1357">
                  <c:v>12月
2021</c:v>
                </c:pt>
                <c:pt idx="1358">
                  <c:v>12月
2021</c:v>
                </c:pt>
                <c:pt idx="1359">
                  <c:v>12月
2021</c:v>
                </c:pt>
                <c:pt idx="1360">
                  <c:v>12月
2021</c:v>
                </c:pt>
                <c:pt idx="1361">
                  <c:v>1月
2022</c:v>
                </c:pt>
                <c:pt idx="1362">
                  <c:v>1月
2022</c:v>
                </c:pt>
                <c:pt idx="1363">
                  <c:v>1月
2022</c:v>
                </c:pt>
                <c:pt idx="1364">
                  <c:v>1月
2022</c:v>
                </c:pt>
                <c:pt idx="1365">
                  <c:v>1月
2022</c:v>
                </c:pt>
                <c:pt idx="1366">
                  <c:v>1月
2022</c:v>
                </c:pt>
                <c:pt idx="1367">
                  <c:v>1月
2022</c:v>
                </c:pt>
                <c:pt idx="1368">
                  <c:v>1月
2022</c:v>
                </c:pt>
                <c:pt idx="1369">
                  <c:v>1月
2022</c:v>
                </c:pt>
                <c:pt idx="1370">
                  <c:v>1月
2022</c:v>
                </c:pt>
                <c:pt idx="1371">
                  <c:v>1月
2022</c:v>
                </c:pt>
                <c:pt idx="1372">
                  <c:v>1月
2022</c:v>
                </c:pt>
                <c:pt idx="1373">
                  <c:v>1月
2022</c:v>
                </c:pt>
                <c:pt idx="1374">
                  <c:v>1月
2022</c:v>
                </c:pt>
                <c:pt idx="1375">
                  <c:v>1月
2022</c:v>
                </c:pt>
                <c:pt idx="1376">
                  <c:v>1月
2022</c:v>
                </c:pt>
                <c:pt idx="1377">
                  <c:v>1月
2022</c:v>
                </c:pt>
                <c:pt idx="1378">
                  <c:v>1月
2022</c:v>
                </c:pt>
                <c:pt idx="1379">
                  <c:v>1月
2022</c:v>
                </c:pt>
                <c:pt idx="1380">
                  <c:v>1月
2022</c:v>
                </c:pt>
                <c:pt idx="1381">
                  <c:v>1月
2022</c:v>
                </c:pt>
                <c:pt idx="1382">
                  <c:v>1月
2022</c:v>
                </c:pt>
                <c:pt idx="1383">
                  <c:v>1月
2022</c:v>
                </c:pt>
                <c:pt idx="1384">
                  <c:v>1月
2022</c:v>
                </c:pt>
                <c:pt idx="1385">
                  <c:v>1月
2022</c:v>
                </c:pt>
                <c:pt idx="1386">
                  <c:v>1月
2022</c:v>
                </c:pt>
                <c:pt idx="1387">
                  <c:v>1月
2022</c:v>
                </c:pt>
                <c:pt idx="1388">
                  <c:v>1月
2022</c:v>
                </c:pt>
                <c:pt idx="1389">
                  <c:v>1月
2022</c:v>
                </c:pt>
                <c:pt idx="1390">
                  <c:v>1月
2022</c:v>
                </c:pt>
                <c:pt idx="1391">
                  <c:v>1月
2022</c:v>
                </c:pt>
                <c:pt idx="1392">
                  <c:v>2月
2022</c:v>
                </c:pt>
                <c:pt idx="1393">
                  <c:v>2月
2022</c:v>
                </c:pt>
                <c:pt idx="1394">
                  <c:v>2月
2022</c:v>
                </c:pt>
                <c:pt idx="1395">
                  <c:v>2月
2022</c:v>
                </c:pt>
                <c:pt idx="1396">
                  <c:v>2月
2022</c:v>
                </c:pt>
                <c:pt idx="1397">
                  <c:v>2月
2022</c:v>
                </c:pt>
                <c:pt idx="1398">
                  <c:v>2月
2022</c:v>
                </c:pt>
                <c:pt idx="1399">
                  <c:v>2月
2022</c:v>
                </c:pt>
                <c:pt idx="1400">
                  <c:v>2月
2022</c:v>
                </c:pt>
                <c:pt idx="1401">
                  <c:v>2月
2022</c:v>
                </c:pt>
                <c:pt idx="1402">
                  <c:v>2月
2022</c:v>
                </c:pt>
                <c:pt idx="1403">
                  <c:v>2月
2022</c:v>
                </c:pt>
                <c:pt idx="1404">
                  <c:v>2月
2022</c:v>
                </c:pt>
                <c:pt idx="1405">
                  <c:v>2月
2022</c:v>
                </c:pt>
                <c:pt idx="1406">
                  <c:v>2月
2022</c:v>
                </c:pt>
                <c:pt idx="1407">
                  <c:v>2月
2022</c:v>
                </c:pt>
                <c:pt idx="1408">
                  <c:v>2月
2022</c:v>
                </c:pt>
                <c:pt idx="1409">
                  <c:v>2月
2022</c:v>
                </c:pt>
                <c:pt idx="1410">
                  <c:v>2月
2022</c:v>
                </c:pt>
                <c:pt idx="1411">
                  <c:v>2月
2022</c:v>
                </c:pt>
                <c:pt idx="1412">
                  <c:v>2月
2022</c:v>
                </c:pt>
                <c:pt idx="1413">
                  <c:v>2月
2022</c:v>
                </c:pt>
                <c:pt idx="1414">
                  <c:v>2月
2022</c:v>
                </c:pt>
                <c:pt idx="1415">
                  <c:v>2月
2022</c:v>
                </c:pt>
                <c:pt idx="1416">
                  <c:v>2月
2022</c:v>
                </c:pt>
                <c:pt idx="1417">
                  <c:v>2月
2022</c:v>
                </c:pt>
                <c:pt idx="1418">
                  <c:v>2月
2022</c:v>
                </c:pt>
                <c:pt idx="1419">
                  <c:v>2月
2022</c:v>
                </c:pt>
                <c:pt idx="1420">
                  <c:v>3月
2022</c:v>
                </c:pt>
                <c:pt idx="1421">
                  <c:v>3月
2022</c:v>
                </c:pt>
                <c:pt idx="1422">
                  <c:v>3月
2022</c:v>
                </c:pt>
                <c:pt idx="1423">
                  <c:v>3月
2022</c:v>
                </c:pt>
                <c:pt idx="1424">
                  <c:v>3月
2022</c:v>
                </c:pt>
                <c:pt idx="1425">
                  <c:v>3月
2022</c:v>
                </c:pt>
                <c:pt idx="1426">
                  <c:v>3月
2022</c:v>
                </c:pt>
                <c:pt idx="1427">
                  <c:v>3月
2022</c:v>
                </c:pt>
                <c:pt idx="1428">
                  <c:v>3月
2022</c:v>
                </c:pt>
                <c:pt idx="1429">
                  <c:v>3月
2022</c:v>
                </c:pt>
                <c:pt idx="1430">
                  <c:v>3月
2022</c:v>
                </c:pt>
                <c:pt idx="1431">
                  <c:v>3月
2022</c:v>
                </c:pt>
                <c:pt idx="1432">
                  <c:v>3月
2022</c:v>
                </c:pt>
                <c:pt idx="1433">
                  <c:v>3月
2022</c:v>
                </c:pt>
                <c:pt idx="1434">
                  <c:v>3月
2022</c:v>
                </c:pt>
                <c:pt idx="1435">
                  <c:v>3月
2022</c:v>
                </c:pt>
                <c:pt idx="1436">
                  <c:v>3月
2022</c:v>
                </c:pt>
                <c:pt idx="1437">
                  <c:v>3月
2022</c:v>
                </c:pt>
                <c:pt idx="1438">
                  <c:v>3月
2022</c:v>
                </c:pt>
                <c:pt idx="1439">
                  <c:v>3月
2022</c:v>
                </c:pt>
                <c:pt idx="1440">
                  <c:v>3月
2022</c:v>
                </c:pt>
                <c:pt idx="1441">
                  <c:v>3月
2022</c:v>
                </c:pt>
                <c:pt idx="1442">
                  <c:v>3月
2022</c:v>
                </c:pt>
                <c:pt idx="1443">
                  <c:v>3月
2022</c:v>
                </c:pt>
                <c:pt idx="1444">
                  <c:v>3月
2022</c:v>
                </c:pt>
                <c:pt idx="1445">
                  <c:v>3月
2022</c:v>
                </c:pt>
                <c:pt idx="1446">
                  <c:v>3月
2022</c:v>
                </c:pt>
                <c:pt idx="1447">
                  <c:v>3月
2022</c:v>
                </c:pt>
                <c:pt idx="1448">
                  <c:v>3月
2022</c:v>
                </c:pt>
                <c:pt idx="1449">
                  <c:v>3月
2022</c:v>
                </c:pt>
                <c:pt idx="1450">
                  <c:v>3月
2022</c:v>
                </c:pt>
                <c:pt idx="1451">
                  <c:v>4月
2022</c:v>
                </c:pt>
                <c:pt idx="1452">
                  <c:v>4月
2022</c:v>
                </c:pt>
                <c:pt idx="1453">
                  <c:v>4月
2022</c:v>
                </c:pt>
                <c:pt idx="1454">
                  <c:v>4月
2022</c:v>
                </c:pt>
                <c:pt idx="1455">
                  <c:v>4月
2022</c:v>
                </c:pt>
                <c:pt idx="1456">
                  <c:v>4月
2022</c:v>
                </c:pt>
                <c:pt idx="1457">
                  <c:v>4月
2022</c:v>
                </c:pt>
                <c:pt idx="1458">
                  <c:v>4月
2022</c:v>
                </c:pt>
                <c:pt idx="1459">
                  <c:v>4月
2022</c:v>
                </c:pt>
                <c:pt idx="1460">
                  <c:v>4月
2022</c:v>
                </c:pt>
                <c:pt idx="1461">
                  <c:v>4月
2022</c:v>
                </c:pt>
                <c:pt idx="1462">
                  <c:v>4月
2022</c:v>
                </c:pt>
                <c:pt idx="1463">
                  <c:v>4月
2022</c:v>
                </c:pt>
                <c:pt idx="1464">
                  <c:v>4月
2022</c:v>
                </c:pt>
                <c:pt idx="1465">
                  <c:v>4月
2022</c:v>
                </c:pt>
                <c:pt idx="1466">
                  <c:v>4月
2022</c:v>
                </c:pt>
                <c:pt idx="1467">
                  <c:v>4月
2022</c:v>
                </c:pt>
                <c:pt idx="1468">
                  <c:v>4月
2022</c:v>
                </c:pt>
                <c:pt idx="1469">
                  <c:v>4月
2022</c:v>
                </c:pt>
                <c:pt idx="1470">
                  <c:v>4月
2022</c:v>
                </c:pt>
                <c:pt idx="1471">
                  <c:v>4月
2022</c:v>
                </c:pt>
                <c:pt idx="1472">
                  <c:v>4月
2022</c:v>
                </c:pt>
                <c:pt idx="1473">
                  <c:v>4月
2022</c:v>
                </c:pt>
                <c:pt idx="1474">
                  <c:v>4月
2022</c:v>
                </c:pt>
                <c:pt idx="1475">
                  <c:v>4月
2022</c:v>
                </c:pt>
                <c:pt idx="1476">
                  <c:v>4月
2022</c:v>
                </c:pt>
                <c:pt idx="1477">
                  <c:v>4月
2022</c:v>
                </c:pt>
                <c:pt idx="1478">
                  <c:v>4月
2022</c:v>
                </c:pt>
                <c:pt idx="1479">
                  <c:v>4月
2022</c:v>
                </c:pt>
                <c:pt idx="1480">
                  <c:v>4月
2022</c:v>
                </c:pt>
                <c:pt idx="1481">
                  <c:v>5月
2022</c:v>
                </c:pt>
                <c:pt idx="1482">
                  <c:v>5月
2022</c:v>
                </c:pt>
                <c:pt idx="1483">
                  <c:v>5月
2022</c:v>
                </c:pt>
                <c:pt idx="1484">
                  <c:v>5月
2022</c:v>
                </c:pt>
                <c:pt idx="1485">
                  <c:v>5月
2022</c:v>
                </c:pt>
                <c:pt idx="1486">
                  <c:v>5月
2022</c:v>
                </c:pt>
                <c:pt idx="1487">
                  <c:v>5月
2022</c:v>
                </c:pt>
                <c:pt idx="1488">
                  <c:v>5月
2022</c:v>
                </c:pt>
                <c:pt idx="1489">
                  <c:v>5月
2022</c:v>
                </c:pt>
                <c:pt idx="1490">
                  <c:v>5月
2022</c:v>
                </c:pt>
                <c:pt idx="1491">
                  <c:v>5月
2022</c:v>
                </c:pt>
                <c:pt idx="1492">
                  <c:v>5月
2022</c:v>
                </c:pt>
                <c:pt idx="1493">
                  <c:v>5月
2022</c:v>
                </c:pt>
                <c:pt idx="1494">
                  <c:v>5月
2022</c:v>
                </c:pt>
                <c:pt idx="1495">
                  <c:v>5月
2022</c:v>
                </c:pt>
                <c:pt idx="1496">
                  <c:v>5月
2022</c:v>
                </c:pt>
                <c:pt idx="1497">
                  <c:v>5月
2022</c:v>
                </c:pt>
                <c:pt idx="1498">
                  <c:v>5月
2022</c:v>
                </c:pt>
                <c:pt idx="1499">
                  <c:v>5月
2022</c:v>
                </c:pt>
                <c:pt idx="1500">
                  <c:v>5月
2022</c:v>
                </c:pt>
                <c:pt idx="1501">
                  <c:v>5月
2022</c:v>
                </c:pt>
                <c:pt idx="1502">
                  <c:v>5月
2022</c:v>
                </c:pt>
                <c:pt idx="1503">
                  <c:v>5月
2022</c:v>
                </c:pt>
                <c:pt idx="1504">
                  <c:v>5月
2022</c:v>
                </c:pt>
                <c:pt idx="1505">
                  <c:v>5月
2022</c:v>
                </c:pt>
                <c:pt idx="1506">
                  <c:v>5月
2022</c:v>
                </c:pt>
                <c:pt idx="1507">
                  <c:v>5月
2022</c:v>
                </c:pt>
                <c:pt idx="1508">
                  <c:v>5月
2022</c:v>
                </c:pt>
                <c:pt idx="1509">
                  <c:v>5月
2022</c:v>
                </c:pt>
                <c:pt idx="1510">
                  <c:v>5月
2022</c:v>
                </c:pt>
                <c:pt idx="1511">
                  <c:v>5月
2022</c:v>
                </c:pt>
                <c:pt idx="1512">
                  <c:v>6月
2022</c:v>
                </c:pt>
                <c:pt idx="1513">
                  <c:v>6月
2022</c:v>
                </c:pt>
                <c:pt idx="1514">
                  <c:v>6月
2022</c:v>
                </c:pt>
                <c:pt idx="1515">
                  <c:v>6月
2022</c:v>
                </c:pt>
                <c:pt idx="1516">
                  <c:v>6月
2022</c:v>
                </c:pt>
                <c:pt idx="1517">
                  <c:v>6月
2022</c:v>
                </c:pt>
                <c:pt idx="1518">
                  <c:v>6月
2022</c:v>
                </c:pt>
                <c:pt idx="1519">
                  <c:v>6月
2022</c:v>
                </c:pt>
                <c:pt idx="1520">
                  <c:v>6月
2022</c:v>
                </c:pt>
                <c:pt idx="1521">
                  <c:v>6月
2022</c:v>
                </c:pt>
                <c:pt idx="1522">
                  <c:v>6月
2022</c:v>
                </c:pt>
                <c:pt idx="1523">
                  <c:v>6月
2022</c:v>
                </c:pt>
                <c:pt idx="1524">
                  <c:v>6月
2022</c:v>
                </c:pt>
                <c:pt idx="1525">
                  <c:v>6月
2022</c:v>
                </c:pt>
                <c:pt idx="1526">
                  <c:v>6月
2022</c:v>
                </c:pt>
                <c:pt idx="1527">
                  <c:v>6月
2022</c:v>
                </c:pt>
                <c:pt idx="1528">
                  <c:v>6月
2022</c:v>
                </c:pt>
                <c:pt idx="1529">
                  <c:v>6月
2022</c:v>
                </c:pt>
                <c:pt idx="1530">
                  <c:v>6月
2022</c:v>
                </c:pt>
                <c:pt idx="1531">
                  <c:v>6月
2022</c:v>
                </c:pt>
                <c:pt idx="1532">
                  <c:v>6月
2022</c:v>
                </c:pt>
                <c:pt idx="1533">
                  <c:v>6月
2022</c:v>
                </c:pt>
                <c:pt idx="1534">
                  <c:v>6月
2022</c:v>
                </c:pt>
                <c:pt idx="1535">
                  <c:v>6月
2022</c:v>
                </c:pt>
                <c:pt idx="1536">
                  <c:v>6月
2022</c:v>
                </c:pt>
                <c:pt idx="1537">
                  <c:v>6月
2022</c:v>
                </c:pt>
                <c:pt idx="1538">
                  <c:v>6月
2022</c:v>
                </c:pt>
                <c:pt idx="1539">
                  <c:v>6月
2022</c:v>
                </c:pt>
                <c:pt idx="1540">
                  <c:v>6月
2022</c:v>
                </c:pt>
                <c:pt idx="1541">
                  <c:v>6月
2022</c:v>
                </c:pt>
                <c:pt idx="1542">
                  <c:v>7月
2022</c:v>
                </c:pt>
                <c:pt idx="1543">
                  <c:v>7月
2022</c:v>
                </c:pt>
                <c:pt idx="1544">
                  <c:v>7月
2022</c:v>
                </c:pt>
                <c:pt idx="1545">
                  <c:v>7月
2022</c:v>
                </c:pt>
                <c:pt idx="1546">
                  <c:v>7月
2022</c:v>
                </c:pt>
                <c:pt idx="1547">
                  <c:v>7月
2022</c:v>
                </c:pt>
                <c:pt idx="1548">
                  <c:v>7月
2022</c:v>
                </c:pt>
                <c:pt idx="1549">
                  <c:v>7月
2022</c:v>
                </c:pt>
                <c:pt idx="1550">
                  <c:v>7月
2022</c:v>
                </c:pt>
                <c:pt idx="1551">
                  <c:v>7月
2022</c:v>
                </c:pt>
                <c:pt idx="1552">
                  <c:v>7月
2022</c:v>
                </c:pt>
                <c:pt idx="1553">
                  <c:v>7月
2022</c:v>
                </c:pt>
                <c:pt idx="1554">
                  <c:v>7月
2022</c:v>
                </c:pt>
                <c:pt idx="1555">
                  <c:v>7月
2022</c:v>
                </c:pt>
                <c:pt idx="1556">
                  <c:v>7月
2022</c:v>
                </c:pt>
                <c:pt idx="1557">
                  <c:v>7月
2022</c:v>
                </c:pt>
                <c:pt idx="1558">
                  <c:v>7月
2022</c:v>
                </c:pt>
                <c:pt idx="1559">
                  <c:v>7月
2022</c:v>
                </c:pt>
                <c:pt idx="1560">
                  <c:v>7月
2022</c:v>
                </c:pt>
                <c:pt idx="1561">
                  <c:v>7月
2022</c:v>
                </c:pt>
                <c:pt idx="1562">
                  <c:v>7月
2022</c:v>
                </c:pt>
                <c:pt idx="1563">
                  <c:v>7月
2022</c:v>
                </c:pt>
                <c:pt idx="1564">
                  <c:v>7月
2022</c:v>
                </c:pt>
                <c:pt idx="1565">
                  <c:v>7月
2022</c:v>
                </c:pt>
                <c:pt idx="1566">
                  <c:v>7月
2022</c:v>
                </c:pt>
                <c:pt idx="1567">
                  <c:v>7月
2022</c:v>
                </c:pt>
                <c:pt idx="1568">
                  <c:v>7月
2022</c:v>
                </c:pt>
                <c:pt idx="1569">
                  <c:v>7月
2022</c:v>
                </c:pt>
                <c:pt idx="1570">
                  <c:v>7月
2022</c:v>
                </c:pt>
                <c:pt idx="1571">
                  <c:v>7月
2022</c:v>
                </c:pt>
                <c:pt idx="1572">
                  <c:v>7月
2022</c:v>
                </c:pt>
                <c:pt idx="1573">
                  <c:v>8月
2022</c:v>
                </c:pt>
                <c:pt idx="1574">
                  <c:v>8月
2022</c:v>
                </c:pt>
                <c:pt idx="1575">
                  <c:v>8月
2022</c:v>
                </c:pt>
                <c:pt idx="1576">
                  <c:v>8月
2022</c:v>
                </c:pt>
                <c:pt idx="1577">
                  <c:v>8月
2022</c:v>
                </c:pt>
                <c:pt idx="1578">
                  <c:v>8月
2022</c:v>
                </c:pt>
                <c:pt idx="1579">
                  <c:v>8月
2022</c:v>
                </c:pt>
                <c:pt idx="1580">
                  <c:v>8月
2022</c:v>
                </c:pt>
                <c:pt idx="1581">
                  <c:v>8月
2022</c:v>
                </c:pt>
                <c:pt idx="1582">
                  <c:v>8月
2022</c:v>
                </c:pt>
                <c:pt idx="1583">
                  <c:v>8月
2022</c:v>
                </c:pt>
                <c:pt idx="1584">
                  <c:v>8月
2022</c:v>
                </c:pt>
                <c:pt idx="1585">
                  <c:v>8月
2022</c:v>
                </c:pt>
                <c:pt idx="1586">
                  <c:v>8月
2022</c:v>
                </c:pt>
                <c:pt idx="1587">
                  <c:v>8月
2022</c:v>
                </c:pt>
                <c:pt idx="1588">
                  <c:v>8月
2022</c:v>
                </c:pt>
                <c:pt idx="1589">
                  <c:v>8月
2022</c:v>
                </c:pt>
                <c:pt idx="1590">
                  <c:v>8月
2022</c:v>
                </c:pt>
                <c:pt idx="1591">
                  <c:v>8月
2022</c:v>
                </c:pt>
                <c:pt idx="1592">
                  <c:v>8月
2022</c:v>
                </c:pt>
                <c:pt idx="1593">
                  <c:v>8月
2022</c:v>
                </c:pt>
                <c:pt idx="1594">
                  <c:v>8月
2022</c:v>
                </c:pt>
                <c:pt idx="1595">
                  <c:v>8月
2022</c:v>
                </c:pt>
                <c:pt idx="1596">
                  <c:v>8月
2022</c:v>
                </c:pt>
                <c:pt idx="1597">
                  <c:v>8月
2022</c:v>
                </c:pt>
                <c:pt idx="1598">
                  <c:v>8月
2022</c:v>
                </c:pt>
                <c:pt idx="1599">
                  <c:v>8月
2022</c:v>
                </c:pt>
                <c:pt idx="1600">
                  <c:v>8月
2022</c:v>
                </c:pt>
                <c:pt idx="1601">
                  <c:v>8月
2022</c:v>
                </c:pt>
                <c:pt idx="1602">
                  <c:v>8月
2022</c:v>
                </c:pt>
                <c:pt idx="1603">
                  <c:v>8月
2022</c:v>
                </c:pt>
                <c:pt idx="1604">
                  <c:v>9月
2022</c:v>
                </c:pt>
                <c:pt idx="1605">
                  <c:v>9月
2022</c:v>
                </c:pt>
                <c:pt idx="1606">
                  <c:v>9月
2022</c:v>
                </c:pt>
                <c:pt idx="1607">
                  <c:v>9月
2022</c:v>
                </c:pt>
                <c:pt idx="1608">
                  <c:v>9月
2022</c:v>
                </c:pt>
                <c:pt idx="1609">
                  <c:v>9月
2022</c:v>
                </c:pt>
                <c:pt idx="1610">
                  <c:v>9月
2022</c:v>
                </c:pt>
                <c:pt idx="1611">
                  <c:v>9月
2022</c:v>
                </c:pt>
                <c:pt idx="1612">
                  <c:v>9月
2022</c:v>
                </c:pt>
                <c:pt idx="1613">
                  <c:v>9月
2022</c:v>
                </c:pt>
                <c:pt idx="1614">
                  <c:v>9月
2022</c:v>
                </c:pt>
                <c:pt idx="1615">
                  <c:v>9月
2022</c:v>
                </c:pt>
                <c:pt idx="1616">
                  <c:v>9月
2022</c:v>
                </c:pt>
                <c:pt idx="1617">
                  <c:v>9月
2022</c:v>
                </c:pt>
                <c:pt idx="1618">
                  <c:v>9月
2022</c:v>
                </c:pt>
                <c:pt idx="1619">
                  <c:v>9月
2022</c:v>
                </c:pt>
                <c:pt idx="1620">
                  <c:v>9月
2022</c:v>
                </c:pt>
                <c:pt idx="1621">
                  <c:v>9月
2022</c:v>
                </c:pt>
                <c:pt idx="1622">
                  <c:v>9月
2022</c:v>
                </c:pt>
                <c:pt idx="1623">
                  <c:v>9月
2022</c:v>
                </c:pt>
                <c:pt idx="1624">
                  <c:v>9月
2022</c:v>
                </c:pt>
                <c:pt idx="1625">
                  <c:v>9月
2022</c:v>
                </c:pt>
                <c:pt idx="1626">
                  <c:v>9月
2022</c:v>
                </c:pt>
                <c:pt idx="1627">
                  <c:v>9月
2022</c:v>
                </c:pt>
                <c:pt idx="1628">
                  <c:v>9月
2022</c:v>
                </c:pt>
                <c:pt idx="1629">
                  <c:v>9月
2022</c:v>
                </c:pt>
                <c:pt idx="1630">
                  <c:v>9月
2022</c:v>
                </c:pt>
                <c:pt idx="1631">
                  <c:v>9月
2022</c:v>
                </c:pt>
                <c:pt idx="1632">
                  <c:v>9月
2022</c:v>
                </c:pt>
                <c:pt idx="1633">
                  <c:v>9月
2022</c:v>
                </c:pt>
                <c:pt idx="1634">
                  <c:v>10月
2022</c:v>
                </c:pt>
                <c:pt idx="1635">
                  <c:v>10月
2022</c:v>
                </c:pt>
                <c:pt idx="1636">
                  <c:v>10月
2022</c:v>
                </c:pt>
                <c:pt idx="1637">
                  <c:v>10月
2022</c:v>
                </c:pt>
                <c:pt idx="1638">
                  <c:v>10月
2022</c:v>
                </c:pt>
                <c:pt idx="1639">
                  <c:v>10月
2022</c:v>
                </c:pt>
                <c:pt idx="1640">
                  <c:v>10月
2022</c:v>
                </c:pt>
                <c:pt idx="1641">
                  <c:v>10月
2022</c:v>
                </c:pt>
                <c:pt idx="1642">
                  <c:v>10月
2022</c:v>
                </c:pt>
                <c:pt idx="1643">
                  <c:v>10月
2022</c:v>
                </c:pt>
                <c:pt idx="1644">
                  <c:v>10月
2022</c:v>
                </c:pt>
                <c:pt idx="1645">
                  <c:v>10月
2022</c:v>
                </c:pt>
                <c:pt idx="1646">
                  <c:v>10月
2022</c:v>
                </c:pt>
                <c:pt idx="1647">
                  <c:v>10月
2022</c:v>
                </c:pt>
                <c:pt idx="1648">
                  <c:v>10月
2022</c:v>
                </c:pt>
                <c:pt idx="1649">
                  <c:v>10月
2022</c:v>
                </c:pt>
                <c:pt idx="1650">
                  <c:v>10月
2022</c:v>
                </c:pt>
                <c:pt idx="1651">
                  <c:v>10月
2022</c:v>
                </c:pt>
                <c:pt idx="1652">
                  <c:v>10月
2022</c:v>
                </c:pt>
                <c:pt idx="1653">
                  <c:v>10月
2022</c:v>
                </c:pt>
                <c:pt idx="1654">
                  <c:v>10月
2022</c:v>
                </c:pt>
                <c:pt idx="1655">
                  <c:v>10月
2022</c:v>
                </c:pt>
                <c:pt idx="1656">
                  <c:v>10月
2022</c:v>
                </c:pt>
                <c:pt idx="1657">
                  <c:v>10月
2022</c:v>
                </c:pt>
                <c:pt idx="1658">
                  <c:v>10月
2022</c:v>
                </c:pt>
                <c:pt idx="1659">
                  <c:v>10月
2022</c:v>
                </c:pt>
                <c:pt idx="1660">
                  <c:v>10月
2022</c:v>
                </c:pt>
                <c:pt idx="1661">
                  <c:v>10月
2022</c:v>
                </c:pt>
                <c:pt idx="1662">
                  <c:v>10月
2022</c:v>
                </c:pt>
                <c:pt idx="1663">
                  <c:v>10月
2022</c:v>
                </c:pt>
                <c:pt idx="1664">
                  <c:v>10月
2022</c:v>
                </c:pt>
                <c:pt idx="1665">
                  <c:v>11月
2022</c:v>
                </c:pt>
                <c:pt idx="1666">
                  <c:v>11月
2022</c:v>
                </c:pt>
                <c:pt idx="1667">
                  <c:v>11月
2022</c:v>
                </c:pt>
                <c:pt idx="1668">
                  <c:v>11月
2022</c:v>
                </c:pt>
                <c:pt idx="1669">
                  <c:v>11月
2022</c:v>
                </c:pt>
                <c:pt idx="1670">
                  <c:v>11月
2022</c:v>
                </c:pt>
                <c:pt idx="1671">
                  <c:v>11月
2022</c:v>
                </c:pt>
                <c:pt idx="1672">
                  <c:v>11月
2022</c:v>
                </c:pt>
                <c:pt idx="1673">
                  <c:v>11月
2022</c:v>
                </c:pt>
                <c:pt idx="1674">
                  <c:v>11月
2022</c:v>
                </c:pt>
                <c:pt idx="1675">
                  <c:v>11月
2022</c:v>
                </c:pt>
                <c:pt idx="1676">
                  <c:v>11月
2022</c:v>
                </c:pt>
                <c:pt idx="1677">
                  <c:v>11月
2022</c:v>
                </c:pt>
                <c:pt idx="1678">
                  <c:v>11月
2022</c:v>
                </c:pt>
                <c:pt idx="1679">
                  <c:v>11月
2022</c:v>
                </c:pt>
                <c:pt idx="1680">
                  <c:v>11月
2022</c:v>
                </c:pt>
                <c:pt idx="1681">
                  <c:v>11月
2022</c:v>
                </c:pt>
                <c:pt idx="1682">
                  <c:v>11月
2022</c:v>
                </c:pt>
                <c:pt idx="1683">
                  <c:v>11月
2022</c:v>
                </c:pt>
                <c:pt idx="1684">
                  <c:v>11月
2022</c:v>
                </c:pt>
                <c:pt idx="1685">
                  <c:v>11月
2022</c:v>
                </c:pt>
                <c:pt idx="1686">
                  <c:v>11月
2022</c:v>
                </c:pt>
                <c:pt idx="1687">
                  <c:v>11月
2022</c:v>
                </c:pt>
                <c:pt idx="1688">
                  <c:v>11月
2022</c:v>
                </c:pt>
                <c:pt idx="1689">
                  <c:v>11月
2022</c:v>
                </c:pt>
                <c:pt idx="1690">
                  <c:v>11月
2022</c:v>
                </c:pt>
                <c:pt idx="1691">
                  <c:v>11月
2022</c:v>
                </c:pt>
                <c:pt idx="1692">
                  <c:v>11月
2022</c:v>
                </c:pt>
                <c:pt idx="1693">
                  <c:v>11月
2022</c:v>
                </c:pt>
                <c:pt idx="1694">
                  <c:v>11月
2022</c:v>
                </c:pt>
                <c:pt idx="1695">
                  <c:v>12月
2022</c:v>
                </c:pt>
                <c:pt idx="1696">
                  <c:v>12月
2022</c:v>
                </c:pt>
                <c:pt idx="1697">
                  <c:v>12月
2022</c:v>
                </c:pt>
                <c:pt idx="1698">
                  <c:v>12月
2022</c:v>
                </c:pt>
                <c:pt idx="1699">
                  <c:v>12月
2022</c:v>
                </c:pt>
                <c:pt idx="1700">
                  <c:v>12月
2022</c:v>
                </c:pt>
                <c:pt idx="1701">
                  <c:v>12月
2022</c:v>
                </c:pt>
                <c:pt idx="1702">
                  <c:v>12月
2022</c:v>
                </c:pt>
                <c:pt idx="1703">
                  <c:v>12月
2022</c:v>
                </c:pt>
                <c:pt idx="1704">
                  <c:v>12月
2022</c:v>
                </c:pt>
                <c:pt idx="1705">
                  <c:v>12月
2022</c:v>
                </c:pt>
                <c:pt idx="1706">
                  <c:v>12月
2022</c:v>
                </c:pt>
                <c:pt idx="1707">
                  <c:v>12月
2022</c:v>
                </c:pt>
                <c:pt idx="1708">
                  <c:v>12月
2022</c:v>
                </c:pt>
                <c:pt idx="1709">
                  <c:v>12月
2022</c:v>
                </c:pt>
                <c:pt idx="1710">
                  <c:v>12月
2022</c:v>
                </c:pt>
                <c:pt idx="1711">
                  <c:v>12月
2022</c:v>
                </c:pt>
                <c:pt idx="1712">
                  <c:v>12月
2022</c:v>
                </c:pt>
                <c:pt idx="1713">
                  <c:v>12月
2022</c:v>
                </c:pt>
                <c:pt idx="1714">
                  <c:v>12月
2022</c:v>
                </c:pt>
                <c:pt idx="1715">
                  <c:v>12月
2022</c:v>
                </c:pt>
                <c:pt idx="1716">
                  <c:v>12月
2022</c:v>
                </c:pt>
                <c:pt idx="1717">
                  <c:v>12月
2022</c:v>
                </c:pt>
                <c:pt idx="1718">
                  <c:v>12月
2022</c:v>
                </c:pt>
                <c:pt idx="1719">
                  <c:v>12月
2022</c:v>
                </c:pt>
                <c:pt idx="1720">
                  <c:v>12月
2022</c:v>
                </c:pt>
                <c:pt idx="1721">
                  <c:v>12月
2022</c:v>
                </c:pt>
                <c:pt idx="1722">
                  <c:v>12月
2022</c:v>
                </c:pt>
                <c:pt idx="1723">
                  <c:v>12月
2022</c:v>
                </c:pt>
                <c:pt idx="1724">
                  <c:v>1月
2023</c:v>
                </c:pt>
                <c:pt idx="1725">
                  <c:v>1月
2023</c:v>
                </c:pt>
                <c:pt idx="1726">
                  <c:v>1月
2023</c:v>
                </c:pt>
                <c:pt idx="1727">
                  <c:v>1月
2023</c:v>
                </c:pt>
                <c:pt idx="1728">
                  <c:v>1月
2023</c:v>
                </c:pt>
                <c:pt idx="1729">
                  <c:v>1月
2023</c:v>
                </c:pt>
                <c:pt idx="1730">
                  <c:v>1月
2023</c:v>
                </c:pt>
                <c:pt idx="1731">
                  <c:v>1月
2023</c:v>
                </c:pt>
                <c:pt idx="1732">
                  <c:v>1月
2023</c:v>
                </c:pt>
                <c:pt idx="1733">
                  <c:v>1月
2023</c:v>
                </c:pt>
                <c:pt idx="1734">
                  <c:v>1月
2023</c:v>
                </c:pt>
                <c:pt idx="1735">
                  <c:v>1月
2023</c:v>
                </c:pt>
                <c:pt idx="1736">
                  <c:v>1月
2023</c:v>
                </c:pt>
                <c:pt idx="1737">
                  <c:v>1月
2023</c:v>
                </c:pt>
                <c:pt idx="1738">
                  <c:v>1月
2023</c:v>
                </c:pt>
                <c:pt idx="1739">
                  <c:v>1月
2023</c:v>
                </c:pt>
                <c:pt idx="1740">
                  <c:v>1月
2023</c:v>
                </c:pt>
                <c:pt idx="1741">
                  <c:v>1月
2023</c:v>
                </c:pt>
                <c:pt idx="1742">
                  <c:v>1月
2023</c:v>
                </c:pt>
                <c:pt idx="1743">
                  <c:v>1月
2023</c:v>
                </c:pt>
                <c:pt idx="1744">
                  <c:v>1月
2023</c:v>
                </c:pt>
                <c:pt idx="1745">
                  <c:v>1月
2023</c:v>
                </c:pt>
                <c:pt idx="1746">
                  <c:v>1月
2023</c:v>
                </c:pt>
                <c:pt idx="1747">
                  <c:v>1月
2023</c:v>
                </c:pt>
                <c:pt idx="1748">
                  <c:v>1月
2023</c:v>
                </c:pt>
                <c:pt idx="1749">
                  <c:v>1月
2023</c:v>
                </c:pt>
                <c:pt idx="1750">
                  <c:v>1月
2023</c:v>
                </c:pt>
                <c:pt idx="1751">
                  <c:v>1月
2023</c:v>
                </c:pt>
                <c:pt idx="1752">
                  <c:v>1月
2023</c:v>
                </c:pt>
                <c:pt idx="1753">
                  <c:v>1月
2023</c:v>
                </c:pt>
                <c:pt idx="1754">
                  <c:v>1月
2023</c:v>
                </c:pt>
                <c:pt idx="1755">
                  <c:v>1月
2023</c:v>
                </c:pt>
                <c:pt idx="1756">
                  <c:v>1月
2023</c:v>
                </c:pt>
                <c:pt idx="1757">
                  <c:v>2月
2023</c:v>
                </c:pt>
                <c:pt idx="1758">
                  <c:v>2月
2023</c:v>
                </c:pt>
                <c:pt idx="1759">
                  <c:v>2月
2023</c:v>
                </c:pt>
                <c:pt idx="1760">
                  <c:v>2月
2023</c:v>
                </c:pt>
                <c:pt idx="1761">
                  <c:v>2月
2023</c:v>
                </c:pt>
                <c:pt idx="1762">
                  <c:v>2月
2023</c:v>
                </c:pt>
                <c:pt idx="1763">
                  <c:v>2月
2023</c:v>
                </c:pt>
                <c:pt idx="1764">
                  <c:v>2月
2023</c:v>
                </c:pt>
                <c:pt idx="1765">
                  <c:v>2月
2023</c:v>
                </c:pt>
                <c:pt idx="1766">
                  <c:v>2月
2023</c:v>
                </c:pt>
                <c:pt idx="1767">
                  <c:v>2月
2023</c:v>
                </c:pt>
                <c:pt idx="1768">
                  <c:v>2月
2023</c:v>
                </c:pt>
                <c:pt idx="1769">
                  <c:v>2月
2023</c:v>
                </c:pt>
                <c:pt idx="1770">
                  <c:v>2月
2023</c:v>
                </c:pt>
                <c:pt idx="1771">
                  <c:v>2月
2023</c:v>
                </c:pt>
                <c:pt idx="1772">
                  <c:v>2月
2023</c:v>
                </c:pt>
                <c:pt idx="1773">
                  <c:v>2月
2023</c:v>
                </c:pt>
                <c:pt idx="1774">
                  <c:v>2月
2023</c:v>
                </c:pt>
                <c:pt idx="1775">
                  <c:v>2月
2023</c:v>
                </c:pt>
                <c:pt idx="1776">
                  <c:v>2月
2023</c:v>
                </c:pt>
                <c:pt idx="1777">
                  <c:v>2月
2023</c:v>
                </c:pt>
                <c:pt idx="1778">
                  <c:v>2月
2023</c:v>
                </c:pt>
                <c:pt idx="1779">
                  <c:v>2月
2023</c:v>
                </c:pt>
                <c:pt idx="1780">
                  <c:v>2月
2023</c:v>
                </c:pt>
                <c:pt idx="1781">
                  <c:v>2月
2023</c:v>
                </c:pt>
                <c:pt idx="1782">
                  <c:v>2月
2023</c:v>
                </c:pt>
                <c:pt idx="1783">
                  <c:v>2月
2023</c:v>
                </c:pt>
                <c:pt idx="1784">
                  <c:v>2月
2023</c:v>
                </c:pt>
                <c:pt idx="1785">
                  <c:v>3月
2023</c:v>
                </c:pt>
                <c:pt idx="1786">
                  <c:v>3月
2023</c:v>
                </c:pt>
                <c:pt idx="1787">
                  <c:v>3月
2023</c:v>
                </c:pt>
                <c:pt idx="1788">
                  <c:v>3月
2023</c:v>
                </c:pt>
                <c:pt idx="1789">
                  <c:v>3月
2023</c:v>
                </c:pt>
                <c:pt idx="1790">
                  <c:v>3月
2023</c:v>
                </c:pt>
                <c:pt idx="1791">
                  <c:v>3月
2023</c:v>
                </c:pt>
                <c:pt idx="1792">
                  <c:v>3月
2023</c:v>
                </c:pt>
                <c:pt idx="1793">
                  <c:v>3月
2023</c:v>
                </c:pt>
                <c:pt idx="1794">
                  <c:v>3月
2023</c:v>
                </c:pt>
                <c:pt idx="1795">
                  <c:v>3月
2023</c:v>
                </c:pt>
                <c:pt idx="1796">
                  <c:v>3月
2023</c:v>
                </c:pt>
                <c:pt idx="1797">
                  <c:v>3月
2023</c:v>
                </c:pt>
                <c:pt idx="1798">
                  <c:v>3月
2023</c:v>
                </c:pt>
                <c:pt idx="1799">
                  <c:v>3月
2023</c:v>
                </c:pt>
                <c:pt idx="1800">
                  <c:v>3月
2023</c:v>
                </c:pt>
                <c:pt idx="1801">
                  <c:v>3月
2023</c:v>
                </c:pt>
                <c:pt idx="1802">
                  <c:v>3月
2023</c:v>
                </c:pt>
                <c:pt idx="1803">
                  <c:v>3月
2023</c:v>
                </c:pt>
                <c:pt idx="1804">
                  <c:v>3月
2023</c:v>
                </c:pt>
                <c:pt idx="1805">
                  <c:v>3月
2023</c:v>
                </c:pt>
                <c:pt idx="1806">
                  <c:v>3月
2023</c:v>
                </c:pt>
                <c:pt idx="1807">
                  <c:v>3月
2023</c:v>
                </c:pt>
                <c:pt idx="1808">
                  <c:v>3月
2023</c:v>
                </c:pt>
                <c:pt idx="1809">
                  <c:v>3月
2023</c:v>
                </c:pt>
                <c:pt idx="1810">
                  <c:v>3月
2023</c:v>
                </c:pt>
                <c:pt idx="1811">
                  <c:v>3月
2023</c:v>
                </c:pt>
                <c:pt idx="1812">
                  <c:v>3月
2023</c:v>
                </c:pt>
                <c:pt idx="1813">
                  <c:v>3月
2023</c:v>
                </c:pt>
                <c:pt idx="1814">
                  <c:v>3月
2023</c:v>
                </c:pt>
                <c:pt idx="1815">
                  <c:v>3月
2023</c:v>
                </c:pt>
                <c:pt idx="1816">
                  <c:v>4月
2023</c:v>
                </c:pt>
                <c:pt idx="1817">
                  <c:v>4月
2023</c:v>
                </c:pt>
                <c:pt idx="1818">
                  <c:v>4月
2023</c:v>
                </c:pt>
                <c:pt idx="1819">
                  <c:v>4月
2023</c:v>
                </c:pt>
                <c:pt idx="1820">
                  <c:v>4月
2023</c:v>
                </c:pt>
                <c:pt idx="1821">
                  <c:v>4月
2023</c:v>
                </c:pt>
                <c:pt idx="1822">
                  <c:v>4月
2023</c:v>
                </c:pt>
                <c:pt idx="1823">
                  <c:v>4月
2023</c:v>
                </c:pt>
                <c:pt idx="1824">
                  <c:v>4月
2023</c:v>
                </c:pt>
                <c:pt idx="1825">
                  <c:v>4月
2023</c:v>
                </c:pt>
                <c:pt idx="1826">
                  <c:v>4月
2023</c:v>
                </c:pt>
                <c:pt idx="1827">
                  <c:v>4月
2023</c:v>
                </c:pt>
                <c:pt idx="1828">
                  <c:v>4月
2023</c:v>
                </c:pt>
                <c:pt idx="1829">
                  <c:v>4月
2023</c:v>
                </c:pt>
                <c:pt idx="1830">
                  <c:v>4月
2023</c:v>
                </c:pt>
                <c:pt idx="1831">
                  <c:v>4月
2023</c:v>
                </c:pt>
                <c:pt idx="1832">
                  <c:v>4月
2023</c:v>
                </c:pt>
                <c:pt idx="1833">
                  <c:v>4月
2023</c:v>
                </c:pt>
                <c:pt idx="1834">
                  <c:v>4月
2023</c:v>
                </c:pt>
                <c:pt idx="1835">
                  <c:v>4月
2023</c:v>
                </c:pt>
                <c:pt idx="1836">
                  <c:v>4月
2023</c:v>
                </c:pt>
                <c:pt idx="1837">
                  <c:v>4月
2023</c:v>
                </c:pt>
                <c:pt idx="1838">
                  <c:v>4月
2023</c:v>
                </c:pt>
                <c:pt idx="1839">
                  <c:v>4月
2023</c:v>
                </c:pt>
                <c:pt idx="1840">
                  <c:v>4月
2023</c:v>
                </c:pt>
                <c:pt idx="1841">
                  <c:v>4月
2023</c:v>
                </c:pt>
                <c:pt idx="1842">
                  <c:v>4月
2023</c:v>
                </c:pt>
                <c:pt idx="1843">
                  <c:v>4月
2023</c:v>
                </c:pt>
                <c:pt idx="1844">
                  <c:v>4月
2023</c:v>
                </c:pt>
                <c:pt idx="1845">
                  <c:v>4月
2023</c:v>
                </c:pt>
                <c:pt idx="1846">
                  <c:v>5月
2023</c:v>
                </c:pt>
                <c:pt idx="1847">
                  <c:v>5月
2023</c:v>
                </c:pt>
                <c:pt idx="1848">
                  <c:v>5月
2023</c:v>
                </c:pt>
                <c:pt idx="1849">
                  <c:v>5月
2023</c:v>
                </c:pt>
                <c:pt idx="1850">
                  <c:v>5月
2023</c:v>
                </c:pt>
                <c:pt idx="1851">
                  <c:v>5月
2023</c:v>
                </c:pt>
                <c:pt idx="1852">
                  <c:v>5月
2023</c:v>
                </c:pt>
                <c:pt idx="1853">
                  <c:v>5月
2023</c:v>
                </c:pt>
                <c:pt idx="1854">
                  <c:v>5月
2023</c:v>
                </c:pt>
                <c:pt idx="1855">
                  <c:v>5月
2023</c:v>
                </c:pt>
                <c:pt idx="1856">
                  <c:v>5月
2023</c:v>
                </c:pt>
                <c:pt idx="1857">
                  <c:v>5月
2023</c:v>
                </c:pt>
                <c:pt idx="1858">
                  <c:v>5月
2023</c:v>
                </c:pt>
                <c:pt idx="1859">
                  <c:v>5月
2023</c:v>
                </c:pt>
                <c:pt idx="1860">
                  <c:v>5月
2023</c:v>
                </c:pt>
                <c:pt idx="1861">
                  <c:v>5月
2023</c:v>
                </c:pt>
                <c:pt idx="1862">
                  <c:v>5月
2023</c:v>
                </c:pt>
                <c:pt idx="1863">
                  <c:v>5月
2023</c:v>
                </c:pt>
                <c:pt idx="1864">
                  <c:v>5月
2023</c:v>
                </c:pt>
                <c:pt idx="1865">
                  <c:v>5月
2023</c:v>
                </c:pt>
                <c:pt idx="1866">
                  <c:v>5月
2023</c:v>
                </c:pt>
                <c:pt idx="1867">
                  <c:v>5月
2023</c:v>
                </c:pt>
                <c:pt idx="1868">
                  <c:v>5月
2023</c:v>
                </c:pt>
                <c:pt idx="1869">
                  <c:v>5月
2023</c:v>
                </c:pt>
                <c:pt idx="1870">
                  <c:v>5月
2023</c:v>
                </c:pt>
                <c:pt idx="1871">
                  <c:v>5月
2023</c:v>
                </c:pt>
                <c:pt idx="1872">
                  <c:v>5月
2023</c:v>
                </c:pt>
                <c:pt idx="1873">
                  <c:v>5月
2023</c:v>
                </c:pt>
                <c:pt idx="1874">
                  <c:v>5月
2023</c:v>
                </c:pt>
                <c:pt idx="1875">
                  <c:v>5月
2023</c:v>
                </c:pt>
                <c:pt idx="1876">
                  <c:v>5月
2023</c:v>
                </c:pt>
                <c:pt idx="1877">
                  <c:v>5月
2023</c:v>
                </c:pt>
                <c:pt idx="1878">
                  <c:v>5月
2023</c:v>
                </c:pt>
                <c:pt idx="1879">
                  <c:v>5月
2023</c:v>
                </c:pt>
                <c:pt idx="1880">
                  <c:v>5月
2023</c:v>
                </c:pt>
                <c:pt idx="1881">
                  <c:v>5月
2023</c:v>
                </c:pt>
                <c:pt idx="1882">
                  <c:v>5月
2023</c:v>
                </c:pt>
                <c:pt idx="1883">
                  <c:v>5月
2023</c:v>
                </c:pt>
                <c:pt idx="1884">
                  <c:v>5月
2023</c:v>
                </c:pt>
                <c:pt idx="1885">
                  <c:v>5月
2023</c:v>
                </c:pt>
                <c:pt idx="1886">
                  <c:v>5月
2023</c:v>
                </c:pt>
                <c:pt idx="1887">
                  <c:v>5月
2023</c:v>
                </c:pt>
                <c:pt idx="1888">
                  <c:v>5月
2023</c:v>
                </c:pt>
                <c:pt idx="1889">
                  <c:v>5月
2023</c:v>
                </c:pt>
                <c:pt idx="1890">
                  <c:v>5月
2023</c:v>
                </c:pt>
                <c:pt idx="1891">
                  <c:v>5月
2023</c:v>
                </c:pt>
                <c:pt idx="1892">
                  <c:v>5月
2023</c:v>
                </c:pt>
                <c:pt idx="1893">
                  <c:v>5月
2023</c:v>
                </c:pt>
                <c:pt idx="1894">
                  <c:v>5月
2023</c:v>
                </c:pt>
                <c:pt idx="1895">
                  <c:v>5月
2023</c:v>
                </c:pt>
                <c:pt idx="1896">
                  <c:v>5月
2023</c:v>
                </c:pt>
                <c:pt idx="1897">
                  <c:v>5月
2023</c:v>
                </c:pt>
                <c:pt idx="1898">
                  <c:v>5月
2023</c:v>
                </c:pt>
                <c:pt idx="1899">
                  <c:v>5月
2023</c:v>
                </c:pt>
                <c:pt idx="1900">
                  <c:v>5月
2023</c:v>
                </c:pt>
                <c:pt idx="1901">
                  <c:v>5月
2023</c:v>
                </c:pt>
                <c:pt idx="1902">
                  <c:v>5月
2023</c:v>
                </c:pt>
                <c:pt idx="1903">
                  <c:v>5月
2023</c:v>
                </c:pt>
                <c:pt idx="1904">
                  <c:v>5月
2023</c:v>
                </c:pt>
                <c:pt idx="1905">
                  <c:v>6月
2023</c:v>
                </c:pt>
                <c:pt idx="1906">
                  <c:v>6月
2023</c:v>
                </c:pt>
                <c:pt idx="1907">
                  <c:v>7月
2023</c:v>
                </c:pt>
                <c:pt idx="1908">
                  <c:v>7月
2023</c:v>
                </c:pt>
                <c:pt idx="1909">
                  <c:v>7月
2023</c:v>
                </c:pt>
                <c:pt idx="1910">
                  <c:v>7月
2023</c:v>
                </c:pt>
                <c:pt idx="1911">
                  <c:v>7月
2023</c:v>
                </c:pt>
                <c:pt idx="1912">
                  <c:v>7月
2023</c:v>
                </c:pt>
                <c:pt idx="1913">
                  <c:v>7月
2023</c:v>
                </c:pt>
                <c:pt idx="1914">
                  <c:v>7月
2023</c:v>
                </c:pt>
                <c:pt idx="1915">
                  <c:v>7月
2023</c:v>
                </c:pt>
                <c:pt idx="1916">
                  <c:v>7月
2023</c:v>
                </c:pt>
                <c:pt idx="1917">
                  <c:v>7月
2023</c:v>
                </c:pt>
                <c:pt idx="1918">
                  <c:v>7月
2023</c:v>
                </c:pt>
                <c:pt idx="1919">
                  <c:v>7月
2023</c:v>
                </c:pt>
                <c:pt idx="1920">
                  <c:v>7月
2023</c:v>
                </c:pt>
                <c:pt idx="1921">
                  <c:v>7月
2023</c:v>
                </c:pt>
                <c:pt idx="1922">
                  <c:v>7月
2023</c:v>
                </c:pt>
                <c:pt idx="1923">
                  <c:v>7月
2023</c:v>
                </c:pt>
                <c:pt idx="1924">
                  <c:v>7月
2023</c:v>
                </c:pt>
                <c:pt idx="1925">
                  <c:v>7月
2023</c:v>
                </c:pt>
                <c:pt idx="1926">
                  <c:v>7月
2023</c:v>
                </c:pt>
                <c:pt idx="1927">
                  <c:v>7月
2023</c:v>
                </c:pt>
                <c:pt idx="1928">
                  <c:v>7月
2023</c:v>
                </c:pt>
                <c:pt idx="1929">
                  <c:v>7月
2023</c:v>
                </c:pt>
                <c:pt idx="1930">
                  <c:v>7月
2023</c:v>
                </c:pt>
                <c:pt idx="1931">
                  <c:v>7月
2023</c:v>
                </c:pt>
                <c:pt idx="1932">
                  <c:v>7月
2023</c:v>
                </c:pt>
                <c:pt idx="1933">
                  <c:v>7月
2023</c:v>
                </c:pt>
                <c:pt idx="1934">
                  <c:v>7月
2023</c:v>
                </c:pt>
                <c:pt idx="1935">
                  <c:v>7月
2023</c:v>
                </c:pt>
                <c:pt idx="1936">
                  <c:v>7月
2023</c:v>
                </c:pt>
                <c:pt idx="1937">
                  <c:v>7月
2023</c:v>
                </c:pt>
                <c:pt idx="1938">
                  <c:v>8月
2023</c:v>
                </c:pt>
                <c:pt idx="1939">
                  <c:v>8月
2023</c:v>
                </c:pt>
                <c:pt idx="1940">
                  <c:v>8月
2023</c:v>
                </c:pt>
                <c:pt idx="1941">
                  <c:v>8月
2023</c:v>
                </c:pt>
                <c:pt idx="1942">
                  <c:v>8月
2023</c:v>
                </c:pt>
                <c:pt idx="1943">
                  <c:v>8月
2023</c:v>
                </c:pt>
                <c:pt idx="1944">
                  <c:v>8月
2023</c:v>
                </c:pt>
                <c:pt idx="1945">
                  <c:v>8月
2023</c:v>
                </c:pt>
                <c:pt idx="1946">
                  <c:v>8月
2023</c:v>
                </c:pt>
                <c:pt idx="1947">
                  <c:v>8月
2023</c:v>
                </c:pt>
                <c:pt idx="1948">
                  <c:v>8月
2023</c:v>
                </c:pt>
                <c:pt idx="1949">
                  <c:v>8月
2023</c:v>
                </c:pt>
                <c:pt idx="1950">
                  <c:v>8月
2023</c:v>
                </c:pt>
                <c:pt idx="1951">
                  <c:v>8月
2023</c:v>
                </c:pt>
                <c:pt idx="1952">
                  <c:v>8月
2023</c:v>
                </c:pt>
                <c:pt idx="1953">
                  <c:v>8月
2023</c:v>
                </c:pt>
                <c:pt idx="1954">
                  <c:v>8月
2023</c:v>
                </c:pt>
                <c:pt idx="1955">
                  <c:v>8月
2023</c:v>
                </c:pt>
                <c:pt idx="1956">
                  <c:v>8月
2023</c:v>
                </c:pt>
                <c:pt idx="1957">
                  <c:v>8月
2023</c:v>
                </c:pt>
                <c:pt idx="1958">
                  <c:v>8月
2023</c:v>
                </c:pt>
                <c:pt idx="1959">
                  <c:v>8月
2023</c:v>
                </c:pt>
                <c:pt idx="1960">
                  <c:v>8月
2023</c:v>
                </c:pt>
                <c:pt idx="1961">
                  <c:v>8月
2023</c:v>
                </c:pt>
                <c:pt idx="1962">
                  <c:v>8月
2023</c:v>
                </c:pt>
                <c:pt idx="1963">
                  <c:v>8月
2023</c:v>
                </c:pt>
                <c:pt idx="1964">
                  <c:v>8月
2023</c:v>
                </c:pt>
                <c:pt idx="1965">
                  <c:v>8月
2023</c:v>
                </c:pt>
                <c:pt idx="1966">
                  <c:v>8月
2023</c:v>
                </c:pt>
                <c:pt idx="1967">
                  <c:v>8月
2023</c:v>
                </c:pt>
                <c:pt idx="1968">
                  <c:v>8月
2023</c:v>
                </c:pt>
                <c:pt idx="1969">
                  <c:v>9月
2023</c:v>
                </c:pt>
                <c:pt idx="1970">
                  <c:v>9月
2023</c:v>
                </c:pt>
                <c:pt idx="1971">
                  <c:v>9月
2023</c:v>
                </c:pt>
                <c:pt idx="1972">
                  <c:v>9月
2023</c:v>
                </c:pt>
                <c:pt idx="1973">
                  <c:v>9月
2023</c:v>
                </c:pt>
                <c:pt idx="1974">
                  <c:v>9月
2023</c:v>
                </c:pt>
                <c:pt idx="1975">
                  <c:v>9月
2023</c:v>
                </c:pt>
                <c:pt idx="1976">
                  <c:v>9月
2023</c:v>
                </c:pt>
                <c:pt idx="1977">
                  <c:v>9月
2023</c:v>
                </c:pt>
                <c:pt idx="1978">
                  <c:v>9月
2023</c:v>
                </c:pt>
                <c:pt idx="1979">
                  <c:v>9月
2023</c:v>
                </c:pt>
                <c:pt idx="1980">
                  <c:v>9月
2023</c:v>
                </c:pt>
                <c:pt idx="1981">
                  <c:v>9月
2023</c:v>
                </c:pt>
                <c:pt idx="1982">
                  <c:v>9月
2023</c:v>
                </c:pt>
                <c:pt idx="1983">
                  <c:v>9月
2023</c:v>
                </c:pt>
                <c:pt idx="1984">
                  <c:v>9月
2023</c:v>
                </c:pt>
                <c:pt idx="1985">
                  <c:v>9月
2023</c:v>
                </c:pt>
                <c:pt idx="1986">
                  <c:v>9月
2023</c:v>
                </c:pt>
                <c:pt idx="1987">
                  <c:v>9月
2023</c:v>
                </c:pt>
                <c:pt idx="1988">
                  <c:v>9月
2023</c:v>
                </c:pt>
                <c:pt idx="1989">
                  <c:v>9月
2023</c:v>
                </c:pt>
                <c:pt idx="1990">
                  <c:v>9月
2023</c:v>
                </c:pt>
                <c:pt idx="1991">
                  <c:v>9月
2023</c:v>
                </c:pt>
                <c:pt idx="1992">
                  <c:v>9月
2023</c:v>
                </c:pt>
                <c:pt idx="1993">
                  <c:v>9月
2023</c:v>
                </c:pt>
                <c:pt idx="1994">
                  <c:v>9月
2023</c:v>
                </c:pt>
                <c:pt idx="1995">
                  <c:v>9月
2023</c:v>
                </c:pt>
                <c:pt idx="1996">
                  <c:v>9月
2023</c:v>
                </c:pt>
                <c:pt idx="1997">
                  <c:v>9月
2023</c:v>
                </c:pt>
                <c:pt idx="1998">
                  <c:v>9月
2023</c:v>
                </c:pt>
                <c:pt idx="1999">
                  <c:v>10月
2023</c:v>
                </c:pt>
                <c:pt idx="2000">
                  <c:v>10月
2023</c:v>
                </c:pt>
                <c:pt idx="2001">
                  <c:v>10月
2023</c:v>
                </c:pt>
                <c:pt idx="2002">
                  <c:v>10月
2023</c:v>
                </c:pt>
                <c:pt idx="2003">
                  <c:v>10月
2023</c:v>
                </c:pt>
                <c:pt idx="2004">
                  <c:v>10月
2023</c:v>
                </c:pt>
                <c:pt idx="2005">
                  <c:v>10月
2023</c:v>
                </c:pt>
                <c:pt idx="2006">
                  <c:v>10月
2023</c:v>
                </c:pt>
                <c:pt idx="2007">
                  <c:v>10月
2023</c:v>
                </c:pt>
                <c:pt idx="2008">
                  <c:v>10月
2023</c:v>
                </c:pt>
                <c:pt idx="2009">
                  <c:v>10月
2023</c:v>
                </c:pt>
                <c:pt idx="2010">
                  <c:v>10月
2023</c:v>
                </c:pt>
                <c:pt idx="2011">
                  <c:v>10月
2023</c:v>
                </c:pt>
                <c:pt idx="2012">
                  <c:v>10月
2023</c:v>
                </c:pt>
                <c:pt idx="2013">
                  <c:v>10月
2023</c:v>
                </c:pt>
                <c:pt idx="2014">
                  <c:v>10月
2023</c:v>
                </c:pt>
                <c:pt idx="2015">
                  <c:v>10月
2023</c:v>
                </c:pt>
                <c:pt idx="2016">
                  <c:v>10月
2023</c:v>
                </c:pt>
                <c:pt idx="2017">
                  <c:v>10月
2023</c:v>
                </c:pt>
                <c:pt idx="2018">
                  <c:v>10月
2023</c:v>
                </c:pt>
                <c:pt idx="2019">
                  <c:v>10月
2023</c:v>
                </c:pt>
                <c:pt idx="2020">
                  <c:v>10月
2023</c:v>
                </c:pt>
                <c:pt idx="2021">
                  <c:v>10月
2023</c:v>
                </c:pt>
                <c:pt idx="2022">
                  <c:v>10月
2023</c:v>
                </c:pt>
                <c:pt idx="2023">
                  <c:v>10月
2023</c:v>
                </c:pt>
                <c:pt idx="2024">
                  <c:v>10月
2023</c:v>
                </c:pt>
                <c:pt idx="2025">
                  <c:v>10月
2023</c:v>
                </c:pt>
                <c:pt idx="2026">
                  <c:v>10月
2023</c:v>
                </c:pt>
                <c:pt idx="2027">
                  <c:v>10月
2023</c:v>
                </c:pt>
                <c:pt idx="2028">
                  <c:v>10月
2023</c:v>
                </c:pt>
                <c:pt idx="2029">
                  <c:v>10月
2023</c:v>
                </c:pt>
                <c:pt idx="2030">
                  <c:v>11月
2023</c:v>
                </c:pt>
                <c:pt idx="2031">
                  <c:v>11月
2023</c:v>
                </c:pt>
                <c:pt idx="2032">
                  <c:v>11月
2023</c:v>
                </c:pt>
                <c:pt idx="2033">
                  <c:v>11月
2023</c:v>
                </c:pt>
                <c:pt idx="2034">
                  <c:v>11月
2023</c:v>
                </c:pt>
                <c:pt idx="2035">
                  <c:v>11月
2023</c:v>
                </c:pt>
                <c:pt idx="2036">
                  <c:v>11月
2023</c:v>
                </c:pt>
                <c:pt idx="2037">
                  <c:v>11月
2023</c:v>
                </c:pt>
                <c:pt idx="2038">
                  <c:v>11月
2023</c:v>
                </c:pt>
                <c:pt idx="2039">
                  <c:v>11月
2023</c:v>
                </c:pt>
                <c:pt idx="2040">
                  <c:v>11月
2023</c:v>
                </c:pt>
                <c:pt idx="2041">
                  <c:v>11月
2023</c:v>
                </c:pt>
                <c:pt idx="2042">
                  <c:v>11月
2023</c:v>
                </c:pt>
                <c:pt idx="2043">
                  <c:v>11月
2023</c:v>
                </c:pt>
                <c:pt idx="2044">
                  <c:v>11月
2023</c:v>
                </c:pt>
                <c:pt idx="2045">
                  <c:v>11月
2023</c:v>
                </c:pt>
                <c:pt idx="2046">
                  <c:v>11月
2023</c:v>
                </c:pt>
                <c:pt idx="2047">
                  <c:v>11月
2023</c:v>
                </c:pt>
                <c:pt idx="2048">
                  <c:v>11月
2023</c:v>
                </c:pt>
                <c:pt idx="2049">
                  <c:v>11月
2023</c:v>
                </c:pt>
                <c:pt idx="2050">
                  <c:v>11月
2023</c:v>
                </c:pt>
                <c:pt idx="2051">
                  <c:v>11月
2023</c:v>
                </c:pt>
                <c:pt idx="2052">
                  <c:v>11月
2023</c:v>
                </c:pt>
                <c:pt idx="2053">
                  <c:v>11月
2023</c:v>
                </c:pt>
                <c:pt idx="2054">
                  <c:v>11月
2023</c:v>
                </c:pt>
                <c:pt idx="2055">
                  <c:v>11月
2023</c:v>
                </c:pt>
                <c:pt idx="2056">
                  <c:v>11月
2023</c:v>
                </c:pt>
                <c:pt idx="2057">
                  <c:v>11月
2023</c:v>
                </c:pt>
                <c:pt idx="2058">
                  <c:v>11月
2023</c:v>
                </c:pt>
                <c:pt idx="2059">
                  <c:v>11月
2023</c:v>
                </c:pt>
                <c:pt idx="2060">
                  <c:v>12月
2023</c:v>
                </c:pt>
                <c:pt idx="2061">
                  <c:v>12月
2023</c:v>
                </c:pt>
                <c:pt idx="2062">
                  <c:v>12月
2023</c:v>
                </c:pt>
                <c:pt idx="2063">
                  <c:v>12月
2023</c:v>
                </c:pt>
                <c:pt idx="2064">
                  <c:v>12月
2023</c:v>
                </c:pt>
                <c:pt idx="2065">
                  <c:v>12月
2023</c:v>
                </c:pt>
                <c:pt idx="2066">
                  <c:v>12月
2023</c:v>
                </c:pt>
                <c:pt idx="2067">
                  <c:v>12月
2023</c:v>
                </c:pt>
                <c:pt idx="2068">
                  <c:v>12月
2023</c:v>
                </c:pt>
                <c:pt idx="2069">
                  <c:v>12月
2023</c:v>
                </c:pt>
                <c:pt idx="2070">
                  <c:v>12月
2023</c:v>
                </c:pt>
                <c:pt idx="2071">
                  <c:v>12月
2023</c:v>
                </c:pt>
                <c:pt idx="2072">
                  <c:v>12月
2023</c:v>
                </c:pt>
                <c:pt idx="2073">
                  <c:v>12月
2023</c:v>
                </c:pt>
                <c:pt idx="2074">
                  <c:v>12月
2023</c:v>
                </c:pt>
                <c:pt idx="2075">
                  <c:v>12月
2023</c:v>
                </c:pt>
                <c:pt idx="2076">
                  <c:v>12月
2023</c:v>
                </c:pt>
                <c:pt idx="2077">
                  <c:v>12月
2023</c:v>
                </c:pt>
                <c:pt idx="2078">
                  <c:v>12月
2023</c:v>
                </c:pt>
                <c:pt idx="2079">
                  <c:v>12月
2023</c:v>
                </c:pt>
                <c:pt idx="2080">
                  <c:v>12月
2023</c:v>
                </c:pt>
                <c:pt idx="2081">
                  <c:v>12月
2023</c:v>
                </c:pt>
                <c:pt idx="2082">
                  <c:v>12月
2023</c:v>
                </c:pt>
                <c:pt idx="2083">
                  <c:v>12月
2023</c:v>
                </c:pt>
                <c:pt idx="2084">
                  <c:v>12月
2023</c:v>
                </c:pt>
                <c:pt idx="2085">
                  <c:v>12月
2023</c:v>
                </c:pt>
                <c:pt idx="2086">
                  <c:v>12月
2023</c:v>
                </c:pt>
                <c:pt idx="2087">
                  <c:v>12月
2023</c:v>
                </c:pt>
                <c:pt idx="2088">
                  <c:v>12月
2023</c:v>
                </c:pt>
                <c:pt idx="2089">
                  <c:v>12月
2023</c:v>
                </c:pt>
                <c:pt idx="2090">
                  <c:v>12月
2023</c:v>
                </c:pt>
                <c:pt idx="2091">
                  <c:v>1月
2024</c:v>
                </c:pt>
                <c:pt idx="2092">
                  <c:v>1月
2024</c:v>
                </c:pt>
                <c:pt idx="2093">
                  <c:v>1月
2024</c:v>
                </c:pt>
                <c:pt idx="2094">
                  <c:v>1月
2024</c:v>
                </c:pt>
                <c:pt idx="2095">
                  <c:v>1月
2024</c:v>
                </c:pt>
                <c:pt idx="2096">
                  <c:v>1月
2024</c:v>
                </c:pt>
                <c:pt idx="2097">
                  <c:v>1月
2024</c:v>
                </c:pt>
                <c:pt idx="2098">
                  <c:v>1月
2024</c:v>
                </c:pt>
                <c:pt idx="2099">
                  <c:v>1月
2024</c:v>
                </c:pt>
                <c:pt idx="2100">
                  <c:v>1月
2024</c:v>
                </c:pt>
                <c:pt idx="2101">
                  <c:v>1月
2024</c:v>
                </c:pt>
                <c:pt idx="2102">
                  <c:v>1月
2024</c:v>
                </c:pt>
                <c:pt idx="2103">
                  <c:v>1月
2024</c:v>
                </c:pt>
                <c:pt idx="2104">
                  <c:v>1月
2024</c:v>
                </c:pt>
                <c:pt idx="2105">
                  <c:v>1月
2024</c:v>
                </c:pt>
                <c:pt idx="2106">
                  <c:v>1月
2024</c:v>
                </c:pt>
                <c:pt idx="2107">
                  <c:v>1月
2024</c:v>
                </c:pt>
                <c:pt idx="2108">
                  <c:v>1月
2024</c:v>
                </c:pt>
                <c:pt idx="2109">
                  <c:v>1月
2024</c:v>
                </c:pt>
                <c:pt idx="2110">
                  <c:v>1月
2024</c:v>
                </c:pt>
                <c:pt idx="2111">
                  <c:v>1月
2024</c:v>
                </c:pt>
                <c:pt idx="2112">
                  <c:v>1月
2024</c:v>
                </c:pt>
                <c:pt idx="2113">
                  <c:v>1月
2024</c:v>
                </c:pt>
                <c:pt idx="2114">
                  <c:v>1月
2024</c:v>
                </c:pt>
                <c:pt idx="2115">
                  <c:v>1月
2024</c:v>
                </c:pt>
                <c:pt idx="2116">
                  <c:v>1月
2024</c:v>
                </c:pt>
                <c:pt idx="2117">
                  <c:v>1月
2024</c:v>
                </c:pt>
                <c:pt idx="2118">
                  <c:v>1月
2024</c:v>
                </c:pt>
                <c:pt idx="2119">
                  <c:v>1月
2024</c:v>
                </c:pt>
                <c:pt idx="2120">
                  <c:v>1月
2024</c:v>
                </c:pt>
                <c:pt idx="2121">
                  <c:v>1月
2024</c:v>
                </c:pt>
                <c:pt idx="2122">
                  <c:v>2月
2024</c:v>
                </c:pt>
                <c:pt idx="2123">
                  <c:v>2月
2024</c:v>
                </c:pt>
                <c:pt idx="2124">
                  <c:v>2月
2024</c:v>
                </c:pt>
                <c:pt idx="2125">
                  <c:v>2月
2024</c:v>
                </c:pt>
                <c:pt idx="2126">
                  <c:v>2月
2024</c:v>
                </c:pt>
                <c:pt idx="2127">
                  <c:v>2月
2024</c:v>
                </c:pt>
                <c:pt idx="2128">
                  <c:v>2月
2024</c:v>
                </c:pt>
                <c:pt idx="2129">
                  <c:v>2月
2024</c:v>
                </c:pt>
                <c:pt idx="2130">
                  <c:v>2月
2024</c:v>
                </c:pt>
                <c:pt idx="2131">
                  <c:v>2月
2024</c:v>
                </c:pt>
                <c:pt idx="2132">
                  <c:v>2月
2024</c:v>
                </c:pt>
                <c:pt idx="2133">
                  <c:v>2月
2024</c:v>
                </c:pt>
                <c:pt idx="2134">
                  <c:v>2月
2024</c:v>
                </c:pt>
                <c:pt idx="2135">
                  <c:v>2月
2024</c:v>
                </c:pt>
                <c:pt idx="2136">
                  <c:v>2月
2024</c:v>
                </c:pt>
                <c:pt idx="2137">
                  <c:v>2月
2024</c:v>
                </c:pt>
                <c:pt idx="2138">
                  <c:v>2月
2024</c:v>
                </c:pt>
                <c:pt idx="2139">
                  <c:v>2月
2024</c:v>
                </c:pt>
                <c:pt idx="2140">
                  <c:v>2月
2024</c:v>
                </c:pt>
                <c:pt idx="2141">
                  <c:v>2月
2024</c:v>
                </c:pt>
                <c:pt idx="2142">
                  <c:v>2月
2024</c:v>
                </c:pt>
                <c:pt idx="2143">
                  <c:v>2月
2024</c:v>
                </c:pt>
                <c:pt idx="2144">
                  <c:v>2月
2024</c:v>
                </c:pt>
                <c:pt idx="2145">
                  <c:v>2月
2024</c:v>
                </c:pt>
                <c:pt idx="2146">
                  <c:v>2月
2024</c:v>
                </c:pt>
                <c:pt idx="2147">
                  <c:v>2月
2024</c:v>
                </c:pt>
                <c:pt idx="2148">
                  <c:v>2月
2024</c:v>
                </c:pt>
                <c:pt idx="2149">
                  <c:v>2月
2024</c:v>
                </c:pt>
                <c:pt idx="2150">
                  <c:v>2月
2024</c:v>
                </c:pt>
                <c:pt idx="2151">
                  <c:v>3月
2024</c:v>
                </c:pt>
                <c:pt idx="2152">
                  <c:v>3月
2024</c:v>
                </c:pt>
                <c:pt idx="2153">
                  <c:v>3月
2024</c:v>
                </c:pt>
                <c:pt idx="2154">
                  <c:v>3月
2024</c:v>
                </c:pt>
                <c:pt idx="2155">
                  <c:v>3月
2024</c:v>
                </c:pt>
                <c:pt idx="2156">
                  <c:v>3月
2024</c:v>
                </c:pt>
                <c:pt idx="2157">
                  <c:v>3月
2024</c:v>
                </c:pt>
                <c:pt idx="2158">
                  <c:v>3月
2024</c:v>
                </c:pt>
                <c:pt idx="2159">
                  <c:v>3月
2024</c:v>
                </c:pt>
                <c:pt idx="2160">
                  <c:v>3月
2024</c:v>
                </c:pt>
                <c:pt idx="2161">
                  <c:v>3月
2024</c:v>
                </c:pt>
                <c:pt idx="2162">
                  <c:v>3月
2024</c:v>
                </c:pt>
                <c:pt idx="2163">
                  <c:v>3月
2024</c:v>
                </c:pt>
                <c:pt idx="2164">
                  <c:v>3月
2024</c:v>
                </c:pt>
                <c:pt idx="2165">
                  <c:v>3月
2024</c:v>
                </c:pt>
                <c:pt idx="2166">
                  <c:v>3月
2024</c:v>
                </c:pt>
                <c:pt idx="2167">
                  <c:v>3月
2024</c:v>
                </c:pt>
                <c:pt idx="2168">
                  <c:v>3月
2024</c:v>
                </c:pt>
                <c:pt idx="2169">
                  <c:v>3月
2024</c:v>
                </c:pt>
                <c:pt idx="2170">
                  <c:v>3月
2024</c:v>
                </c:pt>
                <c:pt idx="2171">
                  <c:v>3月
2024</c:v>
                </c:pt>
                <c:pt idx="2172">
                  <c:v>3月
2024</c:v>
                </c:pt>
                <c:pt idx="2173">
                  <c:v>3月
2024</c:v>
                </c:pt>
                <c:pt idx="2174">
                  <c:v>3月
2024</c:v>
                </c:pt>
                <c:pt idx="2175">
                  <c:v>3月
2024</c:v>
                </c:pt>
                <c:pt idx="2176">
                  <c:v>3月
2024</c:v>
                </c:pt>
                <c:pt idx="2177">
                  <c:v>3月
2024</c:v>
                </c:pt>
                <c:pt idx="2178">
                  <c:v>3月
2024</c:v>
                </c:pt>
                <c:pt idx="2179">
                  <c:v>3月
2024</c:v>
                </c:pt>
                <c:pt idx="2180">
                  <c:v>3月
2024</c:v>
                </c:pt>
                <c:pt idx="2181">
                  <c:v>3月
2024</c:v>
                </c:pt>
              </c:strCache>
            </c:strRef>
          </c:cat>
          <c:val>
            <c:numRef>
              <c:f>'3大现货价格'!$C$3000:$C$5562</c:f>
              <c:numCache>
                <c:formatCode>#,##0.00_ </c:formatCode>
                <c:ptCount val="2563"/>
                <c:pt idx="0">
                  <c:v>66.819999999999993</c:v>
                </c:pt>
                <c:pt idx="1">
                  <c:v>67.069999999999993</c:v>
                </c:pt>
                <c:pt idx="2">
                  <c:v>67.39</c:v>
                </c:pt>
                <c:pt idx="3">
                  <c:v>67.39</c:v>
                </c:pt>
                <c:pt idx="4">
                  <c:v>67.39</c:v>
                </c:pt>
                <c:pt idx="5">
                  <c:v>66.22</c:v>
                </c:pt>
                <c:pt idx="6">
                  <c:v>66.52</c:v>
                </c:pt>
                <c:pt idx="7">
                  <c:v>68.47</c:v>
                </c:pt>
                <c:pt idx="8">
                  <c:v>68.290000000000006</c:v>
                </c:pt>
                <c:pt idx="9">
                  <c:v>68.400000000000006</c:v>
                </c:pt>
                <c:pt idx="10">
                  <c:v>68.400000000000006</c:v>
                </c:pt>
                <c:pt idx="11">
                  <c:v>68.400000000000006</c:v>
                </c:pt>
                <c:pt idx="12">
                  <c:v>68.64</c:v>
                </c:pt>
                <c:pt idx="13">
                  <c:v>67.7</c:v>
                </c:pt>
                <c:pt idx="14">
                  <c:v>68.05</c:v>
                </c:pt>
                <c:pt idx="15">
                  <c:v>68.19</c:v>
                </c:pt>
                <c:pt idx="16">
                  <c:v>68.099999999999994</c:v>
                </c:pt>
                <c:pt idx="17">
                  <c:v>68.099999999999994</c:v>
                </c:pt>
                <c:pt idx="18">
                  <c:v>68.099999999999994</c:v>
                </c:pt>
                <c:pt idx="19">
                  <c:v>68.569999999999993</c:v>
                </c:pt>
                <c:pt idx="20">
                  <c:v>67.25</c:v>
                </c:pt>
                <c:pt idx="21">
                  <c:v>67.930000000000007</c:v>
                </c:pt>
                <c:pt idx="22">
                  <c:v>68.430000000000007</c:v>
                </c:pt>
                <c:pt idx="23">
                  <c:v>69.72</c:v>
                </c:pt>
                <c:pt idx="24">
                  <c:v>69.72</c:v>
                </c:pt>
                <c:pt idx="25">
                  <c:v>69.72</c:v>
                </c:pt>
                <c:pt idx="26">
                  <c:v>70.73</c:v>
                </c:pt>
                <c:pt idx="27">
                  <c:v>69.06</c:v>
                </c:pt>
                <c:pt idx="28">
                  <c:v>71.14</c:v>
                </c:pt>
                <c:pt idx="29">
                  <c:v>71.36</c:v>
                </c:pt>
                <c:pt idx="30">
                  <c:v>70.7</c:v>
                </c:pt>
                <c:pt idx="31">
                  <c:v>70.7</c:v>
                </c:pt>
                <c:pt idx="32">
                  <c:v>70.7</c:v>
                </c:pt>
                <c:pt idx="33">
                  <c:v>70.959999999999994</c:v>
                </c:pt>
                <c:pt idx="34">
                  <c:v>71.31</c:v>
                </c:pt>
                <c:pt idx="35">
                  <c:v>71.489999999999995</c:v>
                </c:pt>
                <c:pt idx="36">
                  <c:v>71.489999999999995</c:v>
                </c:pt>
                <c:pt idx="37">
                  <c:v>71.28</c:v>
                </c:pt>
                <c:pt idx="38">
                  <c:v>71.28</c:v>
                </c:pt>
                <c:pt idx="39">
                  <c:v>71.28</c:v>
                </c:pt>
                <c:pt idx="40">
                  <c:v>72.239999999999995</c:v>
                </c:pt>
                <c:pt idx="41">
                  <c:v>72.13</c:v>
                </c:pt>
                <c:pt idx="42">
                  <c:v>71.84</c:v>
                </c:pt>
                <c:pt idx="43">
                  <c:v>70.709999999999994</c:v>
                </c:pt>
                <c:pt idx="44">
                  <c:v>67.88</c:v>
                </c:pt>
                <c:pt idx="45">
                  <c:v>67.88</c:v>
                </c:pt>
                <c:pt idx="46">
                  <c:v>67.88</c:v>
                </c:pt>
                <c:pt idx="47">
                  <c:v>66.52</c:v>
                </c:pt>
                <c:pt idx="48">
                  <c:v>66.73</c:v>
                </c:pt>
                <c:pt idx="49">
                  <c:v>68.209999999999994</c:v>
                </c:pt>
                <c:pt idx="50">
                  <c:v>67.040000000000006</c:v>
                </c:pt>
                <c:pt idx="51">
                  <c:v>65.81</c:v>
                </c:pt>
                <c:pt idx="52">
                  <c:v>65.81</c:v>
                </c:pt>
                <c:pt idx="53">
                  <c:v>65.81</c:v>
                </c:pt>
                <c:pt idx="54">
                  <c:v>64.75</c:v>
                </c:pt>
                <c:pt idx="55">
                  <c:v>65.52</c:v>
                </c:pt>
                <c:pt idx="56">
                  <c:v>64.73</c:v>
                </c:pt>
                <c:pt idx="57">
                  <c:v>65.95</c:v>
                </c:pt>
                <c:pt idx="58">
                  <c:v>65.739999999999995</c:v>
                </c:pt>
                <c:pt idx="59">
                  <c:v>65.739999999999995</c:v>
                </c:pt>
                <c:pt idx="60">
                  <c:v>65.739999999999995</c:v>
                </c:pt>
                <c:pt idx="61">
                  <c:v>66.099999999999994</c:v>
                </c:pt>
                <c:pt idx="62">
                  <c:v>66.36</c:v>
                </c:pt>
                <c:pt idx="63">
                  <c:v>66.64</c:v>
                </c:pt>
                <c:pt idx="64">
                  <c:v>66.89</c:v>
                </c:pt>
                <c:pt idx="65">
                  <c:v>65.06</c:v>
                </c:pt>
                <c:pt idx="66">
                  <c:v>65.06</c:v>
                </c:pt>
                <c:pt idx="67">
                  <c:v>65.06</c:v>
                </c:pt>
                <c:pt idx="68">
                  <c:v>65.849999999999994</c:v>
                </c:pt>
                <c:pt idx="69">
                  <c:v>65.069999999999993</c:v>
                </c:pt>
                <c:pt idx="70">
                  <c:v>66.22</c:v>
                </c:pt>
                <c:pt idx="71">
                  <c:v>65.540000000000006</c:v>
                </c:pt>
                <c:pt idx="72">
                  <c:v>68.58</c:v>
                </c:pt>
                <c:pt idx="73">
                  <c:v>68.58</c:v>
                </c:pt>
                <c:pt idx="74">
                  <c:v>68.58</c:v>
                </c:pt>
                <c:pt idx="75">
                  <c:v>68.08</c:v>
                </c:pt>
                <c:pt idx="76">
                  <c:v>70.53</c:v>
                </c:pt>
                <c:pt idx="77">
                  <c:v>72.760000000000005</c:v>
                </c:pt>
                <c:pt idx="78">
                  <c:v>73.45</c:v>
                </c:pt>
                <c:pt idx="79">
                  <c:v>74.150000000000006</c:v>
                </c:pt>
                <c:pt idx="80">
                  <c:v>74.150000000000006</c:v>
                </c:pt>
                <c:pt idx="81">
                  <c:v>74.150000000000006</c:v>
                </c:pt>
                <c:pt idx="82">
                  <c:v>73.94</c:v>
                </c:pt>
                <c:pt idx="83">
                  <c:v>74.14</c:v>
                </c:pt>
                <c:pt idx="84">
                  <c:v>74.33</c:v>
                </c:pt>
                <c:pt idx="85">
                  <c:v>72.94</c:v>
                </c:pt>
                <c:pt idx="86">
                  <c:v>73.8</c:v>
                </c:pt>
                <c:pt idx="87">
                  <c:v>73.8</c:v>
                </c:pt>
                <c:pt idx="88">
                  <c:v>73.8</c:v>
                </c:pt>
                <c:pt idx="89">
                  <c:v>73.849999999999994</c:v>
                </c:pt>
                <c:pt idx="90">
                  <c:v>74.11</c:v>
                </c:pt>
                <c:pt idx="91">
                  <c:v>70.38</c:v>
                </c:pt>
                <c:pt idx="92">
                  <c:v>70.33</c:v>
                </c:pt>
                <c:pt idx="93">
                  <c:v>71.010000000000005</c:v>
                </c:pt>
                <c:pt idx="94">
                  <c:v>71.010000000000005</c:v>
                </c:pt>
                <c:pt idx="95">
                  <c:v>71.010000000000005</c:v>
                </c:pt>
                <c:pt idx="96">
                  <c:v>68.06</c:v>
                </c:pt>
                <c:pt idx="97">
                  <c:v>68.08</c:v>
                </c:pt>
                <c:pt idx="98">
                  <c:v>68.760000000000005</c:v>
                </c:pt>
                <c:pt idx="99">
                  <c:v>69.459999999999994</c:v>
                </c:pt>
                <c:pt idx="100">
                  <c:v>68.260000000000005</c:v>
                </c:pt>
                <c:pt idx="101">
                  <c:v>68.260000000000005</c:v>
                </c:pt>
                <c:pt idx="102">
                  <c:v>68.260000000000005</c:v>
                </c:pt>
                <c:pt idx="103">
                  <c:v>67.89</c:v>
                </c:pt>
                <c:pt idx="104">
                  <c:v>68.52</c:v>
                </c:pt>
                <c:pt idx="105">
                  <c:v>69.3</c:v>
                </c:pt>
                <c:pt idx="106">
                  <c:v>69.61</c:v>
                </c:pt>
                <c:pt idx="107">
                  <c:v>68.69</c:v>
                </c:pt>
                <c:pt idx="108">
                  <c:v>68.69</c:v>
                </c:pt>
                <c:pt idx="109">
                  <c:v>68.69</c:v>
                </c:pt>
                <c:pt idx="110">
                  <c:v>70.13</c:v>
                </c:pt>
                <c:pt idx="111">
                  <c:v>68.760000000000005</c:v>
                </c:pt>
                <c:pt idx="112">
                  <c:v>67.66</c:v>
                </c:pt>
                <c:pt idx="113">
                  <c:v>68.959999999999994</c:v>
                </c:pt>
                <c:pt idx="114">
                  <c:v>68.489999999999995</c:v>
                </c:pt>
                <c:pt idx="115">
                  <c:v>68.489999999999995</c:v>
                </c:pt>
                <c:pt idx="116">
                  <c:v>68.489999999999995</c:v>
                </c:pt>
                <c:pt idx="117">
                  <c:v>69.010000000000005</c:v>
                </c:pt>
                <c:pt idx="118">
                  <c:v>69.17</c:v>
                </c:pt>
                <c:pt idx="119">
                  <c:v>66.94</c:v>
                </c:pt>
                <c:pt idx="120">
                  <c:v>66.81</c:v>
                </c:pt>
                <c:pt idx="121">
                  <c:v>67.63</c:v>
                </c:pt>
                <c:pt idx="122">
                  <c:v>67.63</c:v>
                </c:pt>
                <c:pt idx="123">
                  <c:v>67.63</c:v>
                </c:pt>
                <c:pt idx="124">
                  <c:v>67.2</c:v>
                </c:pt>
                <c:pt idx="125">
                  <c:v>67.040000000000006</c:v>
                </c:pt>
                <c:pt idx="126">
                  <c:v>65.010000000000005</c:v>
                </c:pt>
                <c:pt idx="127">
                  <c:v>65.459999999999994</c:v>
                </c:pt>
                <c:pt idx="128">
                  <c:v>65.91</c:v>
                </c:pt>
                <c:pt idx="129">
                  <c:v>65.91</c:v>
                </c:pt>
                <c:pt idx="130">
                  <c:v>65.91</c:v>
                </c:pt>
                <c:pt idx="131">
                  <c:v>66.430000000000007</c:v>
                </c:pt>
                <c:pt idx="132">
                  <c:v>67.349999999999994</c:v>
                </c:pt>
                <c:pt idx="133">
                  <c:v>67.86</c:v>
                </c:pt>
                <c:pt idx="134">
                  <c:v>67.83</c:v>
                </c:pt>
                <c:pt idx="135">
                  <c:v>68.72</c:v>
                </c:pt>
                <c:pt idx="136">
                  <c:v>68.72</c:v>
                </c:pt>
                <c:pt idx="137">
                  <c:v>68.72</c:v>
                </c:pt>
                <c:pt idx="138">
                  <c:v>68.87</c:v>
                </c:pt>
                <c:pt idx="139">
                  <c:v>68.53</c:v>
                </c:pt>
                <c:pt idx="140">
                  <c:v>69.510000000000005</c:v>
                </c:pt>
                <c:pt idx="141">
                  <c:v>70.25</c:v>
                </c:pt>
                <c:pt idx="142">
                  <c:v>69.8</c:v>
                </c:pt>
                <c:pt idx="143">
                  <c:v>69.8</c:v>
                </c:pt>
                <c:pt idx="144">
                  <c:v>69.8</c:v>
                </c:pt>
                <c:pt idx="145">
                  <c:v>70.09</c:v>
                </c:pt>
                <c:pt idx="146">
                  <c:v>69.87</c:v>
                </c:pt>
                <c:pt idx="147">
                  <c:v>68.72</c:v>
                </c:pt>
                <c:pt idx="148">
                  <c:v>67.77</c:v>
                </c:pt>
                <c:pt idx="149">
                  <c:v>67.75</c:v>
                </c:pt>
                <c:pt idx="150">
                  <c:v>67.75</c:v>
                </c:pt>
                <c:pt idx="151">
                  <c:v>67.75</c:v>
                </c:pt>
                <c:pt idx="152">
                  <c:v>67.540000000000006</c:v>
                </c:pt>
                <c:pt idx="153">
                  <c:v>69.25</c:v>
                </c:pt>
                <c:pt idx="154">
                  <c:v>70.37</c:v>
                </c:pt>
                <c:pt idx="155">
                  <c:v>68.59</c:v>
                </c:pt>
                <c:pt idx="156">
                  <c:v>68.989999999999995</c:v>
                </c:pt>
                <c:pt idx="157">
                  <c:v>68.989999999999995</c:v>
                </c:pt>
                <c:pt idx="158">
                  <c:v>68.989999999999995</c:v>
                </c:pt>
                <c:pt idx="159">
                  <c:v>68.91</c:v>
                </c:pt>
                <c:pt idx="160">
                  <c:v>69.849999999999994</c:v>
                </c:pt>
                <c:pt idx="161">
                  <c:v>71.12</c:v>
                </c:pt>
                <c:pt idx="162">
                  <c:v>70.319999999999993</c:v>
                </c:pt>
                <c:pt idx="163">
                  <c:v>70.78</c:v>
                </c:pt>
                <c:pt idx="164">
                  <c:v>70.78</c:v>
                </c:pt>
                <c:pt idx="165">
                  <c:v>70.78</c:v>
                </c:pt>
                <c:pt idx="166">
                  <c:v>72.08</c:v>
                </c:pt>
                <c:pt idx="167">
                  <c:v>72.28</c:v>
                </c:pt>
                <c:pt idx="168">
                  <c:v>71.569999999999993</c:v>
                </c:pt>
                <c:pt idx="169">
                  <c:v>72.12</c:v>
                </c:pt>
                <c:pt idx="170">
                  <c:v>73.25</c:v>
                </c:pt>
                <c:pt idx="171">
                  <c:v>73.25</c:v>
                </c:pt>
                <c:pt idx="172">
                  <c:v>73.25</c:v>
                </c:pt>
                <c:pt idx="173">
                  <c:v>75.3</c:v>
                </c:pt>
                <c:pt idx="174">
                  <c:v>75.23</c:v>
                </c:pt>
                <c:pt idx="175">
                  <c:v>76.41</c:v>
                </c:pt>
                <c:pt idx="176">
                  <c:v>74.33</c:v>
                </c:pt>
                <c:pt idx="177">
                  <c:v>74.34</c:v>
                </c:pt>
                <c:pt idx="178">
                  <c:v>74.34</c:v>
                </c:pt>
                <c:pt idx="179">
                  <c:v>74.34</c:v>
                </c:pt>
                <c:pt idx="180">
                  <c:v>74.290000000000006</c:v>
                </c:pt>
                <c:pt idx="181">
                  <c:v>74.959999999999994</c:v>
                </c:pt>
                <c:pt idx="182">
                  <c:v>73.17</c:v>
                </c:pt>
                <c:pt idx="183">
                  <c:v>70.97</c:v>
                </c:pt>
                <c:pt idx="184">
                  <c:v>71.34</c:v>
                </c:pt>
                <c:pt idx="185">
                  <c:v>71.34</c:v>
                </c:pt>
                <c:pt idx="186">
                  <c:v>71.34</c:v>
                </c:pt>
                <c:pt idx="187">
                  <c:v>71.78</c:v>
                </c:pt>
                <c:pt idx="188">
                  <c:v>71.92</c:v>
                </c:pt>
                <c:pt idx="189">
                  <c:v>69.75</c:v>
                </c:pt>
                <c:pt idx="190">
                  <c:v>68.650000000000006</c:v>
                </c:pt>
                <c:pt idx="191">
                  <c:v>69.12</c:v>
                </c:pt>
                <c:pt idx="192">
                  <c:v>69.12</c:v>
                </c:pt>
                <c:pt idx="193">
                  <c:v>69.12</c:v>
                </c:pt>
                <c:pt idx="194">
                  <c:v>69.17</c:v>
                </c:pt>
                <c:pt idx="195">
                  <c:v>66.430000000000007</c:v>
                </c:pt>
                <c:pt idx="196">
                  <c:v>66.819999999999993</c:v>
                </c:pt>
                <c:pt idx="197">
                  <c:v>67.33</c:v>
                </c:pt>
                <c:pt idx="198">
                  <c:v>67.59</c:v>
                </c:pt>
                <c:pt idx="199">
                  <c:v>67.59</c:v>
                </c:pt>
                <c:pt idx="200">
                  <c:v>67.59</c:v>
                </c:pt>
                <c:pt idx="201">
                  <c:v>67.040000000000006</c:v>
                </c:pt>
                <c:pt idx="202">
                  <c:v>66.180000000000007</c:v>
                </c:pt>
                <c:pt idx="203">
                  <c:v>65.31</c:v>
                </c:pt>
                <c:pt idx="204">
                  <c:v>63.69</c:v>
                </c:pt>
                <c:pt idx="205">
                  <c:v>63.14</c:v>
                </c:pt>
                <c:pt idx="206">
                  <c:v>63.14</c:v>
                </c:pt>
                <c:pt idx="207">
                  <c:v>63.14</c:v>
                </c:pt>
                <c:pt idx="208">
                  <c:v>63.1</c:v>
                </c:pt>
                <c:pt idx="209">
                  <c:v>62.21</c:v>
                </c:pt>
                <c:pt idx="210">
                  <c:v>61.67</c:v>
                </c:pt>
                <c:pt idx="211">
                  <c:v>60.67</c:v>
                </c:pt>
                <c:pt idx="212">
                  <c:v>60.19</c:v>
                </c:pt>
                <c:pt idx="213">
                  <c:v>60.19</c:v>
                </c:pt>
                <c:pt idx="214">
                  <c:v>60.19</c:v>
                </c:pt>
                <c:pt idx="215">
                  <c:v>59.93</c:v>
                </c:pt>
                <c:pt idx="216">
                  <c:v>55.69</c:v>
                </c:pt>
                <c:pt idx="217">
                  <c:v>56.25</c:v>
                </c:pt>
                <c:pt idx="218">
                  <c:v>56.46</c:v>
                </c:pt>
                <c:pt idx="219">
                  <c:v>56.46</c:v>
                </c:pt>
                <c:pt idx="220">
                  <c:v>56.46</c:v>
                </c:pt>
                <c:pt idx="221">
                  <c:v>56.46</c:v>
                </c:pt>
                <c:pt idx="222">
                  <c:v>56.76</c:v>
                </c:pt>
                <c:pt idx="223">
                  <c:v>53.43</c:v>
                </c:pt>
                <c:pt idx="224">
                  <c:v>54.63</c:v>
                </c:pt>
                <c:pt idx="225">
                  <c:v>53.86</c:v>
                </c:pt>
                <c:pt idx="226">
                  <c:v>50.42</c:v>
                </c:pt>
                <c:pt idx="227">
                  <c:v>50.42</c:v>
                </c:pt>
                <c:pt idx="228">
                  <c:v>50.42</c:v>
                </c:pt>
                <c:pt idx="229">
                  <c:v>51.63</c:v>
                </c:pt>
                <c:pt idx="230">
                  <c:v>51.56</c:v>
                </c:pt>
                <c:pt idx="231">
                  <c:v>50.29</c:v>
                </c:pt>
                <c:pt idx="232">
                  <c:v>51.45</c:v>
                </c:pt>
                <c:pt idx="233">
                  <c:v>50.93</c:v>
                </c:pt>
                <c:pt idx="234">
                  <c:v>50.93</c:v>
                </c:pt>
                <c:pt idx="235">
                  <c:v>50.93</c:v>
                </c:pt>
                <c:pt idx="236">
                  <c:v>52.95</c:v>
                </c:pt>
                <c:pt idx="237">
                  <c:v>53.25</c:v>
                </c:pt>
                <c:pt idx="238">
                  <c:v>52.89</c:v>
                </c:pt>
                <c:pt idx="239">
                  <c:v>51.49</c:v>
                </c:pt>
                <c:pt idx="240">
                  <c:v>52.61</c:v>
                </c:pt>
                <c:pt idx="241">
                  <c:v>52.61</c:v>
                </c:pt>
                <c:pt idx="242">
                  <c:v>52.61</c:v>
                </c:pt>
                <c:pt idx="243">
                  <c:v>51</c:v>
                </c:pt>
                <c:pt idx="244">
                  <c:v>51.65</c:v>
                </c:pt>
                <c:pt idx="245">
                  <c:v>51.15</c:v>
                </c:pt>
                <c:pt idx="246">
                  <c:v>52.58</c:v>
                </c:pt>
                <c:pt idx="247">
                  <c:v>51.2</c:v>
                </c:pt>
                <c:pt idx="248">
                  <c:v>51.2</c:v>
                </c:pt>
                <c:pt idx="249">
                  <c:v>51.2</c:v>
                </c:pt>
                <c:pt idx="250">
                  <c:v>49.88</c:v>
                </c:pt>
                <c:pt idx="251">
                  <c:v>46.24</c:v>
                </c:pt>
                <c:pt idx="252">
                  <c:v>47.2</c:v>
                </c:pt>
                <c:pt idx="253">
                  <c:v>45.88</c:v>
                </c:pt>
                <c:pt idx="254">
                  <c:v>45.59</c:v>
                </c:pt>
                <c:pt idx="255">
                  <c:v>45.59</c:v>
                </c:pt>
                <c:pt idx="256">
                  <c:v>45.59</c:v>
                </c:pt>
                <c:pt idx="257">
                  <c:v>42.53</c:v>
                </c:pt>
                <c:pt idx="258">
                  <c:v>42.53</c:v>
                </c:pt>
                <c:pt idx="259">
                  <c:v>46.22</c:v>
                </c:pt>
                <c:pt idx="260">
                  <c:v>44.61</c:v>
                </c:pt>
                <c:pt idx="261">
                  <c:v>45.33</c:v>
                </c:pt>
                <c:pt idx="262">
                  <c:v>45.33</c:v>
                </c:pt>
                <c:pt idx="263">
                  <c:v>45.33</c:v>
                </c:pt>
                <c:pt idx="264">
                  <c:v>45.41</c:v>
                </c:pt>
                <c:pt idx="265">
                  <c:v>45.41</c:v>
                </c:pt>
                <c:pt idx="266">
                  <c:v>46.54</c:v>
                </c:pt>
                <c:pt idx="267">
                  <c:v>47.09</c:v>
                </c:pt>
                <c:pt idx="268">
                  <c:v>47.96</c:v>
                </c:pt>
                <c:pt idx="269">
                  <c:v>47.96</c:v>
                </c:pt>
                <c:pt idx="270">
                  <c:v>47.96</c:v>
                </c:pt>
                <c:pt idx="271">
                  <c:v>48.52</c:v>
                </c:pt>
                <c:pt idx="272">
                  <c:v>49.78</c:v>
                </c:pt>
                <c:pt idx="273">
                  <c:v>52.36</c:v>
                </c:pt>
                <c:pt idx="274">
                  <c:v>52.59</c:v>
                </c:pt>
                <c:pt idx="275">
                  <c:v>51.59</c:v>
                </c:pt>
                <c:pt idx="276">
                  <c:v>51.59</c:v>
                </c:pt>
                <c:pt idx="277">
                  <c:v>51.59</c:v>
                </c:pt>
                <c:pt idx="278">
                  <c:v>50.51</c:v>
                </c:pt>
                <c:pt idx="279">
                  <c:v>52.11</c:v>
                </c:pt>
                <c:pt idx="280">
                  <c:v>52.31</c:v>
                </c:pt>
                <c:pt idx="281">
                  <c:v>52.07</c:v>
                </c:pt>
                <c:pt idx="282">
                  <c:v>53.8</c:v>
                </c:pt>
                <c:pt idx="283">
                  <c:v>53.8</c:v>
                </c:pt>
                <c:pt idx="284">
                  <c:v>53.8</c:v>
                </c:pt>
                <c:pt idx="285">
                  <c:v>54.17</c:v>
                </c:pt>
                <c:pt idx="286">
                  <c:v>52.57</c:v>
                </c:pt>
                <c:pt idx="287">
                  <c:v>52.62</c:v>
                </c:pt>
                <c:pt idx="288">
                  <c:v>53.13</c:v>
                </c:pt>
                <c:pt idx="289">
                  <c:v>53.69</c:v>
                </c:pt>
                <c:pt idx="290">
                  <c:v>53.69</c:v>
                </c:pt>
                <c:pt idx="291">
                  <c:v>53.69</c:v>
                </c:pt>
                <c:pt idx="292">
                  <c:v>51.99</c:v>
                </c:pt>
                <c:pt idx="293">
                  <c:v>53.31</c:v>
                </c:pt>
                <c:pt idx="294">
                  <c:v>54.23</c:v>
                </c:pt>
                <c:pt idx="295">
                  <c:v>53.79</c:v>
                </c:pt>
                <c:pt idx="296">
                  <c:v>55.26</c:v>
                </c:pt>
                <c:pt idx="297">
                  <c:v>55.26</c:v>
                </c:pt>
                <c:pt idx="298">
                  <c:v>55.26</c:v>
                </c:pt>
                <c:pt idx="299">
                  <c:v>54.56</c:v>
                </c:pt>
                <c:pt idx="300">
                  <c:v>53.66</c:v>
                </c:pt>
                <c:pt idx="301">
                  <c:v>54.01</c:v>
                </c:pt>
                <c:pt idx="302">
                  <c:v>52.64</c:v>
                </c:pt>
                <c:pt idx="303">
                  <c:v>52.72</c:v>
                </c:pt>
                <c:pt idx="304">
                  <c:v>52.72</c:v>
                </c:pt>
                <c:pt idx="305">
                  <c:v>52.72</c:v>
                </c:pt>
                <c:pt idx="306">
                  <c:v>52.41</c:v>
                </c:pt>
                <c:pt idx="307">
                  <c:v>53.1</c:v>
                </c:pt>
                <c:pt idx="308">
                  <c:v>53.9</c:v>
                </c:pt>
                <c:pt idx="309">
                  <c:v>54.41</c:v>
                </c:pt>
                <c:pt idx="310">
                  <c:v>55.59</c:v>
                </c:pt>
                <c:pt idx="311">
                  <c:v>55.59</c:v>
                </c:pt>
                <c:pt idx="312">
                  <c:v>55.59</c:v>
                </c:pt>
                <c:pt idx="313">
                  <c:v>56.06</c:v>
                </c:pt>
                <c:pt idx="314">
                  <c:v>56.09</c:v>
                </c:pt>
                <c:pt idx="315">
                  <c:v>56.92</c:v>
                </c:pt>
                <c:pt idx="316">
                  <c:v>56.96</c:v>
                </c:pt>
                <c:pt idx="317">
                  <c:v>57.26</c:v>
                </c:pt>
                <c:pt idx="318">
                  <c:v>57.26</c:v>
                </c:pt>
                <c:pt idx="319">
                  <c:v>57.26</c:v>
                </c:pt>
                <c:pt idx="320">
                  <c:v>55.48</c:v>
                </c:pt>
                <c:pt idx="321">
                  <c:v>55.5</c:v>
                </c:pt>
                <c:pt idx="322">
                  <c:v>56.94</c:v>
                </c:pt>
                <c:pt idx="323">
                  <c:v>57.22</c:v>
                </c:pt>
                <c:pt idx="324">
                  <c:v>55.8</c:v>
                </c:pt>
                <c:pt idx="325">
                  <c:v>55.8</c:v>
                </c:pt>
                <c:pt idx="326">
                  <c:v>55.8</c:v>
                </c:pt>
                <c:pt idx="327">
                  <c:v>56.59</c:v>
                </c:pt>
                <c:pt idx="328">
                  <c:v>56.56</c:v>
                </c:pt>
                <c:pt idx="329">
                  <c:v>56.22</c:v>
                </c:pt>
                <c:pt idx="330">
                  <c:v>56.66</c:v>
                </c:pt>
                <c:pt idx="331">
                  <c:v>56.07</c:v>
                </c:pt>
                <c:pt idx="332">
                  <c:v>56.07</c:v>
                </c:pt>
                <c:pt idx="333">
                  <c:v>56.07</c:v>
                </c:pt>
                <c:pt idx="334">
                  <c:v>56.79</c:v>
                </c:pt>
                <c:pt idx="335">
                  <c:v>56.87</c:v>
                </c:pt>
                <c:pt idx="336">
                  <c:v>58.26</c:v>
                </c:pt>
                <c:pt idx="337">
                  <c:v>58.61</c:v>
                </c:pt>
                <c:pt idx="338">
                  <c:v>58.52</c:v>
                </c:pt>
                <c:pt idx="339">
                  <c:v>58.52</c:v>
                </c:pt>
                <c:pt idx="340">
                  <c:v>58.52</c:v>
                </c:pt>
                <c:pt idx="341">
                  <c:v>59.09</c:v>
                </c:pt>
                <c:pt idx="342">
                  <c:v>59.03</c:v>
                </c:pt>
                <c:pt idx="343">
                  <c:v>59.83</c:v>
                </c:pt>
                <c:pt idx="344">
                  <c:v>59.98</c:v>
                </c:pt>
                <c:pt idx="345">
                  <c:v>59.04</c:v>
                </c:pt>
                <c:pt idx="346">
                  <c:v>59.04</c:v>
                </c:pt>
                <c:pt idx="347">
                  <c:v>59.04</c:v>
                </c:pt>
                <c:pt idx="348">
                  <c:v>58.82</c:v>
                </c:pt>
                <c:pt idx="349">
                  <c:v>59.94</c:v>
                </c:pt>
                <c:pt idx="350">
                  <c:v>59.41</c:v>
                </c:pt>
                <c:pt idx="351">
                  <c:v>59.3</c:v>
                </c:pt>
                <c:pt idx="352">
                  <c:v>60.14</c:v>
                </c:pt>
                <c:pt idx="353">
                  <c:v>60.14</c:v>
                </c:pt>
                <c:pt idx="354">
                  <c:v>60.14</c:v>
                </c:pt>
                <c:pt idx="355">
                  <c:v>61.59</c:v>
                </c:pt>
                <c:pt idx="356">
                  <c:v>62.58</c:v>
                </c:pt>
                <c:pt idx="357">
                  <c:v>62.46</c:v>
                </c:pt>
                <c:pt idx="358">
                  <c:v>62.1</c:v>
                </c:pt>
                <c:pt idx="359">
                  <c:v>63.08</c:v>
                </c:pt>
                <c:pt idx="360">
                  <c:v>63.08</c:v>
                </c:pt>
                <c:pt idx="361">
                  <c:v>63.08</c:v>
                </c:pt>
                <c:pt idx="362">
                  <c:v>64.400000000000006</c:v>
                </c:pt>
                <c:pt idx="363">
                  <c:v>63.98</c:v>
                </c:pt>
                <c:pt idx="364">
                  <c:v>64.61</c:v>
                </c:pt>
                <c:pt idx="365">
                  <c:v>63.58</c:v>
                </c:pt>
                <c:pt idx="366">
                  <c:v>63.89</c:v>
                </c:pt>
                <c:pt idx="367">
                  <c:v>63.89</c:v>
                </c:pt>
                <c:pt idx="368">
                  <c:v>63.89</c:v>
                </c:pt>
                <c:pt idx="369">
                  <c:v>63.4</c:v>
                </c:pt>
                <c:pt idx="370">
                  <c:v>64.05</c:v>
                </c:pt>
                <c:pt idx="371">
                  <c:v>63.76</c:v>
                </c:pt>
                <c:pt idx="372">
                  <c:v>64</c:v>
                </c:pt>
                <c:pt idx="373">
                  <c:v>64</c:v>
                </c:pt>
                <c:pt idx="374">
                  <c:v>64</c:v>
                </c:pt>
                <c:pt idx="375">
                  <c:v>64</c:v>
                </c:pt>
                <c:pt idx="376">
                  <c:v>65.7</c:v>
                </c:pt>
                <c:pt idx="377">
                  <c:v>66.3</c:v>
                </c:pt>
                <c:pt idx="378">
                  <c:v>65.89</c:v>
                </c:pt>
                <c:pt idx="379">
                  <c:v>65.209999999999994</c:v>
                </c:pt>
                <c:pt idx="380">
                  <c:v>63.3</c:v>
                </c:pt>
                <c:pt idx="381">
                  <c:v>63.3</c:v>
                </c:pt>
                <c:pt idx="382">
                  <c:v>63.3</c:v>
                </c:pt>
                <c:pt idx="383">
                  <c:v>63.5</c:v>
                </c:pt>
                <c:pt idx="384">
                  <c:v>63.91</c:v>
                </c:pt>
                <c:pt idx="385">
                  <c:v>63.6</c:v>
                </c:pt>
                <c:pt idx="386">
                  <c:v>61.81</c:v>
                </c:pt>
                <c:pt idx="387">
                  <c:v>61.94</c:v>
                </c:pt>
                <c:pt idx="388">
                  <c:v>61.94</c:v>
                </c:pt>
                <c:pt idx="389">
                  <c:v>61.94</c:v>
                </c:pt>
                <c:pt idx="390">
                  <c:v>62.25</c:v>
                </c:pt>
                <c:pt idx="391">
                  <c:v>61.4</c:v>
                </c:pt>
                <c:pt idx="392">
                  <c:v>62.12</c:v>
                </c:pt>
                <c:pt idx="393">
                  <c:v>61.7</c:v>
                </c:pt>
                <c:pt idx="394">
                  <c:v>61.66</c:v>
                </c:pt>
                <c:pt idx="395">
                  <c:v>61.66</c:v>
                </c:pt>
                <c:pt idx="396">
                  <c:v>61.66</c:v>
                </c:pt>
                <c:pt idx="397">
                  <c:v>61.04</c:v>
                </c:pt>
                <c:pt idx="398">
                  <c:v>61.78</c:v>
                </c:pt>
                <c:pt idx="399">
                  <c:v>62.02</c:v>
                </c:pt>
                <c:pt idx="400">
                  <c:v>62.87</c:v>
                </c:pt>
                <c:pt idx="401">
                  <c:v>62.76</c:v>
                </c:pt>
                <c:pt idx="402">
                  <c:v>62.76</c:v>
                </c:pt>
                <c:pt idx="403">
                  <c:v>62.76</c:v>
                </c:pt>
                <c:pt idx="404">
                  <c:v>63.1</c:v>
                </c:pt>
                <c:pt idx="405">
                  <c:v>62.99</c:v>
                </c:pt>
                <c:pt idx="406">
                  <c:v>61.42</c:v>
                </c:pt>
                <c:pt idx="407">
                  <c:v>57.91</c:v>
                </c:pt>
                <c:pt idx="408">
                  <c:v>58.63</c:v>
                </c:pt>
                <c:pt idx="409">
                  <c:v>58.63</c:v>
                </c:pt>
                <c:pt idx="410">
                  <c:v>58.63</c:v>
                </c:pt>
                <c:pt idx="411">
                  <c:v>59.13</c:v>
                </c:pt>
                <c:pt idx="412">
                  <c:v>59.14</c:v>
                </c:pt>
                <c:pt idx="413">
                  <c:v>58.81</c:v>
                </c:pt>
                <c:pt idx="414">
                  <c:v>56.59</c:v>
                </c:pt>
                <c:pt idx="415">
                  <c:v>53.5</c:v>
                </c:pt>
                <c:pt idx="416">
                  <c:v>53.5</c:v>
                </c:pt>
                <c:pt idx="417">
                  <c:v>53.5</c:v>
                </c:pt>
                <c:pt idx="418">
                  <c:v>53.25</c:v>
                </c:pt>
                <c:pt idx="419">
                  <c:v>53.48</c:v>
                </c:pt>
                <c:pt idx="420">
                  <c:v>51.68</c:v>
                </c:pt>
                <c:pt idx="421">
                  <c:v>52.59</c:v>
                </c:pt>
                <c:pt idx="422">
                  <c:v>53.99</c:v>
                </c:pt>
                <c:pt idx="423">
                  <c:v>53.99</c:v>
                </c:pt>
                <c:pt idx="424">
                  <c:v>53.99</c:v>
                </c:pt>
                <c:pt idx="425">
                  <c:v>53.26</c:v>
                </c:pt>
                <c:pt idx="426">
                  <c:v>53.27</c:v>
                </c:pt>
                <c:pt idx="427">
                  <c:v>51.14</c:v>
                </c:pt>
                <c:pt idx="428">
                  <c:v>52.28</c:v>
                </c:pt>
                <c:pt idx="429">
                  <c:v>52.51</c:v>
                </c:pt>
                <c:pt idx="430">
                  <c:v>52.51</c:v>
                </c:pt>
                <c:pt idx="431">
                  <c:v>52.51</c:v>
                </c:pt>
                <c:pt idx="432">
                  <c:v>51.93</c:v>
                </c:pt>
                <c:pt idx="433">
                  <c:v>53.9</c:v>
                </c:pt>
                <c:pt idx="434">
                  <c:v>53.76</c:v>
                </c:pt>
                <c:pt idx="435">
                  <c:v>56.65</c:v>
                </c:pt>
                <c:pt idx="436">
                  <c:v>57.43</c:v>
                </c:pt>
                <c:pt idx="437">
                  <c:v>57.43</c:v>
                </c:pt>
                <c:pt idx="438">
                  <c:v>57.43</c:v>
                </c:pt>
                <c:pt idx="439">
                  <c:v>57.9</c:v>
                </c:pt>
                <c:pt idx="440">
                  <c:v>57.83</c:v>
                </c:pt>
                <c:pt idx="441">
                  <c:v>59.38</c:v>
                </c:pt>
                <c:pt idx="442">
                  <c:v>59.43</c:v>
                </c:pt>
                <c:pt idx="443">
                  <c:v>58.47</c:v>
                </c:pt>
                <c:pt idx="444">
                  <c:v>58.47</c:v>
                </c:pt>
                <c:pt idx="445">
                  <c:v>58.47</c:v>
                </c:pt>
                <c:pt idx="446">
                  <c:v>59.09</c:v>
                </c:pt>
                <c:pt idx="447">
                  <c:v>56.25</c:v>
                </c:pt>
                <c:pt idx="448">
                  <c:v>57.34</c:v>
                </c:pt>
                <c:pt idx="449">
                  <c:v>56.8</c:v>
                </c:pt>
                <c:pt idx="450">
                  <c:v>57.51</c:v>
                </c:pt>
                <c:pt idx="451">
                  <c:v>57.51</c:v>
                </c:pt>
                <c:pt idx="452">
                  <c:v>57.51</c:v>
                </c:pt>
                <c:pt idx="453">
                  <c:v>57.66</c:v>
                </c:pt>
                <c:pt idx="454">
                  <c:v>57.83</c:v>
                </c:pt>
                <c:pt idx="455">
                  <c:v>60.43</c:v>
                </c:pt>
                <c:pt idx="456">
                  <c:v>60.2</c:v>
                </c:pt>
                <c:pt idx="457">
                  <c:v>60.21</c:v>
                </c:pt>
                <c:pt idx="458">
                  <c:v>60.21</c:v>
                </c:pt>
                <c:pt idx="459">
                  <c:v>60.21</c:v>
                </c:pt>
                <c:pt idx="460">
                  <c:v>59.58</c:v>
                </c:pt>
                <c:pt idx="461">
                  <c:v>57.62</c:v>
                </c:pt>
                <c:pt idx="462">
                  <c:v>56.78</c:v>
                </c:pt>
                <c:pt idx="463">
                  <c:v>55.3</c:v>
                </c:pt>
                <c:pt idx="464">
                  <c:v>55.63</c:v>
                </c:pt>
                <c:pt idx="465">
                  <c:v>55.63</c:v>
                </c:pt>
                <c:pt idx="466">
                  <c:v>55.63</c:v>
                </c:pt>
                <c:pt idx="467">
                  <c:v>56.22</c:v>
                </c:pt>
                <c:pt idx="468">
                  <c:v>56.77</c:v>
                </c:pt>
                <c:pt idx="469">
                  <c:v>55.88</c:v>
                </c:pt>
                <c:pt idx="470">
                  <c:v>56.02</c:v>
                </c:pt>
                <c:pt idx="471">
                  <c:v>56.2</c:v>
                </c:pt>
                <c:pt idx="472">
                  <c:v>56.2</c:v>
                </c:pt>
                <c:pt idx="473">
                  <c:v>56.2</c:v>
                </c:pt>
                <c:pt idx="474">
                  <c:v>56.87</c:v>
                </c:pt>
                <c:pt idx="475">
                  <c:v>58.05</c:v>
                </c:pt>
                <c:pt idx="476">
                  <c:v>58.58</c:v>
                </c:pt>
                <c:pt idx="477">
                  <c:v>53.95</c:v>
                </c:pt>
                <c:pt idx="478">
                  <c:v>55.66</c:v>
                </c:pt>
                <c:pt idx="479">
                  <c:v>55.66</c:v>
                </c:pt>
                <c:pt idx="480">
                  <c:v>55.66</c:v>
                </c:pt>
                <c:pt idx="481">
                  <c:v>54.69</c:v>
                </c:pt>
                <c:pt idx="482">
                  <c:v>53.63</c:v>
                </c:pt>
                <c:pt idx="483">
                  <c:v>51.09</c:v>
                </c:pt>
                <c:pt idx="484">
                  <c:v>52.54</c:v>
                </c:pt>
                <c:pt idx="485">
                  <c:v>54.5</c:v>
                </c:pt>
                <c:pt idx="486">
                  <c:v>54.5</c:v>
                </c:pt>
                <c:pt idx="487">
                  <c:v>54.5</c:v>
                </c:pt>
                <c:pt idx="488">
                  <c:v>54.93</c:v>
                </c:pt>
                <c:pt idx="489">
                  <c:v>57.1</c:v>
                </c:pt>
                <c:pt idx="490">
                  <c:v>55.23</c:v>
                </c:pt>
                <c:pt idx="491">
                  <c:v>54.47</c:v>
                </c:pt>
                <c:pt idx="492">
                  <c:v>54.87</c:v>
                </c:pt>
                <c:pt idx="493">
                  <c:v>54.87</c:v>
                </c:pt>
                <c:pt idx="494">
                  <c:v>54.87</c:v>
                </c:pt>
                <c:pt idx="495">
                  <c:v>56.21</c:v>
                </c:pt>
                <c:pt idx="496">
                  <c:v>56.34</c:v>
                </c:pt>
                <c:pt idx="497">
                  <c:v>55.68</c:v>
                </c:pt>
                <c:pt idx="498">
                  <c:v>55.35</c:v>
                </c:pt>
                <c:pt idx="499">
                  <c:v>54.17</c:v>
                </c:pt>
                <c:pt idx="500">
                  <c:v>54.17</c:v>
                </c:pt>
                <c:pt idx="501">
                  <c:v>54.17</c:v>
                </c:pt>
                <c:pt idx="502">
                  <c:v>53.64</c:v>
                </c:pt>
                <c:pt idx="503">
                  <c:v>54.93</c:v>
                </c:pt>
                <c:pt idx="504">
                  <c:v>55.78</c:v>
                </c:pt>
                <c:pt idx="505">
                  <c:v>56.71</c:v>
                </c:pt>
                <c:pt idx="506">
                  <c:v>55.1</c:v>
                </c:pt>
                <c:pt idx="507">
                  <c:v>55.1</c:v>
                </c:pt>
                <c:pt idx="508">
                  <c:v>55.1</c:v>
                </c:pt>
                <c:pt idx="509">
                  <c:v>54.84</c:v>
                </c:pt>
                <c:pt idx="510">
                  <c:v>53.94</c:v>
                </c:pt>
                <c:pt idx="511">
                  <c:v>56.26</c:v>
                </c:pt>
                <c:pt idx="512">
                  <c:v>56.3</c:v>
                </c:pt>
                <c:pt idx="513">
                  <c:v>56.52</c:v>
                </c:pt>
                <c:pt idx="514">
                  <c:v>56.52</c:v>
                </c:pt>
                <c:pt idx="515">
                  <c:v>56.52</c:v>
                </c:pt>
                <c:pt idx="516">
                  <c:v>57.85</c:v>
                </c:pt>
                <c:pt idx="517">
                  <c:v>57.4</c:v>
                </c:pt>
                <c:pt idx="518">
                  <c:v>55.75</c:v>
                </c:pt>
                <c:pt idx="519">
                  <c:v>55.09</c:v>
                </c:pt>
                <c:pt idx="520">
                  <c:v>54.85</c:v>
                </c:pt>
                <c:pt idx="521">
                  <c:v>54.85</c:v>
                </c:pt>
                <c:pt idx="522">
                  <c:v>54.85</c:v>
                </c:pt>
                <c:pt idx="523">
                  <c:v>62.9</c:v>
                </c:pt>
                <c:pt idx="524">
                  <c:v>59.34</c:v>
                </c:pt>
                <c:pt idx="525">
                  <c:v>58.11</c:v>
                </c:pt>
                <c:pt idx="526">
                  <c:v>58.13</c:v>
                </c:pt>
                <c:pt idx="527">
                  <c:v>58.09</c:v>
                </c:pt>
                <c:pt idx="528">
                  <c:v>58.09</c:v>
                </c:pt>
                <c:pt idx="529">
                  <c:v>58.09</c:v>
                </c:pt>
                <c:pt idx="530">
                  <c:v>58.64</c:v>
                </c:pt>
                <c:pt idx="531">
                  <c:v>57.29</c:v>
                </c:pt>
                <c:pt idx="532">
                  <c:v>56.49</c:v>
                </c:pt>
                <c:pt idx="533">
                  <c:v>56.41</c:v>
                </c:pt>
                <c:pt idx="534">
                  <c:v>55.91</c:v>
                </c:pt>
                <c:pt idx="535">
                  <c:v>55.91</c:v>
                </c:pt>
                <c:pt idx="536">
                  <c:v>55.91</c:v>
                </c:pt>
                <c:pt idx="537">
                  <c:v>54.07</c:v>
                </c:pt>
                <c:pt idx="538">
                  <c:v>53.62</c:v>
                </c:pt>
                <c:pt idx="539">
                  <c:v>52.64</c:v>
                </c:pt>
                <c:pt idx="540">
                  <c:v>52.45</c:v>
                </c:pt>
                <c:pt idx="541">
                  <c:v>52.81</c:v>
                </c:pt>
                <c:pt idx="542">
                  <c:v>52.81</c:v>
                </c:pt>
                <c:pt idx="543">
                  <c:v>52.81</c:v>
                </c:pt>
                <c:pt idx="544">
                  <c:v>52.75</c:v>
                </c:pt>
                <c:pt idx="545">
                  <c:v>52.63</c:v>
                </c:pt>
                <c:pt idx="546">
                  <c:v>52.59</c:v>
                </c:pt>
                <c:pt idx="547">
                  <c:v>53.55</c:v>
                </c:pt>
                <c:pt idx="548">
                  <c:v>54.7</c:v>
                </c:pt>
                <c:pt idx="549">
                  <c:v>54.7</c:v>
                </c:pt>
                <c:pt idx="550">
                  <c:v>54.7</c:v>
                </c:pt>
                <c:pt idx="551">
                  <c:v>53.59</c:v>
                </c:pt>
                <c:pt idx="552">
                  <c:v>52.81</c:v>
                </c:pt>
                <c:pt idx="553">
                  <c:v>53.36</c:v>
                </c:pt>
                <c:pt idx="554">
                  <c:v>53.93</c:v>
                </c:pt>
                <c:pt idx="555">
                  <c:v>53.78</c:v>
                </c:pt>
                <c:pt idx="556">
                  <c:v>53.78</c:v>
                </c:pt>
                <c:pt idx="557">
                  <c:v>53.78</c:v>
                </c:pt>
                <c:pt idx="558">
                  <c:v>53.31</c:v>
                </c:pt>
                <c:pt idx="559">
                  <c:v>54.16</c:v>
                </c:pt>
                <c:pt idx="560">
                  <c:v>55.97</c:v>
                </c:pt>
                <c:pt idx="561">
                  <c:v>56.23</c:v>
                </c:pt>
                <c:pt idx="562">
                  <c:v>56.66</c:v>
                </c:pt>
                <c:pt idx="563">
                  <c:v>56.66</c:v>
                </c:pt>
                <c:pt idx="564">
                  <c:v>56.66</c:v>
                </c:pt>
                <c:pt idx="565">
                  <c:v>55.81</c:v>
                </c:pt>
                <c:pt idx="566">
                  <c:v>55.54</c:v>
                </c:pt>
                <c:pt idx="567">
                  <c:v>55.06</c:v>
                </c:pt>
                <c:pt idx="568">
                  <c:v>54.18</c:v>
                </c:pt>
                <c:pt idx="569">
                  <c:v>56.2</c:v>
                </c:pt>
                <c:pt idx="570">
                  <c:v>56.2</c:v>
                </c:pt>
                <c:pt idx="571">
                  <c:v>56.2</c:v>
                </c:pt>
                <c:pt idx="572">
                  <c:v>56.54</c:v>
                </c:pt>
                <c:pt idx="573">
                  <c:v>57.23</c:v>
                </c:pt>
                <c:pt idx="574">
                  <c:v>56.35</c:v>
                </c:pt>
                <c:pt idx="575">
                  <c:v>57.15</c:v>
                </c:pt>
                <c:pt idx="576">
                  <c:v>57.24</c:v>
                </c:pt>
                <c:pt idx="577">
                  <c:v>57.24</c:v>
                </c:pt>
                <c:pt idx="578">
                  <c:v>57.24</c:v>
                </c:pt>
                <c:pt idx="579">
                  <c:v>56.86</c:v>
                </c:pt>
                <c:pt idx="580">
                  <c:v>56.8</c:v>
                </c:pt>
                <c:pt idx="581">
                  <c:v>57.12</c:v>
                </c:pt>
                <c:pt idx="582">
                  <c:v>56.77</c:v>
                </c:pt>
                <c:pt idx="583">
                  <c:v>57.72</c:v>
                </c:pt>
                <c:pt idx="584">
                  <c:v>57.72</c:v>
                </c:pt>
                <c:pt idx="585">
                  <c:v>57.72</c:v>
                </c:pt>
                <c:pt idx="586">
                  <c:v>57.05</c:v>
                </c:pt>
                <c:pt idx="587">
                  <c:v>55.21</c:v>
                </c:pt>
                <c:pt idx="588">
                  <c:v>57.11</c:v>
                </c:pt>
                <c:pt idx="589">
                  <c:v>58.58</c:v>
                </c:pt>
                <c:pt idx="590">
                  <c:v>57.77</c:v>
                </c:pt>
                <c:pt idx="591">
                  <c:v>57.77</c:v>
                </c:pt>
                <c:pt idx="592">
                  <c:v>57.77</c:v>
                </c:pt>
                <c:pt idx="593">
                  <c:v>58.01</c:v>
                </c:pt>
                <c:pt idx="594">
                  <c:v>58.41</c:v>
                </c:pt>
                <c:pt idx="595">
                  <c:v>58.11</c:v>
                </c:pt>
                <c:pt idx="596">
                  <c:v>58.25</c:v>
                </c:pt>
                <c:pt idx="597">
                  <c:v>55.17</c:v>
                </c:pt>
                <c:pt idx="598">
                  <c:v>55.17</c:v>
                </c:pt>
                <c:pt idx="599">
                  <c:v>55.17</c:v>
                </c:pt>
                <c:pt idx="600">
                  <c:v>55.96</c:v>
                </c:pt>
                <c:pt idx="601">
                  <c:v>56.1</c:v>
                </c:pt>
                <c:pt idx="602">
                  <c:v>58.43</c:v>
                </c:pt>
                <c:pt idx="603">
                  <c:v>58.43</c:v>
                </c:pt>
                <c:pt idx="604">
                  <c:v>59.2</c:v>
                </c:pt>
                <c:pt idx="605">
                  <c:v>59.2</c:v>
                </c:pt>
                <c:pt idx="606">
                  <c:v>59.2</c:v>
                </c:pt>
                <c:pt idx="607">
                  <c:v>59.02</c:v>
                </c:pt>
                <c:pt idx="608">
                  <c:v>59.24</c:v>
                </c:pt>
                <c:pt idx="609">
                  <c:v>58.76</c:v>
                </c:pt>
                <c:pt idx="610">
                  <c:v>59.18</c:v>
                </c:pt>
                <c:pt idx="611">
                  <c:v>60.07</c:v>
                </c:pt>
                <c:pt idx="612">
                  <c:v>60.07</c:v>
                </c:pt>
                <c:pt idx="613">
                  <c:v>60.07</c:v>
                </c:pt>
                <c:pt idx="614">
                  <c:v>60.21</c:v>
                </c:pt>
                <c:pt idx="615">
                  <c:v>60.94</c:v>
                </c:pt>
                <c:pt idx="616">
                  <c:v>60.93</c:v>
                </c:pt>
                <c:pt idx="617">
                  <c:v>61.18</c:v>
                </c:pt>
                <c:pt idx="618">
                  <c:v>60.44</c:v>
                </c:pt>
                <c:pt idx="619">
                  <c:v>60.44</c:v>
                </c:pt>
                <c:pt idx="620">
                  <c:v>60.44</c:v>
                </c:pt>
                <c:pt idx="621">
                  <c:v>60.52</c:v>
                </c:pt>
                <c:pt idx="622">
                  <c:v>61.11</c:v>
                </c:pt>
                <c:pt idx="623">
                  <c:v>61.11</c:v>
                </c:pt>
                <c:pt idx="624">
                  <c:v>61.68</c:v>
                </c:pt>
                <c:pt idx="625">
                  <c:v>61.72</c:v>
                </c:pt>
                <c:pt idx="626">
                  <c:v>61.72</c:v>
                </c:pt>
                <c:pt idx="627">
                  <c:v>61.72</c:v>
                </c:pt>
                <c:pt idx="628">
                  <c:v>61.68</c:v>
                </c:pt>
                <c:pt idx="629">
                  <c:v>61.06</c:v>
                </c:pt>
                <c:pt idx="630">
                  <c:v>61.06</c:v>
                </c:pt>
                <c:pt idx="631">
                  <c:v>61.18</c:v>
                </c:pt>
                <c:pt idx="632">
                  <c:v>63.05</c:v>
                </c:pt>
                <c:pt idx="633">
                  <c:v>63.05</c:v>
                </c:pt>
                <c:pt idx="634">
                  <c:v>63.05</c:v>
                </c:pt>
                <c:pt idx="635">
                  <c:v>63.27</c:v>
                </c:pt>
                <c:pt idx="636">
                  <c:v>62.7</c:v>
                </c:pt>
                <c:pt idx="637">
                  <c:v>59.61</c:v>
                </c:pt>
                <c:pt idx="638">
                  <c:v>59.56</c:v>
                </c:pt>
                <c:pt idx="639">
                  <c:v>59.04</c:v>
                </c:pt>
                <c:pt idx="640">
                  <c:v>59.04</c:v>
                </c:pt>
                <c:pt idx="641">
                  <c:v>59.04</c:v>
                </c:pt>
                <c:pt idx="642">
                  <c:v>58.08</c:v>
                </c:pt>
                <c:pt idx="643">
                  <c:v>58.23</c:v>
                </c:pt>
                <c:pt idx="644">
                  <c:v>57.81</c:v>
                </c:pt>
                <c:pt idx="645">
                  <c:v>58.52</c:v>
                </c:pt>
                <c:pt idx="646">
                  <c:v>58.54</c:v>
                </c:pt>
                <c:pt idx="647">
                  <c:v>58.54</c:v>
                </c:pt>
                <c:pt idx="648">
                  <c:v>58.54</c:v>
                </c:pt>
                <c:pt idx="649">
                  <c:v>58.76</c:v>
                </c:pt>
                <c:pt idx="650">
                  <c:v>58.34</c:v>
                </c:pt>
                <c:pt idx="651">
                  <c:v>56.74</c:v>
                </c:pt>
                <c:pt idx="652">
                  <c:v>55.59</c:v>
                </c:pt>
                <c:pt idx="653">
                  <c:v>54.19</c:v>
                </c:pt>
                <c:pt idx="654">
                  <c:v>54.19</c:v>
                </c:pt>
                <c:pt idx="655">
                  <c:v>54.19</c:v>
                </c:pt>
                <c:pt idx="656">
                  <c:v>53.14</c:v>
                </c:pt>
                <c:pt idx="657">
                  <c:v>53.48</c:v>
                </c:pt>
                <c:pt idx="658">
                  <c:v>53.33</c:v>
                </c:pt>
                <c:pt idx="659">
                  <c:v>52.14</c:v>
                </c:pt>
                <c:pt idx="660">
                  <c:v>51.56</c:v>
                </c:pt>
                <c:pt idx="661">
                  <c:v>51.56</c:v>
                </c:pt>
                <c:pt idx="662">
                  <c:v>51.56</c:v>
                </c:pt>
                <c:pt idx="663">
                  <c:v>50.11</c:v>
                </c:pt>
                <c:pt idx="664">
                  <c:v>49.61</c:v>
                </c:pt>
                <c:pt idx="665">
                  <c:v>50.75</c:v>
                </c:pt>
                <c:pt idx="666">
                  <c:v>50.95</c:v>
                </c:pt>
                <c:pt idx="667">
                  <c:v>50.32</c:v>
                </c:pt>
                <c:pt idx="668">
                  <c:v>50.32</c:v>
                </c:pt>
                <c:pt idx="669">
                  <c:v>50.32</c:v>
                </c:pt>
                <c:pt idx="670">
                  <c:v>49.57</c:v>
                </c:pt>
                <c:pt idx="671">
                  <c:v>49.94</c:v>
                </c:pt>
                <c:pt idx="672">
                  <c:v>51.17</c:v>
                </c:pt>
                <c:pt idx="673">
                  <c:v>51.42</c:v>
                </c:pt>
                <c:pt idx="674">
                  <c:v>52.05</c:v>
                </c:pt>
                <c:pt idx="675">
                  <c:v>52.05</c:v>
                </c:pt>
                <c:pt idx="676">
                  <c:v>52.05</c:v>
                </c:pt>
                <c:pt idx="677">
                  <c:v>52.31</c:v>
                </c:pt>
                <c:pt idx="678">
                  <c:v>52.05</c:v>
                </c:pt>
                <c:pt idx="679">
                  <c:v>53.29</c:v>
                </c:pt>
                <c:pt idx="680">
                  <c:v>53.88</c:v>
                </c:pt>
                <c:pt idx="681">
                  <c:v>53.38</c:v>
                </c:pt>
                <c:pt idx="682">
                  <c:v>53.38</c:v>
                </c:pt>
                <c:pt idx="683">
                  <c:v>53.38</c:v>
                </c:pt>
                <c:pt idx="684">
                  <c:v>51.43</c:v>
                </c:pt>
                <c:pt idx="685">
                  <c:v>49.9</c:v>
                </c:pt>
                <c:pt idx="686">
                  <c:v>48.73</c:v>
                </c:pt>
                <c:pt idx="687">
                  <c:v>47.09</c:v>
                </c:pt>
                <c:pt idx="688">
                  <c:v>44.76</c:v>
                </c:pt>
                <c:pt idx="689">
                  <c:v>44.76</c:v>
                </c:pt>
                <c:pt idx="690">
                  <c:v>44.76</c:v>
                </c:pt>
                <c:pt idx="691">
                  <c:v>46.75</c:v>
                </c:pt>
                <c:pt idx="692">
                  <c:v>47.18</c:v>
                </c:pt>
                <c:pt idx="693">
                  <c:v>46.78</c:v>
                </c:pt>
                <c:pt idx="694">
                  <c:v>45.9</c:v>
                </c:pt>
                <c:pt idx="695">
                  <c:v>41.28</c:v>
                </c:pt>
                <c:pt idx="696">
                  <c:v>41.28</c:v>
                </c:pt>
                <c:pt idx="697">
                  <c:v>41.28</c:v>
                </c:pt>
                <c:pt idx="698">
                  <c:v>31.13</c:v>
                </c:pt>
                <c:pt idx="699">
                  <c:v>34.36</c:v>
                </c:pt>
                <c:pt idx="700">
                  <c:v>32.979999999999997</c:v>
                </c:pt>
                <c:pt idx="701">
                  <c:v>31.5</c:v>
                </c:pt>
                <c:pt idx="702">
                  <c:v>31.73</c:v>
                </c:pt>
                <c:pt idx="703">
                  <c:v>31.73</c:v>
                </c:pt>
                <c:pt idx="704">
                  <c:v>31.73</c:v>
                </c:pt>
                <c:pt idx="705">
                  <c:v>28.7</c:v>
                </c:pt>
                <c:pt idx="706">
                  <c:v>26.95</c:v>
                </c:pt>
                <c:pt idx="707">
                  <c:v>20.37</c:v>
                </c:pt>
                <c:pt idx="708">
                  <c:v>25.22</c:v>
                </c:pt>
                <c:pt idx="709">
                  <c:v>22.63</c:v>
                </c:pt>
                <c:pt idx="710">
                  <c:v>22.63</c:v>
                </c:pt>
                <c:pt idx="711">
                  <c:v>22.63</c:v>
                </c:pt>
                <c:pt idx="712">
                  <c:v>23.36</c:v>
                </c:pt>
                <c:pt idx="713">
                  <c:v>24.01</c:v>
                </c:pt>
                <c:pt idx="714">
                  <c:v>24.49</c:v>
                </c:pt>
                <c:pt idx="715">
                  <c:v>22.6</c:v>
                </c:pt>
                <c:pt idx="716">
                  <c:v>21.51</c:v>
                </c:pt>
                <c:pt idx="717">
                  <c:v>21.51</c:v>
                </c:pt>
                <c:pt idx="718">
                  <c:v>21.51</c:v>
                </c:pt>
                <c:pt idx="719">
                  <c:v>20.09</c:v>
                </c:pt>
                <c:pt idx="720">
                  <c:v>20.48</c:v>
                </c:pt>
                <c:pt idx="721">
                  <c:v>20.309999999999999</c:v>
                </c:pt>
                <c:pt idx="722">
                  <c:v>25.32</c:v>
                </c:pt>
                <c:pt idx="723">
                  <c:v>28.34</c:v>
                </c:pt>
                <c:pt idx="724">
                  <c:v>28.34</c:v>
                </c:pt>
                <c:pt idx="725">
                  <c:v>28.34</c:v>
                </c:pt>
                <c:pt idx="726">
                  <c:v>26.08</c:v>
                </c:pt>
                <c:pt idx="727">
                  <c:v>23.63</c:v>
                </c:pt>
                <c:pt idx="728">
                  <c:v>25.09</c:v>
                </c:pt>
                <c:pt idx="729">
                  <c:v>22.76</c:v>
                </c:pt>
                <c:pt idx="730">
                  <c:v>22.76</c:v>
                </c:pt>
                <c:pt idx="731">
                  <c:v>22.76</c:v>
                </c:pt>
                <c:pt idx="732">
                  <c:v>22.76</c:v>
                </c:pt>
                <c:pt idx="733">
                  <c:v>22.41</c:v>
                </c:pt>
                <c:pt idx="734">
                  <c:v>20.11</c:v>
                </c:pt>
                <c:pt idx="735">
                  <c:v>19.87</c:v>
                </c:pt>
                <c:pt idx="736">
                  <c:v>19.87</c:v>
                </c:pt>
                <c:pt idx="737">
                  <c:v>18.27</c:v>
                </c:pt>
                <c:pt idx="738">
                  <c:v>18.27</c:v>
                </c:pt>
                <c:pt idx="739">
                  <c:v>18.27</c:v>
                </c:pt>
                <c:pt idx="740">
                  <c:v>-37.630000000000003</c:v>
                </c:pt>
                <c:pt idx="741">
                  <c:v>10.01</c:v>
                </c:pt>
                <c:pt idx="742">
                  <c:v>13.78</c:v>
                </c:pt>
                <c:pt idx="743">
                  <c:v>16.5</c:v>
                </c:pt>
                <c:pt idx="744">
                  <c:v>16.940000000000001</c:v>
                </c:pt>
                <c:pt idx="745">
                  <c:v>16.940000000000001</c:v>
                </c:pt>
                <c:pt idx="746">
                  <c:v>16.940000000000001</c:v>
                </c:pt>
                <c:pt idx="747">
                  <c:v>12.78</c:v>
                </c:pt>
                <c:pt idx="748">
                  <c:v>12.34</c:v>
                </c:pt>
                <c:pt idx="749">
                  <c:v>15.06</c:v>
                </c:pt>
                <c:pt idx="750">
                  <c:v>18.84</c:v>
                </c:pt>
                <c:pt idx="751">
                  <c:v>19.78</c:v>
                </c:pt>
                <c:pt idx="752">
                  <c:v>19.78</c:v>
                </c:pt>
                <c:pt idx="753">
                  <c:v>19.78</c:v>
                </c:pt>
                <c:pt idx="754">
                  <c:v>20.39</c:v>
                </c:pt>
                <c:pt idx="755">
                  <c:v>24.56</c:v>
                </c:pt>
                <c:pt idx="756">
                  <c:v>23.99</c:v>
                </c:pt>
                <c:pt idx="757">
                  <c:v>23.55</c:v>
                </c:pt>
                <c:pt idx="758">
                  <c:v>24.74</c:v>
                </c:pt>
                <c:pt idx="759">
                  <c:v>24.74</c:v>
                </c:pt>
                <c:pt idx="760">
                  <c:v>24.74</c:v>
                </c:pt>
                <c:pt idx="761">
                  <c:v>24.14</c:v>
                </c:pt>
                <c:pt idx="762">
                  <c:v>25.78</c:v>
                </c:pt>
                <c:pt idx="763">
                  <c:v>25.29</c:v>
                </c:pt>
                <c:pt idx="764">
                  <c:v>27.56</c:v>
                </c:pt>
                <c:pt idx="765">
                  <c:v>29.43</c:v>
                </c:pt>
                <c:pt idx="766">
                  <c:v>29.43</c:v>
                </c:pt>
                <c:pt idx="767">
                  <c:v>29.43</c:v>
                </c:pt>
                <c:pt idx="768">
                  <c:v>31.82</c:v>
                </c:pt>
                <c:pt idx="769">
                  <c:v>31.96</c:v>
                </c:pt>
                <c:pt idx="770">
                  <c:v>33.49</c:v>
                </c:pt>
                <c:pt idx="771">
                  <c:v>33.92</c:v>
                </c:pt>
                <c:pt idx="772">
                  <c:v>33.25</c:v>
                </c:pt>
                <c:pt idx="773">
                  <c:v>33.25</c:v>
                </c:pt>
                <c:pt idx="774">
                  <c:v>33.25</c:v>
                </c:pt>
                <c:pt idx="775">
                  <c:v>33.72</c:v>
                </c:pt>
                <c:pt idx="776">
                  <c:v>34.35</c:v>
                </c:pt>
                <c:pt idx="777">
                  <c:v>32.81</c:v>
                </c:pt>
                <c:pt idx="778">
                  <c:v>33.71</c:v>
                </c:pt>
                <c:pt idx="779">
                  <c:v>35.49</c:v>
                </c:pt>
                <c:pt idx="780">
                  <c:v>35.49</c:v>
                </c:pt>
                <c:pt idx="781">
                  <c:v>35.49</c:v>
                </c:pt>
                <c:pt idx="782">
                  <c:v>35.44</c:v>
                </c:pt>
                <c:pt idx="783">
                  <c:v>36.81</c:v>
                </c:pt>
                <c:pt idx="784">
                  <c:v>37.29</c:v>
                </c:pt>
                <c:pt idx="785">
                  <c:v>37.409999999999997</c:v>
                </c:pt>
                <c:pt idx="786">
                  <c:v>39.549999999999997</c:v>
                </c:pt>
                <c:pt idx="787">
                  <c:v>39.549999999999997</c:v>
                </c:pt>
                <c:pt idx="788">
                  <c:v>39.549999999999997</c:v>
                </c:pt>
                <c:pt idx="789">
                  <c:v>38.19</c:v>
                </c:pt>
                <c:pt idx="790">
                  <c:v>38.94</c:v>
                </c:pt>
                <c:pt idx="791">
                  <c:v>39.6</c:v>
                </c:pt>
                <c:pt idx="792">
                  <c:v>36.340000000000003</c:v>
                </c:pt>
                <c:pt idx="793">
                  <c:v>36.26</c:v>
                </c:pt>
                <c:pt idx="794">
                  <c:v>36.26</c:v>
                </c:pt>
                <c:pt idx="795">
                  <c:v>36.26</c:v>
                </c:pt>
                <c:pt idx="796">
                  <c:v>37.119999999999997</c:v>
                </c:pt>
                <c:pt idx="797">
                  <c:v>38.380000000000003</c:v>
                </c:pt>
                <c:pt idx="798">
                  <c:v>37.96</c:v>
                </c:pt>
                <c:pt idx="799">
                  <c:v>38.840000000000003</c:v>
                </c:pt>
                <c:pt idx="800">
                  <c:v>39.75</c:v>
                </c:pt>
                <c:pt idx="801">
                  <c:v>39.75</c:v>
                </c:pt>
                <c:pt idx="802">
                  <c:v>39.75</c:v>
                </c:pt>
                <c:pt idx="803">
                  <c:v>40.46</c:v>
                </c:pt>
                <c:pt idx="804">
                  <c:v>40.369999999999997</c:v>
                </c:pt>
                <c:pt idx="805">
                  <c:v>38.01</c:v>
                </c:pt>
                <c:pt idx="806">
                  <c:v>38.72</c:v>
                </c:pt>
                <c:pt idx="807">
                  <c:v>38.49</c:v>
                </c:pt>
                <c:pt idx="808">
                  <c:v>38.49</c:v>
                </c:pt>
                <c:pt idx="809">
                  <c:v>38.49</c:v>
                </c:pt>
                <c:pt idx="810">
                  <c:v>39.700000000000003</c:v>
                </c:pt>
                <c:pt idx="811">
                  <c:v>39.270000000000003</c:v>
                </c:pt>
                <c:pt idx="812">
                  <c:v>39.82</c:v>
                </c:pt>
                <c:pt idx="813">
                  <c:v>40.65</c:v>
                </c:pt>
                <c:pt idx="814">
                  <c:v>40.24</c:v>
                </c:pt>
                <c:pt idx="815">
                  <c:v>40.24</c:v>
                </c:pt>
                <c:pt idx="816">
                  <c:v>40.24</c:v>
                </c:pt>
                <c:pt idx="817">
                  <c:v>40.630000000000003</c:v>
                </c:pt>
                <c:pt idx="818">
                  <c:v>40.619999999999997</c:v>
                </c:pt>
                <c:pt idx="819">
                  <c:v>40.9</c:v>
                </c:pt>
                <c:pt idx="820">
                  <c:v>39.619999999999997</c:v>
                </c:pt>
                <c:pt idx="821">
                  <c:v>40.549999999999997</c:v>
                </c:pt>
                <c:pt idx="822">
                  <c:v>40.549999999999997</c:v>
                </c:pt>
                <c:pt idx="823">
                  <c:v>40.549999999999997</c:v>
                </c:pt>
                <c:pt idx="824">
                  <c:v>40.1</c:v>
                </c:pt>
                <c:pt idx="825">
                  <c:v>40.29</c:v>
                </c:pt>
                <c:pt idx="826">
                  <c:v>41.2</c:v>
                </c:pt>
                <c:pt idx="827">
                  <c:v>40.75</c:v>
                </c:pt>
                <c:pt idx="828">
                  <c:v>40.590000000000003</c:v>
                </c:pt>
                <c:pt idx="829">
                  <c:v>40.590000000000003</c:v>
                </c:pt>
                <c:pt idx="830">
                  <c:v>40.590000000000003</c:v>
                </c:pt>
                <c:pt idx="831">
                  <c:v>40.81</c:v>
                </c:pt>
                <c:pt idx="832">
                  <c:v>41.96</c:v>
                </c:pt>
                <c:pt idx="833">
                  <c:v>41.9</c:v>
                </c:pt>
                <c:pt idx="834">
                  <c:v>41.07</c:v>
                </c:pt>
                <c:pt idx="835">
                  <c:v>41.29</c:v>
                </c:pt>
                <c:pt idx="836">
                  <c:v>41.29</c:v>
                </c:pt>
                <c:pt idx="837">
                  <c:v>41.29</c:v>
                </c:pt>
                <c:pt idx="838">
                  <c:v>41.6</c:v>
                </c:pt>
                <c:pt idx="839">
                  <c:v>41.04</c:v>
                </c:pt>
                <c:pt idx="840">
                  <c:v>41.27</c:v>
                </c:pt>
                <c:pt idx="841">
                  <c:v>39.92</c:v>
                </c:pt>
                <c:pt idx="842">
                  <c:v>40.270000000000003</c:v>
                </c:pt>
                <c:pt idx="843">
                  <c:v>40.270000000000003</c:v>
                </c:pt>
                <c:pt idx="844">
                  <c:v>40.270000000000003</c:v>
                </c:pt>
                <c:pt idx="845">
                  <c:v>41.01</c:v>
                </c:pt>
                <c:pt idx="846">
                  <c:v>41.7</c:v>
                </c:pt>
                <c:pt idx="847">
                  <c:v>42.19</c:v>
                </c:pt>
                <c:pt idx="848">
                  <c:v>41.95</c:v>
                </c:pt>
                <c:pt idx="849">
                  <c:v>41.22</c:v>
                </c:pt>
                <c:pt idx="850">
                  <c:v>41.22</c:v>
                </c:pt>
                <c:pt idx="851">
                  <c:v>41.22</c:v>
                </c:pt>
                <c:pt idx="852">
                  <c:v>41.94</c:v>
                </c:pt>
                <c:pt idx="853">
                  <c:v>41.61</c:v>
                </c:pt>
                <c:pt idx="854">
                  <c:v>42.67</c:v>
                </c:pt>
                <c:pt idx="855">
                  <c:v>42.24</c:v>
                </c:pt>
                <c:pt idx="856">
                  <c:v>42.01</c:v>
                </c:pt>
                <c:pt idx="857">
                  <c:v>42.01</c:v>
                </c:pt>
                <c:pt idx="858">
                  <c:v>42.01</c:v>
                </c:pt>
                <c:pt idx="859">
                  <c:v>42.89</c:v>
                </c:pt>
                <c:pt idx="860">
                  <c:v>42.89</c:v>
                </c:pt>
                <c:pt idx="861">
                  <c:v>42.93</c:v>
                </c:pt>
                <c:pt idx="862">
                  <c:v>42.82</c:v>
                </c:pt>
                <c:pt idx="863">
                  <c:v>42.34</c:v>
                </c:pt>
                <c:pt idx="864">
                  <c:v>42.34</c:v>
                </c:pt>
                <c:pt idx="865">
                  <c:v>42.34</c:v>
                </c:pt>
                <c:pt idx="866">
                  <c:v>42.62</c:v>
                </c:pt>
                <c:pt idx="867">
                  <c:v>43.35</c:v>
                </c:pt>
                <c:pt idx="868">
                  <c:v>43.39</c:v>
                </c:pt>
                <c:pt idx="869">
                  <c:v>43.04</c:v>
                </c:pt>
                <c:pt idx="870">
                  <c:v>42.97</c:v>
                </c:pt>
                <c:pt idx="871">
                  <c:v>42.97</c:v>
                </c:pt>
                <c:pt idx="872">
                  <c:v>42.97</c:v>
                </c:pt>
                <c:pt idx="873">
                  <c:v>42.61</c:v>
                </c:pt>
                <c:pt idx="874">
                  <c:v>42.76</c:v>
                </c:pt>
                <c:pt idx="875">
                  <c:v>41.51</c:v>
                </c:pt>
                <c:pt idx="876">
                  <c:v>41.37</c:v>
                </c:pt>
                <c:pt idx="877">
                  <c:v>39.770000000000003</c:v>
                </c:pt>
                <c:pt idx="878">
                  <c:v>39.770000000000003</c:v>
                </c:pt>
                <c:pt idx="879">
                  <c:v>39.770000000000003</c:v>
                </c:pt>
                <c:pt idx="880">
                  <c:v>39.08</c:v>
                </c:pt>
                <c:pt idx="881">
                  <c:v>36.76</c:v>
                </c:pt>
                <c:pt idx="882">
                  <c:v>38.049999999999997</c:v>
                </c:pt>
                <c:pt idx="883">
                  <c:v>37.299999999999997</c:v>
                </c:pt>
                <c:pt idx="884">
                  <c:v>37.33</c:v>
                </c:pt>
                <c:pt idx="885">
                  <c:v>37.33</c:v>
                </c:pt>
                <c:pt idx="886">
                  <c:v>37.33</c:v>
                </c:pt>
                <c:pt idx="887">
                  <c:v>37.26</c:v>
                </c:pt>
                <c:pt idx="888">
                  <c:v>38.28</c:v>
                </c:pt>
                <c:pt idx="889">
                  <c:v>40.159999999999997</c:v>
                </c:pt>
                <c:pt idx="890">
                  <c:v>40.97</c:v>
                </c:pt>
                <c:pt idx="891">
                  <c:v>41.11</c:v>
                </c:pt>
                <c:pt idx="892">
                  <c:v>41.11</c:v>
                </c:pt>
                <c:pt idx="893">
                  <c:v>41.11</c:v>
                </c:pt>
                <c:pt idx="894">
                  <c:v>39.31</c:v>
                </c:pt>
                <c:pt idx="895">
                  <c:v>39.799999999999997</c:v>
                </c:pt>
                <c:pt idx="896">
                  <c:v>39.93</c:v>
                </c:pt>
                <c:pt idx="897">
                  <c:v>40.31</c:v>
                </c:pt>
                <c:pt idx="898">
                  <c:v>40.25</c:v>
                </c:pt>
                <c:pt idx="899">
                  <c:v>40.25</c:v>
                </c:pt>
                <c:pt idx="900">
                  <c:v>40.25</c:v>
                </c:pt>
                <c:pt idx="901">
                  <c:v>40.6</c:v>
                </c:pt>
                <c:pt idx="902">
                  <c:v>39.29</c:v>
                </c:pt>
                <c:pt idx="903">
                  <c:v>40.22</c:v>
                </c:pt>
                <c:pt idx="904">
                  <c:v>38.72</c:v>
                </c:pt>
                <c:pt idx="905">
                  <c:v>37.049999999999997</c:v>
                </c:pt>
                <c:pt idx="906">
                  <c:v>37.049999999999997</c:v>
                </c:pt>
                <c:pt idx="907">
                  <c:v>37.049999999999997</c:v>
                </c:pt>
                <c:pt idx="908">
                  <c:v>39.22</c:v>
                </c:pt>
                <c:pt idx="909">
                  <c:v>40.67</c:v>
                </c:pt>
                <c:pt idx="910">
                  <c:v>39.950000000000003</c:v>
                </c:pt>
                <c:pt idx="911">
                  <c:v>41.19</c:v>
                </c:pt>
                <c:pt idx="912">
                  <c:v>40.6</c:v>
                </c:pt>
                <c:pt idx="913">
                  <c:v>40.6</c:v>
                </c:pt>
                <c:pt idx="914">
                  <c:v>40.6</c:v>
                </c:pt>
                <c:pt idx="915">
                  <c:v>39.43</c:v>
                </c:pt>
                <c:pt idx="916">
                  <c:v>40.200000000000003</c:v>
                </c:pt>
                <c:pt idx="917">
                  <c:v>41.04</c:v>
                </c:pt>
                <c:pt idx="918">
                  <c:v>40.96</c:v>
                </c:pt>
                <c:pt idx="919">
                  <c:v>40.880000000000003</c:v>
                </c:pt>
                <c:pt idx="920">
                  <c:v>40.880000000000003</c:v>
                </c:pt>
                <c:pt idx="921">
                  <c:v>40.880000000000003</c:v>
                </c:pt>
                <c:pt idx="922">
                  <c:v>40.83</c:v>
                </c:pt>
                <c:pt idx="923">
                  <c:v>41.46</c:v>
                </c:pt>
                <c:pt idx="924">
                  <c:v>40.03</c:v>
                </c:pt>
                <c:pt idx="925">
                  <c:v>40.64</c:v>
                </c:pt>
                <c:pt idx="926">
                  <c:v>39.85</c:v>
                </c:pt>
                <c:pt idx="927">
                  <c:v>39.85</c:v>
                </c:pt>
                <c:pt idx="928">
                  <c:v>39.85</c:v>
                </c:pt>
                <c:pt idx="929">
                  <c:v>38.56</c:v>
                </c:pt>
                <c:pt idx="930">
                  <c:v>39.57</c:v>
                </c:pt>
                <c:pt idx="931">
                  <c:v>37.39</c:v>
                </c:pt>
                <c:pt idx="932">
                  <c:v>36.17</c:v>
                </c:pt>
                <c:pt idx="933">
                  <c:v>35.79</c:v>
                </c:pt>
                <c:pt idx="934">
                  <c:v>35.79</c:v>
                </c:pt>
                <c:pt idx="935">
                  <c:v>35.79</c:v>
                </c:pt>
                <c:pt idx="936">
                  <c:v>36.81</c:v>
                </c:pt>
                <c:pt idx="937">
                  <c:v>37.659999999999997</c:v>
                </c:pt>
                <c:pt idx="938">
                  <c:v>39.15</c:v>
                </c:pt>
                <c:pt idx="939">
                  <c:v>38.79</c:v>
                </c:pt>
                <c:pt idx="940">
                  <c:v>37.14</c:v>
                </c:pt>
                <c:pt idx="941">
                  <c:v>37.14</c:v>
                </c:pt>
                <c:pt idx="942">
                  <c:v>37.14</c:v>
                </c:pt>
                <c:pt idx="943">
                  <c:v>40.29</c:v>
                </c:pt>
                <c:pt idx="944">
                  <c:v>41.36</c:v>
                </c:pt>
                <c:pt idx="945">
                  <c:v>41.45</c:v>
                </c:pt>
                <c:pt idx="946">
                  <c:v>41.12</c:v>
                </c:pt>
                <c:pt idx="947">
                  <c:v>40.130000000000003</c:v>
                </c:pt>
                <c:pt idx="948">
                  <c:v>40.130000000000003</c:v>
                </c:pt>
                <c:pt idx="949">
                  <c:v>40.130000000000003</c:v>
                </c:pt>
                <c:pt idx="950">
                  <c:v>41.34</c:v>
                </c:pt>
                <c:pt idx="951">
                  <c:v>41.43</c:v>
                </c:pt>
                <c:pt idx="952">
                  <c:v>41.82</c:v>
                </c:pt>
                <c:pt idx="953">
                  <c:v>41.74</c:v>
                </c:pt>
                <c:pt idx="954">
                  <c:v>42.42</c:v>
                </c:pt>
                <c:pt idx="955">
                  <c:v>42.42</c:v>
                </c:pt>
                <c:pt idx="956">
                  <c:v>42.42</c:v>
                </c:pt>
                <c:pt idx="957">
                  <c:v>43.06</c:v>
                </c:pt>
                <c:pt idx="958">
                  <c:v>44.91</c:v>
                </c:pt>
                <c:pt idx="959">
                  <c:v>45.71</c:v>
                </c:pt>
                <c:pt idx="960">
                  <c:v>44.93</c:v>
                </c:pt>
                <c:pt idx="961">
                  <c:v>45.53</c:v>
                </c:pt>
                <c:pt idx="962">
                  <c:v>45.53</c:v>
                </c:pt>
                <c:pt idx="963">
                  <c:v>45.53</c:v>
                </c:pt>
                <c:pt idx="964">
                  <c:v>45.34</c:v>
                </c:pt>
                <c:pt idx="965">
                  <c:v>44.55</c:v>
                </c:pt>
                <c:pt idx="966">
                  <c:v>45.28</c:v>
                </c:pt>
                <c:pt idx="967">
                  <c:v>45.64</c:v>
                </c:pt>
                <c:pt idx="968">
                  <c:v>46.26</c:v>
                </c:pt>
                <c:pt idx="969">
                  <c:v>46.26</c:v>
                </c:pt>
                <c:pt idx="970">
                  <c:v>46.26</c:v>
                </c:pt>
                <c:pt idx="971">
                  <c:v>45.76</c:v>
                </c:pt>
                <c:pt idx="972">
                  <c:v>45.6</c:v>
                </c:pt>
                <c:pt idx="973">
                  <c:v>45.52</c:v>
                </c:pt>
                <c:pt idx="974">
                  <c:v>46.78</c:v>
                </c:pt>
                <c:pt idx="975">
                  <c:v>46.57</c:v>
                </c:pt>
                <c:pt idx="976">
                  <c:v>46.57</c:v>
                </c:pt>
                <c:pt idx="977">
                  <c:v>46.57</c:v>
                </c:pt>
                <c:pt idx="978">
                  <c:v>46.99</c:v>
                </c:pt>
                <c:pt idx="979">
                  <c:v>47.62</c:v>
                </c:pt>
                <c:pt idx="980">
                  <c:v>47.82</c:v>
                </c:pt>
                <c:pt idx="981">
                  <c:v>48.36</c:v>
                </c:pt>
                <c:pt idx="982">
                  <c:v>49.1</c:v>
                </c:pt>
                <c:pt idx="983">
                  <c:v>49.1</c:v>
                </c:pt>
                <c:pt idx="984">
                  <c:v>49.1</c:v>
                </c:pt>
                <c:pt idx="985">
                  <c:v>47.97</c:v>
                </c:pt>
                <c:pt idx="986">
                  <c:v>47.02</c:v>
                </c:pt>
                <c:pt idx="987">
                  <c:v>48.12</c:v>
                </c:pt>
                <c:pt idx="988">
                  <c:v>48.23</c:v>
                </c:pt>
                <c:pt idx="989">
                  <c:v>48.23</c:v>
                </c:pt>
                <c:pt idx="990">
                  <c:v>48.23</c:v>
                </c:pt>
                <c:pt idx="991">
                  <c:v>48.23</c:v>
                </c:pt>
                <c:pt idx="992">
                  <c:v>47.62</c:v>
                </c:pt>
                <c:pt idx="993">
                  <c:v>48</c:v>
                </c:pt>
                <c:pt idx="994">
                  <c:v>48.4</c:v>
                </c:pt>
                <c:pt idx="995">
                  <c:v>48.52</c:v>
                </c:pt>
                <c:pt idx="996">
                  <c:v>48.52</c:v>
                </c:pt>
                <c:pt idx="997">
                  <c:v>48.52</c:v>
                </c:pt>
                <c:pt idx="998">
                  <c:v>48.52</c:v>
                </c:pt>
                <c:pt idx="999">
                  <c:v>47.62</c:v>
                </c:pt>
                <c:pt idx="1000">
                  <c:v>49.93</c:v>
                </c:pt>
                <c:pt idx="1001">
                  <c:v>50.63</c:v>
                </c:pt>
                <c:pt idx="1002">
                  <c:v>50.83</c:v>
                </c:pt>
                <c:pt idx="1003">
                  <c:v>52.24</c:v>
                </c:pt>
                <c:pt idx="1004">
                  <c:v>52.24</c:v>
                </c:pt>
                <c:pt idx="1005">
                  <c:v>52.24</c:v>
                </c:pt>
                <c:pt idx="1006">
                  <c:v>52.25</c:v>
                </c:pt>
                <c:pt idx="1007">
                  <c:v>53.21</c:v>
                </c:pt>
                <c:pt idx="1008">
                  <c:v>52.91</c:v>
                </c:pt>
                <c:pt idx="1009">
                  <c:v>53.57</c:v>
                </c:pt>
                <c:pt idx="1010">
                  <c:v>52.36</c:v>
                </c:pt>
                <c:pt idx="1011">
                  <c:v>52.36</c:v>
                </c:pt>
                <c:pt idx="1012">
                  <c:v>52.36</c:v>
                </c:pt>
                <c:pt idx="1013">
                  <c:v>52.05</c:v>
                </c:pt>
                <c:pt idx="1014">
                  <c:v>52.98</c:v>
                </c:pt>
                <c:pt idx="1015">
                  <c:v>53.31</c:v>
                </c:pt>
                <c:pt idx="1016">
                  <c:v>53.13</c:v>
                </c:pt>
                <c:pt idx="1017">
                  <c:v>52.27</c:v>
                </c:pt>
                <c:pt idx="1018">
                  <c:v>52.27</c:v>
                </c:pt>
                <c:pt idx="1019">
                  <c:v>52.27</c:v>
                </c:pt>
                <c:pt idx="1020">
                  <c:v>52.77</c:v>
                </c:pt>
                <c:pt idx="1021">
                  <c:v>52.61</c:v>
                </c:pt>
                <c:pt idx="1022">
                  <c:v>52.85</c:v>
                </c:pt>
                <c:pt idx="1023">
                  <c:v>52.34</c:v>
                </c:pt>
                <c:pt idx="1024">
                  <c:v>52.2</c:v>
                </c:pt>
                <c:pt idx="1025">
                  <c:v>52.2</c:v>
                </c:pt>
                <c:pt idx="1026">
                  <c:v>52.2</c:v>
                </c:pt>
                <c:pt idx="1027">
                  <c:v>53.55</c:v>
                </c:pt>
                <c:pt idx="1028">
                  <c:v>54.76</c:v>
                </c:pt>
                <c:pt idx="1029">
                  <c:v>55.69</c:v>
                </c:pt>
                <c:pt idx="1030">
                  <c:v>56.23</c:v>
                </c:pt>
                <c:pt idx="1031">
                  <c:v>56.85</c:v>
                </c:pt>
                <c:pt idx="1032">
                  <c:v>56.85</c:v>
                </c:pt>
                <c:pt idx="1033">
                  <c:v>56.85</c:v>
                </c:pt>
                <c:pt idx="1034">
                  <c:v>57.97</c:v>
                </c:pt>
                <c:pt idx="1035">
                  <c:v>58.36</c:v>
                </c:pt>
                <c:pt idx="1036">
                  <c:v>58.68</c:v>
                </c:pt>
                <c:pt idx="1037">
                  <c:v>58.24</c:v>
                </c:pt>
                <c:pt idx="1038">
                  <c:v>59.47</c:v>
                </c:pt>
                <c:pt idx="1039">
                  <c:v>59.47</c:v>
                </c:pt>
                <c:pt idx="1040">
                  <c:v>59.47</c:v>
                </c:pt>
                <c:pt idx="1041">
                  <c:v>60.14</c:v>
                </c:pt>
                <c:pt idx="1042">
                  <c:v>60.05</c:v>
                </c:pt>
                <c:pt idx="1043">
                  <c:v>61.14</c:v>
                </c:pt>
                <c:pt idx="1044">
                  <c:v>60.52</c:v>
                </c:pt>
                <c:pt idx="1045">
                  <c:v>59.24</c:v>
                </c:pt>
                <c:pt idx="1046">
                  <c:v>59.24</c:v>
                </c:pt>
                <c:pt idx="1047">
                  <c:v>59.24</c:v>
                </c:pt>
                <c:pt idx="1048">
                  <c:v>61.7</c:v>
                </c:pt>
                <c:pt idx="1049">
                  <c:v>61.67</c:v>
                </c:pt>
                <c:pt idx="1050">
                  <c:v>63.22</c:v>
                </c:pt>
                <c:pt idx="1051">
                  <c:v>63.53</c:v>
                </c:pt>
                <c:pt idx="1052">
                  <c:v>61.5</c:v>
                </c:pt>
                <c:pt idx="1053">
                  <c:v>61.5</c:v>
                </c:pt>
                <c:pt idx="1054">
                  <c:v>61.5</c:v>
                </c:pt>
                <c:pt idx="1055">
                  <c:v>60.64</c:v>
                </c:pt>
                <c:pt idx="1056">
                  <c:v>59.75</c:v>
                </c:pt>
                <c:pt idx="1057">
                  <c:v>61.28</c:v>
                </c:pt>
                <c:pt idx="1058">
                  <c:v>63.83</c:v>
                </c:pt>
                <c:pt idx="1059">
                  <c:v>66.09</c:v>
                </c:pt>
                <c:pt idx="1060">
                  <c:v>66.09</c:v>
                </c:pt>
                <c:pt idx="1061">
                  <c:v>66.09</c:v>
                </c:pt>
                <c:pt idx="1062">
                  <c:v>65.05</c:v>
                </c:pt>
                <c:pt idx="1063">
                  <c:v>64.010000000000005</c:v>
                </c:pt>
                <c:pt idx="1064">
                  <c:v>64.44</c:v>
                </c:pt>
                <c:pt idx="1065">
                  <c:v>66.02</c:v>
                </c:pt>
                <c:pt idx="1066">
                  <c:v>65.61</c:v>
                </c:pt>
                <c:pt idx="1067">
                  <c:v>65.61</c:v>
                </c:pt>
                <c:pt idx="1068">
                  <c:v>65.61</c:v>
                </c:pt>
                <c:pt idx="1069">
                  <c:v>65.39</c:v>
                </c:pt>
                <c:pt idx="1070">
                  <c:v>64.8</c:v>
                </c:pt>
                <c:pt idx="1071">
                  <c:v>64.599999999999994</c:v>
                </c:pt>
                <c:pt idx="1072">
                  <c:v>60</c:v>
                </c:pt>
                <c:pt idx="1073">
                  <c:v>61.42</c:v>
                </c:pt>
                <c:pt idx="1074">
                  <c:v>61.42</c:v>
                </c:pt>
                <c:pt idx="1075">
                  <c:v>61.42</c:v>
                </c:pt>
                <c:pt idx="1076">
                  <c:v>61.56</c:v>
                </c:pt>
                <c:pt idx="1077">
                  <c:v>57.76</c:v>
                </c:pt>
                <c:pt idx="1078">
                  <c:v>61.18</c:v>
                </c:pt>
                <c:pt idx="1079">
                  <c:v>58.56</c:v>
                </c:pt>
                <c:pt idx="1080">
                  <c:v>60.97</c:v>
                </c:pt>
                <c:pt idx="1081">
                  <c:v>60.97</c:v>
                </c:pt>
                <c:pt idx="1082">
                  <c:v>60.97</c:v>
                </c:pt>
                <c:pt idx="1083">
                  <c:v>61.56</c:v>
                </c:pt>
                <c:pt idx="1084">
                  <c:v>60.55</c:v>
                </c:pt>
                <c:pt idx="1085">
                  <c:v>59.16</c:v>
                </c:pt>
                <c:pt idx="1086">
                  <c:v>61.45</c:v>
                </c:pt>
                <c:pt idx="1087">
                  <c:v>61.45</c:v>
                </c:pt>
                <c:pt idx="1088">
                  <c:v>61.45</c:v>
                </c:pt>
                <c:pt idx="1089">
                  <c:v>61.45</c:v>
                </c:pt>
                <c:pt idx="1090">
                  <c:v>58.65</c:v>
                </c:pt>
                <c:pt idx="1091">
                  <c:v>59.33</c:v>
                </c:pt>
                <c:pt idx="1092">
                  <c:v>59.77</c:v>
                </c:pt>
                <c:pt idx="1093">
                  <c:v>59.6</c:v>
                </c:pt>
                <c:pt idx="1094">
                  <c:v>59.32</c:v>
                </c:pt>
                <c:pt idx="1095">
                  <c:v>59.32</c:v>
                </c:pt>
                <c:pt idx="1096">
                  <c:v>59.32</c:v>
                </c:pt>
                <c:pt idx="1097">
                  <c:v>59.7</c:v>
                </c:pt>
                <c:pt idx="1098">
                  <c:v>60.18</c:v>
                </c:pt>
                <c:pt idx="1099">
                  <c:v>63.15</c:v>
                </c:pt>
                <c:pt idx="1100">
                  <c:v>63.46</c:v>
                </c:pt>
                <c:pt idx="1101">
                  <c:v>63.13</c:v>
                </c:pt>
                <c:pt idx="1102">
                  <c:v>63.13</c:v>
                </c:pt>
                <c:pt idx="1103">
                  <c:v>63.13</c:v>
                </c:pt>
                <c:pt idx="1104">
                  <c:v>63.38</c:v>
                </c:pt>
                <c:pt idx="1105">
                  <c:v>62.67</c:v>
                </c:pt>
                <c:pt idx="1106">
                  <c:v>61.35</c:v>
                </c:pt>
                <c:pt idx="1107">
                  <c:v>61.43</c:v>
                </c:pt>
                <c:pt idx="1108">
                  <c:v>62.14</c:v>
                </c:pt>
                <c:pt idx="1109">
                  <c:v>62.14</c:v>
                </c:pt>
                <c:pt idx="1110">
                  <c:v>62.14</c:v>
                </c:pt>
                <c:pt idx="1111">
                  <c:v>61.91</c:v>
                </c:pt>
                <c:pt idx="1112">
                  <c:v>62.94</c:v>
                </c:pt>
                <c:pt idx="1113">
                  <c:v>63.86</c:v>
                </c:pt>
                <c:pt idx="1114">
                  <c:v>65.010000000000005</c:v>
                </c:pt>
                <c:pt idx="1115">
                  <c:v>63.58</c:v>
                </c:pt>
                <c:pt idx="1116">
                  <c:v>63.58</c:v>
                </c:pt>
                <c:pt idx="1117">
                  <c:v>63.58</c:v>
                </c:pt>
                <c:pt idx="1118">
                  <c:v>64.489999999999995</c:v>
                </c:pt>
                <c:pt idx="1119">
                  <c:v>65.69</c:v>
                </c:pt>
                <c:pt idx="1120">
                  <c:v>65.63</c:v>
                </c:pt>
                <c:pt idx="1121">
                  <c:v>64.709999999999994</c:v>
                </c:pt>
                <c:pt idx="1122">
                  <c:v>64.900000000000006</c:v>
                </c:pt>
                <c:pt idx="1123">
                  <c:v>64.900000000000006</c:v>
                </c:pt>
                <c:pt idx="1124">
                  <c:v>64.900000000000006</c:v>
                </c:pt>
                <c:pt idx="1125">
                  <c:v>64.92</c:v>
                </c:pt>
                <c:pt idx="1126">
                  <c:v>65.28</c:v>
                </c:pt>
                <c:pt idx="1127">
                  <c:v>66.08</c:v>
                </c:pt>
                <c:pt idx="1128">
                  <c:v>63.82</c:v>
                </c:pt>
                <c:pt idx="1129">
                  <c:v>65.37</c:v>
                </c:pt>
                <c:pt idx="1130">
                  <c:v>65.37</c:v>
                </c:pt>
                <c:pt idx="1131">
                  <c:v>65.37</c:v>
                </c:pt>
                <c:pt idx="1132">
                  <c:v>66.27</c:v>
                </c:pt>
                <c:pt idx="1133">
                  <c:v>65.489999999999995</c:v>
                </c:pt>
                <c:pt idx="1134">
                  <c:v>63.36</c:v>
                </c:pt>
                <c:pt idx="1135">
                  <c:v>61.94</c:v>
                </c:pt>
                <c:pt idx="1136">
                  <c:v>63.58</c:v>
                </c:pt>
                <c:pt idx="1137">
                  <c:v>63.58</c:v>
                </c:pt>
                <c:pt idx="1138">
                  <c:v>63.58</c:v>
                </c:pt>
                <c:pt idx="1139">
                  <c:v>66.05</c:v>
                </c:pt>
                <c:pt idx="1140">
                  <c:v>66.069999999999993</c:v>
                </c:pt>
                <c:pt idx="1141">
                  <c:v>66.209999999999994</c:v>
                </c:pt>
                <c:pt idx="1142">
                  <c:v>66.849999999999994</c:v>
                </c:pt>
                <c:pt idx="1143">
                  <c:v>66.319999999999993</c:v>
                </c:pt>
                <c:pt idx="1144">
                  <c:v>66.319999999999993</c:v>
                </c:pt>
                <c:pt idx="1145">
                  <c:v>66.319999999999993</c:v>
                </c:pt>
                <c:pt idx="1146">
                  <c:v>66.900000000000006</c:v>
                </c:pt>
                <c:pt idx="1147">
                  <c:v>67.72</c:v>
                </c:pt>
                <c:pt idx="1148">
                  <c:v>68.83</c:v>
                </c:pt>
                <c:pt idx="1149">
                  <c:v>68.81</c:v>
                </c:pt>
                <c:pt idx="1150">
                  <c:v>69.62</c:v>
                </c:pt>
                <c:pt idx="1151">
                  <c:v>69.62</c:v>
                </c:pt>
                <c:pt idx="1152">
                  <c:v>69.62</c:v>
                </c:pt>
                <c:pt idx="1153">
                  <c:v>69.23</c:v>
                </c:pt>
                <c:pt idx="1154">
                  <c:v>70.05</c:v>
                </c:pt>
                <c:pt idx="1155">
                  <c:v>69.959999999999994</c:v>
                </c:pt>
                <c:pt idx="1156">
                  <c:v>70.290000000000006</c:v>
                </c:pt>
                <c:pt idx="1157">
                  <c:v>70.91</c:v>
                </c:pt>
                <c:pt idx="1158">
                  <c:v>70.91</c:v>
                </c:pt>
                <c:pt idx="1159">
                  <c:v>70.91</c:v>
                </c:pt>
                <c:pt idx="1160">
                  <c:v>70.88</c:v>
                </c:pt>
                <c:pt idx="1161">
                  <c:v>72.12</c:v>
                </c:pt>
                <c:pt idx="1162">
                  <c:v>72.150000000000006</c:v>
                </c:pt>
                <c:pt idx="1163">
                  <c:v>71.040000000000006</c:v>
                </c:pt>
                <c:pt idx="1164">
                  <c:v>71.64</c:v>
                </c:pt>
                <c:pt idx="1165">
                  <c:v>71.64</c:v>
                </c:pt>
                <c:pt idx="1166">
                  <c:v>71.64</c:v>
                </c:pt>
                <c:pt idx="1167">
                  <c:v>73.66</c:v>
                </c:pt>
                <c:pt idx="1168">
                  <c:v>72.849999999999994</c:v>
                </c:pt>
                <c:pt idx="1169">
                  <c:v>73.08</c:v>
                </c:pt>
                <c:pt idx="1170">
                  <c:v>73.3</c:v>
                </c:pt>
                <c:pt idx="1171">
                  <c:v>74.05</c:v>
                </c:pt>
                <c:pt idx="1172">
                  <c:v>74.05</c:v>
                </c:pt>
                <c:pt idx="1173">
                  <c:v>74.05</c:v>
                </c:pt>
                <c:pt idx="1174">
                  <c:v>72.91</c:v>
                </c:pt>
                <c:pt idx="1175">
                  <c:v>72.98</c:v>
                </c:pt>
                <c:pt idx="1176">
                  <c:v>73.47</c:v>
                </c:pt>
                <c:pt idx="1177">
                  <c:v>75.23</c:v>
                </c:pt>
                <c:pt idx="1178">
                  <c:v>75.16</c:v>
                </c:pt>
                <c:pt idx="1179">
                  <c:v>75.16</c:v>
                </c:pt>
                <c:pt idx="1180">
                  <c:v>75.16</c:v>
                </c:pt>
                <c:pt idx="1181">
                  <c:v>76.34</c:v>
                </c:pt>
                <c:pt idx="1182">
                  <c:v>73.37</c:v>
                </c:pt>
                <c:pt idx="1183">
                  <c:v>72.2</c:v>
                </c:pt>
                <c:pt idx="1184">
                  <c:v>72.94</c:v>
                </c:pt>
                <c:pt idx="1185">
                  <c:v>74.56</c:v>
                </c:pt>
                <c:pt idx="1186">
                  <c:v>74.56</c:v>
                </c:pt>
                <c:pt idx="1187">
                  <c:v>74.56</c:v>
                </c:pt>
                <c:pt idx="1188">
                  <c:v>74.099999999999994</c:v>
                </c:pt>
                <c:pt idx="1189">
                  <c:v>75.25</c:v>
                </c:pt>
                <c:pt idx="1190">
                  <c:v>73.13</c:v>
                </c:pt>
                <c:pt idx="1191">
                  <c:v>71.650000000000006</c:v>
                </c:pt>
                <c:pt idx="1192">
                  <c:v>71.81</c:v>
                </c:pt>
                <c:pt idx="1193">
                  <c:v>71.81</c:v>
                </c:pt>
                <c:pt idx="1194">
                  <c:v>71.81</c:v>
                </c:pt>
                <c:pt idx="1195">
                  <c:v>66.42</c:v>
                </c:pt>
                <c:pt idx="1196">
                  <c:v>67.2</c:v>
                </c:pt>
                <c:pt idx="1197">
                  <c:v>70.3</c:v>
                </c:pt>
                <c:pt idx="1198">
                  <c:v>71.91</c:v>
                </c:pt>
                <c:pt idx="1199">
                  <c:v>72.069999999999993</c:v>
                </c:pt>
                <c:pt idx="1200">
                  <c:v>72.069999999999993</c:v>
                </c:pt>
                <c:pt idx="1201">
                  <c:v>72.069999999999993</c:v>
                </c:pt>
                <c:pt idx="1202">
                  <c:v>71.91</c:v>
                </c:pt>
                <c:pt idx="1203">
                  <c:v>71.650000000000006</c:v>
                </c:pt>
                <c:pt idx="1204">
                  <c:v>72.39</c:v>
                </c:pt>
                <c:pt idx="1205">
                  <c:v>73.62</c:v>
                </c:pt>
                <c:pt idx="1206">
                  <c:v>73.95</c:v>
                </c:pt>
                <c:pt idx="1207">
                  <c:v>73.95</c:v>
                </c:pt>
                <c:pt idx="1208">
                  <c:v>73.95</c:v>
                </c:pt>
                <c:pt idx="1209">
                  <c:v>71.260000000000005</c:v>
                </c:pt>
                <c:pt idx="1210">
                  <c:v>70.56</c:v>
                </c:pt>
                <c:pt idx="1211">
                  <c:v>68.150000000000006</c:v>
                </c:pt>
                <c:pt idx="1212">
                  <c:v>69.09</c:v>
                </c:pt>
                <c:pt idx="1213">
                  <c:v>68.28</c:v>
                </c:pt>
                <c:pt idx="1214">
                  <c:v>68.28</c:v>
                </c:pt>
                <c:pt idx="1215">
                  <c:v>68.28</c:v>
                </c:pt>
                <c:pt idx="1216">
                  <c:v>66.48</c:v>
                </c:pt>
                <c:pt idx="1217">
                  <c:v>68.290000000000006</c:v>
                </c:pt>
                <c:pt idx="1218">
                  <c:v>69.25</c:v>
                </c:pt>
                <c:pt idx="1219">
                  <c:v>69.09</c:v>
                </c:pt>
                <c:pt idx="1220">
                  <c:v>68.44</c:v>
                </c:pt>
                <c:pt idx="1221">
                  <c:v>68.44</c:v>
                </c:pt>
                <c:pt idx="1222">
                  <c:v>68.44</c:v>
                </c:pt>
                <c:pt idx="1223">
                  <c:v>67.290000000000006</c:v>
                </c:pt>
                <c:pt idx="1224">
                  <c:v>66.59</c:v>
                </c:pt>
                <c:pt idx="1225">
                  <c:v>65.459999999999994</c:v>
                </c:pt>
                <c:pt idx="1226">
                  <c:v>63.69</c:v>
                </c:pt>
                <c:pt idx="1227">
                  <c:v>62.14</c:v>
                </c:pt>
                <c:pt idx="1228">
                  <c:v>62.14</c:v>
                </c:pt>
                <c:pt idx="1229">
                  <c:v>62.14</c:v>
                </c:pt>
                <c:pt idx="1230">
                  <c:v>65.64</c:v>
                </c:pt>
                <c:pt idx="1231">
                  <c:v>67.540000000000006</c:v>
                </c:pt>
                <c:pt idx="1232">
                  <c:v>68.36</c:v>
                </c:pt>
                <c:pt idx="1233">
                  <c:v>67.42</c:v>
                </c:pt>
                <c:pt idx="1234">
                  <c:v>68.739999999999995</c:v>
                </c:pt>
                <c:pt idx="1235">
                  <c:v>68.739999999999995</c:v>
                </c:pt>
                <c:pt idx="1236">
                  <c:v>68.739999999999995</c:v>
                </c:pt>
                <c:pt idx="1237">
                  <c:v>69.209999999999994</c:v>
                </c:pt>
                <c:pt idx="1238">
                  <c:v>68.5</c:v>
                </c:pt>
                <c:pt idx="1239">
                  <c:v>68.59</c:v>
                </c:pt>
                <c:pt idx="1240">
                  <c:v>69.989999999999995</c:v>
                </c:pt>
                <c:pt idx="1241">
                  <c:v>69.290000000000006</c:v>
                </c:pt>
                <c:pt idx="1242">
                  <c:v>69.290000000000006</c:v>
                </c:pt>
                <c:pt idx="1243">
                  <c:v>69.290000000000006</c:v>
                </c:pt>
                <c:pt idx="1244">
                  <c:v>68.930000000000007</c:v>
                </c:pt>
                <c:pt idx="1245">
                  <c:v>68.349999999999994</c:v>
                </c:pt>
                <c:pt idx="1246">
                  <c:v>69.3</c:v>
                </c:pt>
                <c:pt idx="1247">
                  <c:v>68.14</c:v>
                </c:pt>
                <c:pt idx="1248">
                  <c:v>69.72</c:v>
                </c:pt>
                <c:pt idx="1249">
                  <c:v>69.72</c:v>
                </c:pt>
                <c:pt idx="1250">
                  <c:v>69.72</c:v>
                </c:pt>
                <c:pt idx="1251">
                  <c:v>70.45</c:v>
                </c:pt>
                <c:pt idx="1252">
                  <c:v>70.459999999999994</c:v>
                </c:pt>
                <c:pt idx="1253">
                  <c:v>72.61</c:v>
                </c:pt>
                <c:pt idx="1254">
                  <c:v>72.61</c:v>
                </c:pt>
                <c:pt idx="1255">
                  <c:v>71.97</c:v>
                </c:pt>
                <c:pt idx="1256">
                  <c:v>71.97</c:v>
                </c:pt>
                <c:pt idx="1257">
                  <c:v>71.97</c:v>
                </c:pt>
                <c:pt idx="1258">
                  <c:v>70.290000000000006</c:v>
                </c:pt>
                <c:pt idx="1259">
                  <c:v>70.489999999999995</c:v>
                </c:pt>
                <c:pt idx="1260">
                  <c:v>72.23</c:v>
                </c:pt>
                <c:pt idx="1261">
                  <c:v>73.3</c:v>
                </c:pt>
                <c:pt idx="1262">
                  <c:v>73.98</c:v>
                </c:pt>
                <c:pt idx="1263">
                  <c:v>73.98</c:v>
                </c:pt>
                <c:pt idx="1264">
                  <c:v>73.98</c:v>
                </c:pt>
                <c:pt idx="1265">
                  <c:v>75.45</c:v>
                </c:pt>
                <c:pt idx="1266">
                  <c:v>75.290000000000006</c:v>
                </c:pt>
                <c:pt idx="1267">
                  <c:v>74.83</c:v>
                </c:pt>
                <c:pt idx="1268">
                  <c:v>75.03</c:v>
                </c:pt>
                <c:pt idx="1269">
                  <c:v>75.88</c:v>
                </c:pt>
                <c:pt idx="1270">
                  <c:v>75.88</c:v>
                </c:pt>
                <c:pt idx="1271">
                  <c:v>75.88</c:v>
                </c:pt>
                <c:pt idx="1272">
                  <c:v>77.62</c:v>
                </c:pt>
                <c:pt idx="1273">
                  <c:v>78.930000000000007</c:v>
                </c:pt>
                <c:pt idx="1274">
                  <c:v>77.430000000000007</c:v>
                </c:pt>
                <c:pt idx="1275">
                  <c:v>78.3</c:v>
                </c:pt>
                <c:pt idx="1276">
                  <c:v>79.349999999999994</c:v>
                </c:pt>
                <c:pt idx="1277">
                  <c:v>79.349999999999994</c:v>
                </c:pt>
                <c:pt idx="1278">
                  <c:v>79.349999999999994</c:v>
                </c:pt>
                <c:pt idx="1279">
                  <c:v>80.52</c:v>
                </c:pt>
                <c:pt idx="1280">
                  <c:v>80.64</c:v>
                </c:pt>
                <c:pt idx="1281">
                  <c:v>80.44</c:v>
                </c:pt>
                <c:pt idx="1282">
                  <c:v>81.31</c:v>
                </c:pt>
                <c:pt idx="1283">
                  <c:v>82.28</c:v>
                </c:pt>
                <c:pt idx="1284">
                  <c:v>82.28</c:v>
                </c:pt>
                <c:pt idx="1285">
                  <c:v>82.28</c:v>
                </c:pt>
                <c:pt idx="1286">
                  <c:v>82.44</c:v>
                </c:pt>
                <c:pt idx="1287">
                  <c:v>82.96</c:v>
                </c:pt>
                <c:pt idx="1288">
                  <c:v>83.42</c:v>
                </c:pt>
                <c:pt idx="1289">
                  <c:v>82.5</c:v>
                </c:pt>
                <c:pt idx="1290">
                  <c:v>83.76</c:v>
                </c:pt>
                <c:pt idx="1291">
                  <c:v>83.76</c:v>
                </c:pt>
                <c:pt idx="1292">
                  <c:v>83.76</c:v>
                </c:pt>
                <c:pt idx="1293">
                  <c:v>83.76</c:v>
                </c:pt>
                <c:pt idx="1294">
                  <c:v>84.65</c:v>
                </c:pt>
                <c:pt idx="1295">
                  <c:v>82.66</c:v>
                </c:pt>
                <c:pt idx="1296">
                  <c:v>82.81</c:v>
                </c:pt>
                <c:pt idx="1297">
                  <c:v>83.57</c:v>
                </c:pt>
                <c:pt idx="1298">
                  <c:v>83.57</c:v>
                </c:pt>
                <c:pt idx="1299">
                  <c:v>83.57</c:v>
                </c:pt>
                <c:pt idx="1300">
                  <c:v>84.05</c:v>
                </c:pt>
                <c:pt idx="1301">
                  <c:v>83.91</c:v>
                </c:pt>
                <c:pt idx="1302">
                  <c:v>80.86</c:v>
                </c:pt>
                <c:pt idx="1303">
                  <c:v>78.81</c:v>
                </c:pt>
                <c:pt idx="1304">
                  <c:v>81.27</c:v>
                </c:pt>
                <c:pt idx="1305">
                  <c:v>81.27</c:v>
                </c:pt>
                <c:pt idx="1306">
                  <c:v>81.27</c:v>
                </c:pt>
                <c:pt idx="1307">
                  <c:v>81.93</c:v>
                </c:pt>
                <c:pt idx="1308">
                  <c:v>84.15</c:v>
                </c:pt>
                <c:pt idx="1309">
                  <c:v>81.34</c:v>
                </c:pt>
                <c:pt idx="1310">
                  <c:v>81.59</c:v>
                </c:pt>
                <c:pt idx="1311">
                  <c:v>80.790000000000006</c:v>
                </c:pt>
                <c:pt idx="1312">
                  <c:v>80.790000000000006</c:v>
                </c:pt>
                <c:pt idx="1313">
                  <c:v>80.790000000000006</c:v>
                </c:pt>
                <c:pt idx="1314">
                  <c:v>80.88</c:v>
                </c:pt>
                <c:pt idx="1315">
                  <c:v>80.760000000000005</c:v>
                </c:pt>
                <c:pt idx="1316">
                  <c:v>78.36</c:v>
                </c:pt>
                <c:pt idx="1317">
                  <c:v>79.010000000000005</c:v>
                </c:pt>
                <c:pt idx="1318">
                  <c:v>75.94</c:v>
                </c:pt>
                <c:pt idx="1319">
                  <c:v>75.94</c:v>
                </c:pt>
                <c:pt idx="1320">
                  <c:v>75.94</c:v>
                </c:pt>
                <c:pt idx="1321">
                  <c:v>76.75</c:v>
                </c:pt>
                <c:pt idx="1322">
                  <c:v>78.5</c:v>
                </c:pt>
                <c:pt idx="1323">
                  <c:v>78.39</c:v>
                </c:pt>
                <c:pt idx="1324">
                  <c:v>78.099999999999994</c:v>
                </c:pt>
                <c:pt idx="1325">
                  <c:v>68.150000000000006</c:v>
                </c:pt>
                <c:pt idx="1326">
                  <c:v>68.150000000000006</c:v>
                </c:pt>
                <c:pt idx="1327">
                  <c:v>68.150000000000006</c:v>
                </c:pt>
                <c:pt idx="1328">
                  <c:v>69.95</c:v>
                </c:pt>
                <c:pt idx="1329">
                  <c:v>66.180000000000007</c:v>
                </c:pt>
                <c:pt idx="1330">
                  <c:v>65.569999999999993</c:v>
                </c:pt>
                <c:pt idx="1331">
                  <c:v>66.5</c:v>
                </c:pt>
                <c:pt idx="1332">
                  <c:v>66.260000000000005</c:v>
                </c:pt>
                <c:pt idx="1333">
                  <c:v>66.260000000000005</c:v>
                </c:pt>
                <c:pt idx="1334">
                  <c:v>66.260000000000005</c:v>
                </c:pt>
                <c:pt idx="1335">
                  <c:v>69.489999999999995</c:v>
                </c:pt>
                <c:pt idx="1336">
                  <c:v>72.05</c:v>
                </c:pt>
                <c:pt idx="1337">
                  <c:v>72.36</c:v>
                </c:pt>
                <c:pt idx="1338">
                  <c:v>70.94</c:v>
                </c:pt>
                <c:pt idx="1339">
                  <c:v>71.67</c:v>
                </c:pt>
                <c:pt idx="1340">
                  <c:v>71.67</c:v>
                </c:pt>
                <c:pt idx="1341">
                  <c:v>71.67</c:v>
                </c:pt>
                <c:pt idx="1342">
                  <c:v>71.290000000000006</c:v>
                </c:pt>
                <c:pt idx="1343">
                  <c:v>70.73</c:v>
                </c:pt>
                <c:pt idx="1344">
                  <c:v>70.87</c:v>
                </c:pt>
                <c:pt idx="1345">
                  <c:v>72.38</c:v>
                </c:pt>
                <c:pt idx="1346">
                  <c:v>70.86</c:v>
                </c:pt>
                <c:pt idx="1347">
                  <c:v>70.86</c:v>
                </c:pt>
                <c:pt idx="1348">
                  <c:v>70.86</c:v>
                </c:pt>
                <c:pt idx="1349">
                  <c:v>68.61</c:v>
                </c:pt>
                <c:pt idx="1350">
                  <c:v>71.12</c:v>
                </c:pt>
                <c:pt idx="1351">
                  <c:v>72.760000000000005</c:v>
                </c:pt>
                <c:pt idx="1352">
                  <c:v>73.790000000000006</c:v>
                </c:pt>
                <c:pt idx="1353">
                  <c:v>73.09</c:v>
                </c:pt>
                <c:pt idx="1354">
                  <c:v>73.09</c:v>
                </c:pt>
                <c:pt idx="1355">
                  <c:v>73.09</c:v>
                </c:pt>
                <c:pt idx="1356">
                  <c:v>75.569999999999993</c:v>
                </c:pt>
                <c:pt idx="1357">
                  <c:v>75.98</c:v>
                </c:pt>
                <c:pt idx="1358">
                  <c:v>76.56</c:v>
                </c:pt>
                <c:pt idx="1359">
                  <c:v>76.989999999999995</c:v>
                </c:pt>
                <c:pt idx="1360">
                  <c:v>75.209999999999994</c:v>
                </c:pt>
                <c:pt idx="1361">
                  <c:v>75.209999999999994</c:v>
                </c:pt>
                <c:pt idx="1362">
                  <c:v>75.209999999999994</c:v>
                </c:pt>
                <c:pt idx="1363">
                  <c:v>76.08</c:v>
                </c:pt>
                <c:pt idx="1364">
                  <c:v>76.989999999999995</c:v>
                </c:pt>
                <c:pt idx="1365">
                  <c:v>77.849999999999994</c:v>
                </c:pt>
                <c:pt idx="1366">
                  <c:v>79.459999999999994</c:v>
                </c:pt>
                <c:pt idx="1367">
                  <c:v>78.900000000000006</c:v>
                </c:pt>
                <c:pt idx="1368">
                  <c:v>78.900000000000006</c:v>
                </c:pt>
                <c:pt idx="1369">
                  <c:v>78.900000000000006</c:v>
                </c:pt>
                <c:pt idx="1370">
                  <c:v>78.23</c:v>
                </c:pt>
                <c:pt idx="1371">
                  <c:v>81.22</c:v>
                </c:pt>
                <c:pt idx="1372">
                  <c:v>82.64</c:v>
                </c:pt>
                <c:pt idx="1373">
                  <c:v>82.12</c:v>
                </c:pt>
                <c:pt idx="1374">
                  <c:v>83.82</c:v>
                </c:pt>
                <c:pt idx="1375">
                  <c:v>83.82</c:v>
                </c:pt>
                <c:pt idx="1376">
                  <c:v>83.82</c:v>
                </c:pt>
                <c:pt idx="1377">
                  <c:v>84.29</c:v>
                </c:pt>
                <c:pt idx="1378">
                  <c:v>85.43</c:v>
                </c:pt>
                <c:pt idx="1379">
                  <c:v>86.96</c:v>
                </c:pt>
                <c:pt idx="1380">
                  <c:v>85.55</c:v>
                </c:pt>
                <c:pt idx="1381">
                  <c:v>85.14</c:v>
                </c:pt>
                <c:pt idx="1382">
                  <c:v>85.14</c:v>
                </c:pt>
                <c:pt idx="1383">
                  <c:v>85.14</c:v>
                </c:pt>
                <c:pt idx="1384">
                  <c:v>83.31</c:v>
                </c:pt>
                <c:pt idx="1385">
                  <c:v>85.6</c:v>
                </c:pt>
                <c:pt idx="1386">
                  <c:v>87.35</c:v>
                </c:pt>
                <c:pt idx="1387">
                  <c:v>86.61</c:v>
                </c:pt>
                <c:pt idx="1388">
                  <c:v>86.82</c:v>
                </c:pt>
                <c:pt idx="1389">
                  <c:v>86.82</c:v>
                </c:pt>
                <c:pt idx="1390">
                  <c:v>86.82</c:v>
                </c:pt>
                <c:pt idx="1391">
                  <c:v>88.15</c:v>
                </c:pt>
                <c:pt idx="1392">
                  <c:v>88.2</c:v>
                </c:pt>
                <c:pt idx="1393">
                  <c:v>88.26</c:v>
                </c:pt>
                <c:pt idx="1394">
                  <c:v>90.27</c:v>
                </c:pt>
                <c:pt idx="1395">
                  <c:v>92.31</c:v>
                </c:pt>
                <c:pt idx="1396">
                  <c:v>92.31</c:v>
                </c:pt>
                <c:pt idx="1397">
                  <c:v>92.31</c:v>
                </c:pt>
                <c:pt idx="1398">
                  <c:v>91.32</c:v>
                </c:pt>
                <c:pt idx="1399">
                  <c:v>89.36</c:v>
                </c:pt>
                <c:pt idx="1400">
                  <c:v>89.66</c:v>
                </c:pt>
                <c:pt idx="1401">
                  <c:v>89.88</c:v>
                </c:pt>
                <c:pt idx="1402">
                  <c:v>93.1</c:v>
                </c:pt>
                <c:pt idx="1403">
                  <c:v>93.1</c:v>
                </c:pt>
                <c:pt idx="1404">
                  <c:v>93.1</c:v>
                </c:pt>
                <c:pt idx="1405">
                  <c:v>95.46</c:v>
                </c:pt>
                <c:pt idx="1406">
                  <c:v>92.07</c:v>
                </c:pt>
                <c:pt idx="1407">
                  <c:v>93.66</c:v>
                </c:pt>
                <c:pt idx="1408">
                  <c:v>91.76</c:v>
                </c:pt>
                <c:pt idx="1409">
                  <c:v>91.07</c:v>
                </c:pt>
                <c:pt idx="1410">
                  <c:v>91.07</c:v>
                </c:pt>
                <c:pt idx="1411">
                  <c:v>91.07</c:v>
                </c:pt>
                <c:pt idx="1412">
                  <c:v>91.59</c:v>
                </c:pt>
                <c:pt idx="1413">
                  <c:v>91.91</c:v>
                </c:pt>
                <c:pt idx="1414">
                  <c:v>92.1</c:v>
                </c:pt>
                <c:pt idx="1415">
                  <c:v>92.81</c:v>
                </c:pt>
                <c:pt idx="1416">
                  <c:v>91.59</c:v>
                </c:pt>
                <c:pt idx="1417">
                  <c:v>91.59</c:v>
                </c:pt>
                <c:pt idx="1418">
                  <c:v>91.59</c:v>
                </c:pt>
                <c:pt idx="1419">
                  <c:v>95.72</c:v>
                </c:pt>
                <c:pt idx="1420">
                  <c:v>103.41</c:v>
                </c:pt>
                <c:pt idx="1421">
                  <c:v>110.6</c:v>
                </c:pt>
                <c:pt idx="1422">
                  <c:v>107.67</c:v>
                </c:pt>
                <c:pt idx="1423">
                  <c:v>115.68</c:v>
                </c:pt>
                <c:pt idx="1424">
                  <c:v>115.68</c:v>
                </c:pt>
                <c:pt idx="1425">
                  <c:v>115.68</c:v>
                </c:pt>
                <c:pt idx="1426">
                  <c:v>119.4</c:v>
                </c:pt>
                <c:pt idx="1427">
                  <c:v>123.7</c:v>
                </c:pt>
                <c:pt idx="1428">
                  <c:v>108.7</c:v>
                </c:pt>
                <c:pt idx="1429">
                  <c:v>106.02</c:v>
                </c:pt>
                <c:pt idx="1430">
                  <c:v>109.33</c:v>
                </c:pt>
                <c:pt idx="1431">
                  <c:v>109.33</c:v>
                </c:pt>
                <c:pt idx="1432">
                  <c:v>109.33</c:v>
                </c:pt>
                <c:pt idx="1433">
                  <c:v>103.01</c:v>
                </c:pt>
                <c:pt idx="1434">
                  <c:v>96.44</c:v>
                </c:pt>
                <c:pt idx="1435">
                  <c:v>95.04</c:v>
                </c:pt>
                <c:pt idx="1436">
                  <c:v>102.98</c:v>
                </c:pt>
                <c:pt idx="1437">
                  <c:v>104.7</c:v>
                </c:pt>
                <c:pt idx="1438">
                  <c:v>104.7</c:v>
                </c:pt>
                <c:pt idx="1439">
                  <c:v>104.7</c:v>
                </c:pt>
                <c:pt idx="1440">
                  <c:v>112.12</c:v>
                </c:pt>
                <c:pt idx="1441">
                  <c:v>109.27</c:v>
                </c:pt>
                <c:pt idx="1442">
                  <c:v>114.93</c:v>
                </c:pt>
                <c:pt idx="1443">
                  <c:v>112.34</c:v>
                </c:pt>
                <c:pt idx="1444">
                  <c:v>113.9</c:v>
                </c:pt>
                <c:pt idx="1445">
                  <c:v>113.9</c:v>
                </c:pt>
                <c:pt idx="1446">
                  <c:v>113.9</c:v>
                </c:pt>
                <c:pt idx="1447">
                  <c:v>105.96</c:v>
                </c:pt>
                <c:pt idx="1448">
                  <c:v>104.24</c:v>
                </c:pt>
                <c:pt idx="1449">
                  <c:v>107.82</c:v>
                </c:pt>
                <c:pt idx="1450">
                  <c:v>100.28</c:v>
                </c:pt>
                <c:pt idx="1451">
                  <c:v>99.27</c:v>
                </c:pt>
                <c:pt idx="1452">
                  <c:v>99.27</c:v>
                </c:pt>
                <c:pt idx="1453">
                  <c:v>99.27</c:v>
                </c:pt>
                <c:pt idx="1454">
                  <c:v>103.28</c:v>
                </c:pt>
                <c:pt idx="1455">
                  <c:v>101.96</c:v>
                </c:pt>
                <c:pt idx="1456">
                  <c:v>96.23</c:v>
                </c:pt>
                <c:pt idx="1457">
                  <c:v>96.03</c:v>
                </c:pt>
                <c:pt idx="1458">
                  <c:v>98.26</c:v>
                </c:pt>
                <c:pt idx="1459">
                  <c:v>98.26</c:v>
                </c:pt>
                <c:pt idx="1460">
                  <c:v>98.26</c:v>
                </c:pt>
                <c:pt idx="1461">
                  <c:v>94.29</c:v>
                </c:pt>
                <c:pt idx="1462">
                  <c:v>100.6</c:v>
                </c:pt>
                <c:pt idx="1463">
                  <c:v>104.25</c:v>
                </c:pt>
                <c:pt idx="1464">
                  <c:v>106.95</c:v>
                </c:pt>
                <c:pt idx="1465">
                  <c:v>106.95</c:v>
                </c:pt>
                <c:pt idx="1466">
                  <c:v>106.95</c:v>
                </c:pt>
                <c:pt idx="1467">
                  <c:v>106.95</c:v>
                </c:pt>
                <c:pt idx="1468">
                  <c:v>108.21</c:v>
                </c:pt>
                <c:pt idx="1469">
                  <c:v>102.56</c:v>
                </c:pt>
                <c:pt idx="1470">
                  <c:v>102.19</c:v>
                </c:pt>
                <c:pt idx="1471">
                  <c:v>103.79</c:v>
                </c:pt>
                <c:pt idx="1472">
                  <c:v>102.07</c:v>
                </c:pt>
                <c:pt idx="1473">
                  <c:v>102.07</c:v>
                </c:pt>
                <c:pt idx="1474">
                  <c:v>102.07</c:v>
                </c:pt>
                <c:pt idx="1475">
                  <c:v>98.54</c:v>
                </c:pt>
                <c:pt idx="1476">
                  <c:v>101.7</c:v>
                </c:pt>
                <c:pt idx="1477">
                  <c:v>102.02</c:v>
                </c:pt>
                <c:pt idx="1478">
                  <c:v>105.36</c:v>
                </c:pt>
                <c:pt idx="1479">
                  <c:v>104.69</c:v>
                </c:pt>
                <c:pt idx="1480">
                  <c:v>104.69</c:v>
                </c:pt>
                <c:pt idx="1481">
                  <c:v>104.69</c:v>
                </c:pt>
                <c:pt idx="1482">
                  <c:v>105.17</c:v>
                </c:pt>
                <c:pt idx="1483">
                  <c:v>102.41</c:v>
                </c:pt>
                <c:pt idx="1484">
                  <c:v>107.81</c:v>
                </c:pt>
                <c:pt idx="1485">
                  <c:v>108.26</c:v>
                </c:pt>
                <c:pt idx="1486">
                  <c:v>109.77</c:v>
                </c:pt>
                <c:pt idx="1487">
                  <c:v>109.77</c:v>
                </c:pt>
                <c:pt idx="1488">
                  <c:v>109.77</c:v>
                </c:pt>
                <c:pt idx="1489">
                  <c:v>103.09</c:v>
                </c:pt>
                <c:pt idx="1490">
                  <c:v>99.76</c:v>
                </c:pt>
                <c:pt idx="1491">
                  <c:v>105.71</c:v>
                </c:pt>
                <c:pt idx="1492">
                  <c:v>106.13</c:v>
                </c:pt>
                <c:pt idx="1493">
                  <c:v>110.49</c:v>
                </c:pt>
                <c:pt idx="1494">
                  <c:v>110.49</c:v>
                </c:pt>
                <c:pt idx="1495">
                  <c:v>110.49</c:v>
                </c:pt>
                <c:pt idx="1496">
                  <c:v>114.2</c:v>
                </c:pt>
                <c:pt idx="1497">
                  <c:v>112.4</c:v>
                </c:pt>
                <c:pt idx="1498">
                  <c:v>109.59</c:v>
                </c:pt>
                <c:pt idx="1499">
                  <c:v>112.21</c:v>
                </c:pt>
                <c:pt idx="1500">
                  <c:v>110.28</c:v>
                </c:pt>
                <c:pt idx="1501">
                  <c:v>110.28</c:v>
                </c:pt>
                <c:pt idx="1502">
                  <c:v>110.28</c:v>
                </c:pt>
                <c:pt idx="1503">
                  <c:v>110.29</c:v>
                </c:pt>
                <c:pt idx="1504">
                  <c:v>109.77</c:v>
                </c:pt>
                <c:pt idx="1505">
                  <c:v>110.33</c:v>
                </c:pt>
                <c:pt idx="1506">
                  <c:v>114.09</c:v>
                </c:pt>
                <c:pt idx="1507">
                  <c:v>115.07</c:v>
                </c:pt>
                <c:pt idx="1508">
                  <c:v>115.07</c:v>
                </c:pt>
                <c:pt idx="1509">
                  <c:v>115.07</c:v>
                </c:pt>
                <c:pt idx="1510">
                  <c:v>116.86</c:v>
                </c:pt>
                <c:pt idx="1511">
                  <c:v>114.67</c:v>
                </c:pt>
                <c:pt idx="1512">
                  <c:v>115.26</c:v>
                </c:pt>
                <c:pt idx="1513">
                  <c:v>116.87</c:v>
                </c:pt>
                <c:pt idx="1514">
                  <c:v>118.87</c:v>
                </c:pt>
                <c:pt idx="1515">
                  <c:v>118.87</c:v>
                </c:pt>
                <c:pt idx="1516">
                  <c:v>118.87</c:v>
                </c:pt>
                <c:pt idx="1517">
                  <c:v>118.5</c:v>
                </c:pt>
                <c:pt idx="1518">
                  <c:v>119.41</c:v>
                </c:pt>
                <c:pt idx="1519">
                  <c:v>122.11</c:v>
                </c:pt>
                <c:pt idx="1520">
                  <c:v>121.51</c:v>
                </c:pt>
                <c:pt idx="1521">
                  <c:v>120.67</c:v>
                </c:pt>
                <c:pt idx="1522">
                  <c:v>120.67</c:v>
                </c:pt>
                <c:pt idx="1523">
                  <c:v>120.67</c:v>
                </c:pt>
                <c:pt idx="1524">
                  <c:v>120.93</c:v>
                </c:pt>
                <c:pt idx="1525">
                  <c:v>118.93</c:v>
                </c:pt>
                <c:pt idx="1526">
                  <c:v>115.31</c:v>
                </c:pt>
                <c:pt idx="1527">
                  <c:v>117.59</c:v>
                </c:pt>
                <c:pt idx="1528">
                  <c:v>109.56</c:v>
                </c:pt>
                <c:pt idx="1529">
                  <c:v>109.56</c:v>
                </c:pt>
                <c:pt idx="1530">
                  <c:v>109.56</c:v>
                </c:pt>
                <c:pt idx="1531">
                  <c:v>109.56</c:v>
                </c:pt>
                <c:pt idx="1532">
                  <c:v>109.52</c:v>
                </c:pt>
                <c:pt idx="1533">
                  <c:v>106.19</c:v>
                </c:pt>
                <c:pt idx="1534">
                  <c:v>104.27</c:v>
                </c:pt>
                <c:pt idx="1535">
                  <c:v>107.62</c:v>
                </c:pt>
                <c:pt idx="1536">
                  <c:v>107.62</c:v>
                </c:pt>
                <c:pt idx="1537">
                  <c:v>107.62</c:v>
                </c:pt>
                <c:pt idx="1538">
                  <c:v>109.57</c:v>
                </c:pt>
                <c:pt idx="1539">
                  <c:v>111.76</c:v>
                </c:pt>
                <c:pt idx="1540">
                  <c:v>109.78</c:v>
                </c:pt>
                <c:pt idx="1541">
                  <c:v>105.76</c:v>
                </c:pt>
                <c:pt idx="1542">
                  <c:v>108.43</c:v>
                </c:pt>
                <c:pt idx="1543">
                  <c:v>108.43</c:v>
                </c:pt>
                <c:pt idx="1544">
                  <c:v>108.43</c:v>
                </c:pt>
                <c:pt idx="1545">
                  <c:v>110.41</c:v>
                </c:pt>
                <c:pt idx="1546">
                  <c:v>99.5</c:v>
                </c:pt>
                <c:pt idx="1547">
                  <c:v>98.53</c:v>
                </c:pt>
                <c:pt idx="1548">
                  <c:v>102.73</c:v>
                </c:pt>
                <c:pt idx="1549">
                  <c:v>104.79</c:v>
                </c:pt>
                <c:pt idx="1550">
                  <c:v>104.79</c:v>
                </c:pt>
                <c:pt idx="1551">
                  <c:v>104.79</c:v>
                </c:pt>
                <c:pt idx="1552">
                  <c:v>104.09</c:v>
                </c:pt>
                <c:pt idx="1553">
                  <c:v>95.84</c:v>
                </c:pt>
                <c:pt idx="1554">
                  <c:v>96.3</c:v>
                </c:pt>
                <c:pt idx="1555">
                  <c:v>95.78</c:v>
                </c:pt>
                <c:pt idx="1556">
                  <c:v>97.59</c:v>
                </c:pt>
                <c:pt idx="1557">
                  <c:v>97.59</c:v>
                </c:pt>
                <c:pt idx="1558">
                  <c:v>97.59</c:v>
                </c:pt>
                <c:pt idx="1559">
                  <c:v>102.6</c:v>
                </c:pt>
                <c:pt idx="1560">
                  <c:v>104.22</c:v>
                </c:pt>
                <c:pt idx="1561">
                  <c:v>99.88</c:v>
                </c:pt>
                <c:pt idx="1562">
                  <c:v>96.35</c:v>
                </c:pt>
                <c:pt idx="1563">
                  <c:v>94.7</c:v>
                </c:pt>
                <c:pt idx="1564">
                  <c:v>94.7</c:v>
                </c:pt>
                <c:pt idx="1565">
                  <c:v>94.7</c:v>
                </c:pt>
                <c:pt idx="1566">
                  <c:v>96.7</c:v>
                </c:pt>
                <c:pt idx="1567">
                  <c:v>94.98</c:v>
                </c:pt>
                <c:pt idx="1568">
                  <c:v>97.26</c:v>
                </c:pt>
                <c:pt idx="1569">
                  <c:v>96.42</c:v>
                </c:pt>
                <c:pt idx="1570">
                  <c:v>98.62</c:v>
                </c:pt>
                <c:pt idx="1571">
                  <c:v>98.62</c:v>
                </c:pt>
                <c:pt idx="1572">
                  <c:v>98.62</c:v>
                </c:pt>
                <c:pt idx="1573">
                  <c:v>93.89</c:v>
                </c:pt>
                <c:pt idx="1574">
                  <c:v>94.42</c:v>
                </c:pt>
                <c:pt idx="1575">
                  <c:v>90.66</c:v>
                </c:pt>
                <c:pt idx="1576">
                  <c:v>88.54</c:v>
                </c:pt>
                <c:pt idx="1577">
                  <c:v>89.01</c:v>
                </c:pt>
                <c:pt idx="1578">
                  <c:v>89.01</c:v>
                </c:pt>
                <c:pt idx="1579">
                  <c:v>89.01</c:v>
                </c:pt>
                <c:pt idx="1580">
                  <c:v>90.76</c:v>
                </c:pt>
                <c:pt idx="1581">
                  <c:v>90.5</c:v>
                </c:pt>
                <c:pt idx="1582">
                  <c:v>91.93</c:v>
                </c:pt>
                <c:pt idx="1583">
                  <c:v>94.34</c:v>
                </c:pt>
                <c:pt idx="1584">
                  <c:v>92.09</c:v>
                </c:pt>
                <c:pt idx="1585">
                  <c:v>92.09</c:v>
                </c:pt>
                <c:pt idx="1586">
                  <c:v>92.09</c:v>
                </c:pt>
                <c:pt idx="1587">
                  <c:v>89.41</c:v>
                </c:pt>
                <c:pt idx="1588">
                  <c:v>86.53</c:v>
                </c:pt>
                <c:pt idx="1589">
                  <c:v>88.11</c:v>
                </c:pt>
                <c:pt idx="1590">
                  <c:v>90.5</c:v>
                </c:pt>
                <c:pt idx="1591">
                  <c:v>90.77</c:v>
                </c:pt>
                <c:pt idx="1592">
                  <c:v>90.77</c:v>
                </c:pt>
                <c:pt idx="1593">
                  <c:v>90.77</c:v>
                </c:pt>
                <c:pt idx="1594">
                  <c:v>90.36</c:v>
                </c:pt>
                <c:pt idx="1595">
                  <c:v>93.74</c:v>
                </c:pt>
                <c:pt idx="1596">
                  <c:v>94.89</c:v>
                </c:pt>
                <c:pt idx="1597">
                  <c:v>92.52</c:v>
                </c:pt>
                <c:pt idx="1598">
                  <c:v>93.06</c:v>
                </c:pt>
                <c:pt idx="1599">
                  <c:v>93.06</c:v>
                </c:pt>
                <c:pt idx="1600">
                  <c:v>93.06</c:v>
                </c:pt>
                <c:pt idx="1601">
                  <c:v>97.01</c:v>
                </c:pt>
                <c:pt idx="1602">
                  <c:v>91.64</c:v>
                </c:pt>
                <c:pt idx="1603">
                  <c:v>89.55</c:v>
                </c:pt>
                <c:pt idx="1604">
                  <c:v>86.61</c:v>
                </c:pt>
                <c:pt idx="1605">
                  <c:v>86.87</c:v>
                </c:pt>
                <c:pt idx="1606">
                  <c:v>86.87</c:v>
                </c:pt>
                <c:pt idx="1607">
                  <c:v>86.87</c:v>
                </c:pt>
                <c:pt idx="1608">
                  <c:v>89.24</c:v>
                </c:pt>
                <c:pt idx="1609">
                  <c:v>86.88</c:v>
                </c:pt>
                <c:pt idx="1610">
                  <c:v>81.94</c:v>
                </c:pt>
                <c:pt idx="1611">
                  <c:v>83.54</c:v>
                </c:pt>
                <c:pt idx="1612">
                  <c:v>86.79</c:v>
                </c:pt>
                <c:pt idx="1613">
                  <c:v>86.79</c:v>
                </c:pt>
                <c:pt idx="1614">
                  <c:v>86.79</c:v>
                </c:pt>
                <c:pt idx="1615">
                  <c:v>87.78</c:v>
                </c:pt>
                <c:pt idx="1616">
                  <c:v>87.31</c:v>
                </c:pt>
                <c:pt idx="1617">
                  <c:v>88.48</c:v>
                </c:pt>
                <c:pt idx="1618">
                  <c:v>85.1</c:v>
                </c:pt>
                <c:pt idx="1619">
                  <c:v>85.11</c:v>
                </c:pt>
                <c:pt idx="1620">
                  <c:v>85.11</c:v>
                </c:pt>
                <c:pt idx="1621">
                  <c:v>85.11</c:v>
                </c:pt>
                <c:pt idx="1622">
                  <c:v>85.73</c:v>
                </c:pt>
                <c:pt idx="1623">
                  <c:v>83.94</c:v>
                </c:pt>
                <c:pt idx="1624">
                  <c:v>82.94</c:v>
                </c:pt>
                <c:pt idx="1625">
                  <c:v>83.49</c:v>
                </c:pt>
                <c:pt idx="1626">
                  <c:v>78.739999999999995</c:v>
                </c:pt>
                <c:pt idx="1627">
                  <c:v>78.739999999999995</c:v>
                </c:pt>
                <c:pt idx="1628">
                  <c:v>78.739999999999995</c:v>
                </c:pt>
                <c:pt idx="1629">
                  <c:v>76.709999999999994</c:v>
                </c:pt>
                <c:pt idx="1630">
                  <c:v>78.5</c:v>
                </c:pt>
                <c:pt idx="1631">
                  <c:v>82.15</c:v>
                </c:pt>
                <c:pt idx="1632">
                  <c:v>81.23</c:v>
                </c:pt>
                <c:pt idx="1633">
                  <c:v>79.489999999999995</c:v>
                </c:pt>
                <c:pt idx="1634">
                  <c:v>79.489999999999995</c:v>
                </c:pt>
                <c:pt idx="1635">
                  <c:v>79.489999999999995</c:v>
                </c:pt>
                <c:pt idx="1636">
                  <c:v>83.63</c:v>
                </c:pt>
                <c:pt idx="1637">
                  <c:v>86.52</c:v>
                </c:pt>
                <c:pt idx="1638">
                  <c:v>87.76</c:v>
                </c:pt>
                <c:pt idx="1639">
                  <c:v>88.45</c:v>
                </c:pt>
                <c:pt idx="1640">
                  <c:v>92.64</c:v>
                </c:pt>
                <c:pt idx="1641">
                  <c:v>92.64</c:v>
                </c:pt>
                <c:pt idx="1642">
                  <c:v>92.64</c:v>
                </c:pt>
                <c:pt idx="1643">
                  <c:v>91.13</c:v>
                </c:pt>
                <c:pt idx="1644">
                  <c:v>89.35</c:v>
                </c:pt>
                <c:pt idx="1645">
                  <c:v>87.27</c:v>
                </c:pt>
                <c:pt idx="1646">
                  <c:v>89.11</c:v>
                </c:pt>
                <c:pt idx="1647">
                  <c:v>85.61</c:v>
                </c:pt>
                <c:pt idx="1648">
                  <c:v>85.61</c:v>
                </c:pt>
                <c:pt idx="1649">
                  <c:v>85.61</c:v>
                </c:pt>
                <c:pt idx="1650">
                  <c:v>85.46</c:v>
                </c:pt>
                <c:pt idx="1651">
                  <c:v>82.82</c:v>
                </c:pt>
                <c:pt idx="1652">
                  <c:v>85.55</c:v>
                </c:pt>
                <c:pt idx="1653">
                  <c:v>84.51</c:v>
                </c:pt>
                <c:pt idx="1654">
                  <c:v>85.05</c:v>
                </c:pt>
                <c:pt idx="1655">
                  <c:v>85.05</c:v>
                </c:pt>
                <c:pt idx="1656">
                  <c:v>85.05</c:v>
                </c:pt>
                <c:pt idx="1657">
                  <c:v>84.58</c:v>
                </c:pt>
                <c:pt idx="1658">
                  <c:v>85.32</c:v>
                </c:pt>
                <c:pt idx="1659">
                  <c:v>87.91</c:v>
                </c:pt>
                <c:pt idx="1660">
                  <c:v>89.08</c:v>
                </c:pt>
                <c:pt idx="1661">
                  <c:v>87.9</c:v>
                </c:pt>
                <c:pt idx="1662">
                  <c:v>87.9</c:v>
                </c:pt>
                <c:pt idx="1663">
                  <c:v>87.9</c:v>
                </c:pt>
                <c:pt idx="1664">
                  <c:v>86.53</c:v>
                </c:pt>
                <c:pt idx="1665">
                  <c:v>88.37</c:v>
                </c:pt>
                <c:pt idx="1666">
                  <c:v>90</c:v>
                </c:pt>
                <c:pt idx="1667">
                  <c:v>88.17</c:v>
                </c:pt>
                <c:pt idx="1668">
                  <c:v>92.61</c:v>
                </c:pt>
                <c:pt idx="1669">
                  <c:v>92.61</c:v>
                </c:pt>
                <c:pt idx="1670">
                  <c:v>92.61</c:v>
                </c:pt>
                <c:pt idx="1671">
                  <c:v>91.79</c:v>
                </c:pt>
                <c:pt idx="1672">
                  <c:v>88.91</c:v>
                </c:pt>
                <c:pt idx="1673">
                  <c:v>85.83</c:v>
                </c:pt>
                <c:pt idx="1674">
                  <c:v>86.47</c:v>
                </c:pt>
                <c:pt idx="1675">
                  <c:v>88.96</c:v>
                </c:pt>
                <c:pt idx="1676">
                  <c:v>88.96</c:v>
                </c:pt>
                <c:pt idx="1677">
                  <c:v>88.96</c:v>
                </c:pt>
                <c:pt idx="1678">
                  <c:v>85.87</c:v>
                </c:pt>
                <c:pt idx="1679">
                  <c:v>86.92</c:v>
                </c:pt>
                <c:pt idx="1680">
                  <c:v>85.59</c:v>
                </c:pt>
                <c:pt idx="1681">
                  <c:v>81.64</c:v>
                </c:pt>
                <c:pt idx="1682">
                  <c:v>80.08</c:v>
                </c:pt>
                <c:pt idx="1683">
                  <c:v>80.08</c:v>
                </c:pt>
                <c:pt idx="1684">
                  <c:v>80.08</c:v>
                </c:pt>
                <c:pt idx="1685">
                  <c:v>80.040000000000006</c:v>
                </c:pt>
                <c:pt idx="1686">
                  <c:v>80.95</c:v>
                </c:pt>
                <c:pt idx="1687">
                  <c:v>77.94</c:v>
                </c:pt>
                <c:pt idx="1688">
                  <c:v>78.08</c:v>
                </c:pt>
                <c:pt idx="1689">
                  <c:v>76.28</c:v>
                </c:pt>
                <c:pt idx="1690">
                  <c:v>76.28</c:v>
                </c:pt>
                <c:pt idx="1691">
                  <c:v>76.28</c:v>
                </c:pt>
                <c:pt idx="1692">
                  <c:v>77.239999999999995</c:v>
                </c:pt>
                <c:pt idx="1693">
                  <c:v>78.2</c:v>
                </c:pt>
                <c:pt idx="1694">
                  <c:v>80.55</c:v>
                </c:pt>
                <c:pt idx="1695">
                  <c:v>81.22</c:v>
                </c:pt>
                <c:pt idx="1696">
                  <c:v>79.98</c:v>
                </c:pt>
                <c:pt idx="1697">
                  <c:v>79.98</c:v>
                </c:pt>
                <c:pt idx="1698">
                  <c:v>79.98</c:v>
                </c:pt>
                <c:pt idx="1699">
                  <c:v>76.930000000000007</c:v>
                </c:pt>
                <c:pt idx="1700">
                  <c:v>74.25</c:v>
                </c:pt>
                <c:pt idx="1701">
                  <c:v>72.010000000000005</c:v>
                </c:pt>
                <c:pt idx="1702">
                  <c:v>71.459999999999994</c:v>
                </c:pt>
                <c:pt idx="1703">
                  <c:v>71.02</c:v>
                </c:pt>
                <c:pt idx="1704">
                  <c:v>71.02</c:v>
                </c:pt>
                <c:pt idx="1705">
                  <c:v>71.02</c:v>
                </c:pt>
                <c:pt idx="1706">
                  <c:v>73.17</c:v>
                </c:pt>
                <c:pt idx="1707">
                  <c:v>75.39</c:v>
                </c:pt>
                <c:pt idx="1708">
                  <c:v>77.28</c:v>
                </c:pt>
                <c:pt idx="1709">
                  <c:v>76.11</c:v>
                </c:pt>
                <c:pt idx="1710">
                  <c:v>74.290000000000006</c:v>
                </c:pt>
                <c:pt idx="1711">
                  <c:v>74.290000000000006</c:v>
                </c:pt>
                <c:pt idx="1712">
                  <c:v>74.290000000000006</c:v>
                </c:pt>
                <c:pt idx="1713">
                  <c:v>75.19</c:v>
                </c:pt>
                <c:pt idx="1714">
                  <c:v>76.23</c:v>
                </c:pt>
                <c:pt idx="1715">
                  <c:v>78.290000000000006</c:v>
                </c:pt>
                <c:pt idx="1716">
                  <c:v>77.489999999999995</c:v>
                </c:pt>
                <c:pt idx="1717">
                  <c:v>79.56</c:v>
                </c:pt>
                <c:pt idx="1718">
                  <c:v>79.56</c:v>
                </c:pt>
                <c:pt idx="1719">
                  <c:v>79.56</c:v>
                </c:pt>
                <c:pt idx="1720">
                  <c:v>79.56</c:v>
                </c:pt>
                <c:pt idx="1721">
                  <c:v>79.53</c:v>
                </c:pt>
                <c:pt idx="1722">
                  <c:v>78.959999999999994</c:v>
                </c:pt>
                <c:pt idx="1723">
                  <c:v>78.400000000000006</c:v>
                </c:pt>
                <c:pt idx="1724">
                  <c:v>80.260000000000005</c:v>
                </c:pt>
                <c:pt idx="1725">
                  <c:v>80.260000000000005</c:v>
                </c:pt>
                <c:pt idx="1726">
                  <c:v>80.260000000000005</c:v>
                </c:pt>
                <c:pt idx="1727">
                  <c:v>80.260000000000005</c:v>
                </c:pt>
                <c:pt idx="1728">
                  <c:v>76.930000000000007</c:v>
                </c:pt>
                <c:pt idx="1729">
                  <c:v>72.84</c:v>
                </c:pt>
                <c:pt idx="1730">
                  <c:v>73.67</c:v>
                </c:pt>
                <c:pt idx="1731">
                  <c:v>73.77</c:v>
                </c:pt>
                <c:pt idx="1732">
                  <c:v>73.77</c:v>
                </c:pt>
                <c:pt idx="1733">
                  <c:v>73.77</c:v>
                </c:pt>
                <c:pt idx="1734">
                  <c:v>74.63</c:v>
                </c:pt>
                <c:pt idx="1735">
                  <c:v>75.12</c:v>
                </c:pt>
                <c:pt idx="1736">
                  <c:v>77.41</c:v>
                </c:pt>
                <c:pt idx="1737">
                  <c:v>78.39</c:v>
                </c:pt>
                <c:pt idx="1738">
                  <c:v>79.86</c:v>
                </c:pt>
                <c:pt idx="1739">
                  <c:v>79.86</c:v>
                </c:pt>
                <c:pt idx="1740">
                  <c:v>79.86</c:v>
                </c:pt>
                <c:pt idx="1741">
                  <c:v>79.069999999999993</c:v>
                </c:pt>
                <c:pt idx="1742">
                  <c:v>80.180000000000007</c:v>
                </c:pt>
                <c:pt idx="1743">
                  <c:v>79.48</c:v>
                </c:pt>
                <c:pt idx="1744">
                  <c:v>80.33</c:v>
                </c:pt>
                <c:pt idx="1745">
                  <c:v>81.64</c:v>
                </c:pt>
                <c:pt idx="1746">
                  <c:v>81.64</c:v>
                </c:pt>
                <c:pt idx="1747">
                  <c:v>81.64</c:v>
                </c:pt>
                <c:pt idx="1748">
                  <c:v>81.62</c:v>
                </c:pt>
                <c:pt idx="1749">
                  <c:v>80.13</c:v>
                </c:pt>
                <c:pt idx="1750">
                  <c:v>80.150000000000006</c:v>
                </c:pt>
                <c:pt idx="1751">
                  <c:v>81.010000000000005</c:v>
                </c:pt>
                <c:pt idx="1752">
                  <c:v>79.680000000000007</c:v>
                </c:pt>
                <c:pt idx="1753">
                  <c:v>79.680000000000007</c:v>
                </c:pt>
                <c:pt idx="1754">
                  <c:v>79.680000000000007</c:v>
                </c:pt>
                <c:pt idx="1755">
                  <c:v>77.900000000000006</c:v>
                </c:pt>
                <c:pt idx="1756">
                  <c:v>78.87</c:v>
                </c:pt>
                <c:pt idx="1757">
                  <c:v>76.41</c:v>
                </c:pt>
                <c:pt idx="1758">
                  <c:v>75.88</c:v>
                </c:pt>
                <c:pt idx="1759">
                  <c:v>73.39</c:v>
                </c:pt>
                <c:pt idx="1760">
                  <c:v>73.39</c:v>
                </c:pt>
                <c:pt idx="1761">
                  <c:v>73.39</c:v>
                </c:pt>
                <c:pt idx="1762">
                  <c:v>74.11</c:v>
                </c:pt>
                <c:pt idx="1763">
                  <c:v>77.14</c:v>
                </c:pt>
                <c:pt idx="1764">
                  <c:v>78.47</c:v>
                </c:pt>
                <c:pt idx="1765">
                  <c:v>78.06</c:v>
                </c:pt>
                <c:pt idx="1766">
                  <c:v>79.72</c:v>
                </c:pt>
                <c:pt idx="1767">
                  <c:v>79.72</c:v>
                </c:pt>
                <c:pt idx="1768">
                  <c:v>79.72</c:v>
                </c:pt>
                <c:pt idx="1769">
                  <c:v>80.14</c:v>
                </c:pt>
                <c:pt idx="1770">
                  <c:v>79.06</c:v>
                </c:pt>
                <c:pt idx="1771">
                  <c:v>78.59</c:v>
                </c:pt>
                <c:pt idx="1772">
                  <c:v>78.489999999999995</c:v>
                </c:pt>
                <c:pt idx="1773">
                  <c:v>76.34</c:v>
                </c:pt>
                <c:pt idx="1774">
                  <c:v>76.34</c:v>
                </c:pt>
                <c:pt idx="1775">
                  <c:v>76.34</c:v>
                </c:pt>
                <c:pt idx="1776">
                  <c:v>77.48</c:v>
                </c:pt>
                <c:pt idx="1777">
                  <c:v>76.36</c:v>
                </c:pt>
                <c:pt idx="1778">
                  <c:v>73.95</c:v>
                </c:pt>
                <c:pt idx="1779">
                  <c:v>75.39</c:v>
                </c:pt>
                <c:pt idx="1780">
                  <c:v>76.319999999999993</c:v>
                </c:pt>
                <c:pt idx="1781">
                  <c:v>76.319999999999993</c:v>
                </c:pt>
                <c:pt idx="1782">
                  <c:v>76.319999999999993</c:v>
                </c:pt>
                <c:pt idx="1783">
                  <c:v>75.680000000000007</c:v>
                </c:pt>
                <c:pt idx="1784">
                  <c:v>77.05</c:v>
                </c:pt>
                <c:pt idx="1785">
                  <c:v>77.69</c:v>
                </c:pt>
                <c:pt idx="1786">
                  <c:v>78.16</c:v>
                </c:pt>
                <c:pt idx="1787">
                  <c:v>79.680000000000007</c:v>
                </c:pt>
                <c:pt idx="1788">
                  <c:v>79.680000000000007</c:v>
                </c:pt>
                <c:pt idx="1789">
                  <c:v>79.680000000000007</c:v>
                </c:pt>
                <c:pt idx="1790">
                  <c:v>80.459999999999994</c:v>
                </c:pt>
                <c:pt idx="1791">
                  <c:v>77.58</c:v>
                </c:pt>
                <c:pt idx="1792">
                  <c:v>76.66</c:v>
                </c:pt>
                <c:pt idx="1793">
                  <c:v>75.72</c:v>
                </c:pt>
                <c:pt idx="1794">
                  <c:v>76.680000000000007</c:v>
                </c:pt>
                <c:pt idx="1795">
                  <c:v>76.680000000000007</c:v>
                </c:pt>
                <c:pt idx="1796">
                  <c:v>76.680000000000007</c:v>
                </c:pt>
                <c:pt idx="1797">
                  <c:v>74.8</c:v>
                </c:pt>
                <c:pt idx="1798">
                  <c:v>71.33</c:v>
                </c:pt>
                <c:pt idx="1799">
                  <c:v>67.61</c:v>
                </c:pt>
                <c:pt idx="1800">
                  <c:v>68.349999999999994</c:v>
                </c:pt>
                <c:pt idx="1801">
                  <c:v>66.739999999999995</c:v>
                </c:pt>
                <c:pt idx="1802">
                  <c:v>66.739999999999995</c:v>
                </c:pt>
                <c:pt idx="1803">
                  <c:v>66.739999999999995</c:v>
                </c:pt>
                <c:pt idx="1804">
                  <c:v>67.64</c:v>
                </c:pt>
                <c:pt idx="1805">
                  <c:v>69.67</c:v>
                </c:pt>
                <c:pt idx="1806">
                  <c:v>70.900000000000006</c:v>
                </c:pt>
                <c:pt idx="1807">
                  <c:v>69.959999999999994</c:v>
                </c:pt>
                <c:pt idx="1808">
                  <c:v>69.260000000000005</c:v>
                </c:pt>
                <c:pt idx="1809">
                  <c:v>69.260000000000005</c:v>
                </c:pt>
                <c:pt idx="1810">
                  <c:v>69.260000000000005</c:v>
                </c:pt>
                <c:pt idx="1811">
                  <c:v>72.81</c:v>
                </c:pt>
                <c:pt idx="1812">
                  <c:v>73.2</c:v>
                </c:pt>
                <c:pt idx="1813">
                  <c:v>72.97</c:v>
                </c:pt>
                <c:pt idx="1814">
                  <c:v>74.37</c:v>
                </c:pt>
                <c:pt idx="1815">
                  <c:v>75.67</c:v>
                </c:pt>
                <c:pt idx="1816">
                  <c:v>75.67</c:v>
                </c:pt>
                <c:pt idx="1817">
                  <c:v>75.67</c:v>
                </c:pt>
                <c:pt idx="1818">
                  <c:v>80.42</c:v>
                </c:pt>
                <c:pt idx="1819">
                  <c:v>80.709999999999994</c:v>
                </c:pt>
                <c:pt idx="1820">
                  <c:v>80.61</c:v>
                </c:pt>
                <c:pt idx="1821">
                  <c:v>80.7</c:v>
                </c:pt>
                <c:pt idx="1822">
                  <c:v>80.7</c:v>
                </c:pt>
                <c:pt idx="1823">
                  <c:v>80.7</c:v>
                </c:pt>
                <c:pt idx="1824">
                  <c:v>80.7</c:v>
                </c:pt>
                <c:pt idx="1825">
                  <c:v>79.739999999999995</c:v>
                </c:pt>
                <c:pt idx="1826">
                  <c:v>81.53</c:v>
                </c:pt>
                <c:pt idx="1827">
                  <c:v>83.26</c:v>
                </c:pt>
                <c:pt idx="1828">
                  <c:v>82.16</c:v>
                </c:pt>
                <c:pt idx="1829">
                  <c:v>82.52</c:v>
                </c:pt>
                <c:pt idx="1830">
                  <c:v>82.52</c:v>
                </c:pt>
                <c:pt idx="1831">
                  <c:v>82.52</c:v>
                </c:pt>
                <c:pt idx="1832">
                  <c:v>80.83</c:v>
                </c:pt>
                <c:pt idx="1833">
                  <c:v>80.86</c:v>
                </c:pt>
                <c:pt idx="1834">
                  <c:v>79.16</c:v>
                </c:pt>
                <c:pt idx="1835">
                  <c:v>77.37</c:v>
                </c:pt>
                <c:pt idx="1836">
                  <c:v>77.87</c:v>
                </c:pt>
                <c:pt idx="1837">
                  <c:v>77.87</c:v>
                </c:pt>
                <c:pt idx="1838">
                  <c:v>77.87</c:v>
                </c:pt>
                <c:pt idx="1839">
                  <c:v>78.760000000000005</c:v>
                </c:pt>
                <c:pt idx="1840">
                  <c:v>77.069999999999993</c:v>
                </c:pt>
                <c:pt idx="1841">
                  <c:v>74.3</c:v>
                </c:pt>
                <c:pt idx="1842">
                  <c:v>74.760000000000005</c:v>
                </c:pt>
                <c:pt idx="1843">
                  <c:v>76.78</c:v>
                </c:pt>
                <c:pt idx="1844">
                  <c:v>76.78</c:v>
                </c:pt>
                <c:pt idx="1845">
                  <c:v>76.78</c:v>
                </c:pt>
                <c:pt idx="1846">
                  <c:v>75.66</c:v>
                </c:pt>
                <c:pt idx="1847">
                  <c:v>71.66</c:v>
                </c:pt>
                <c:pt idx="1848">
                  <c:v>68.599999999999994</c:v>
                </c:pt>
                <c:pt idx="1849">
                  <c:v>68.56</c:v>
                </c:pt>
                <c:pt idx="1850">
                  <c:v>71.34</c:v>
                </c:pt>
                <c:pt idx="1851">
                  <c:v>71.34</c:v>
                </c:pt>
                <c:pt idx="1852">
                  <c:v>71.34</c:v>
                </c:pt>
                <c:pt idx="1853">
                  <c:v>73.16</c:v>
                </c:pt>
                <c:pt idx="1854">
                  <c:v>73.709999999999994</c:v>
                </c:pt>
                <c:pt idx="1855">
                  <c:v>72.56</c:v>
                </c:pt>
                <c:pt idx="1856">
                  <c:v>70.87</c:v>
                </c:pt>
                <c:pt idx="1857">
                  <c:v>70.040000000000006</c:v>
                </c:pt>
                <c:pt idx="1858">
                  <c:v>70.040000000000006</c:v>
                </c:pt>
                <c:pt idx="1859">
                  <c:v>70.040000000000006</c:v>
                </c:pt>
                <c:pt idx="1860">
                  <c:v>71.11</c:v>
                </c:pt>
                <c:pt idx="1861">
                  <c:v>70.86</c:v>
                </c:pt>
                <c:pt idx="1862">
                  <c:v>72.83</c:v>
                </c:pt>
                <c:pt idx="1863">
                  <c:v>71.86</c:v>
                </c:pt>
                <c:pt idx="1864">
                  <c:v>71.55</c:v>
                </c:pt>
                <c:pt idx="1865">
                  <c:v>71.55</c:v>
                </c:pt>
                <c:pt idx="1866">
                  <c:v>71.55</c:v>
                </c:pt>
                <c:pt idx="1867">
                  <c:v>72.05</c:v>
                </c:pt>
                <c:pt idx="1868">
                  <c:v>72.91</c:v>
                </c:pt>
                <c:pt idx="1869">
                  <c:v>74.34</c:v>
                </c:pt>
                <c:pt idx="1870">
                  <c:v>71.83</c:v>
                </c:pt>
                <c:pt idx="1871">
                  <c:v>72.67</c:v>
                </c:pt>
                <c:pt idx="1872">
                  <c:v>72.67</c:v>
                </c:pt>
                <c:pt idx="1873">
                  <c:v>72.67</c:v>
                </c:pt>
                <c:pt idx="1874">
                  <c:v>72.959999999999994</c:v>
                </c:pt>
                <c:pt idx="1875">
                  <c:v>69.459999999999994</c:v>
                </c:pt>
                <c:pt idx="1876">
                  <c:v>68.09</c:v>
                </c:pt>
                <c:pt idx="1877">
                  <c:v>70.099999999999994</c:v>
                </c:pt>
                <c:pt idx="1878">
                  <c:v>71.739999999999995</c:v>
                </c:pt>
                <c:pt idx="1879">
                  <c:v>71.739999999999995</c:v>
                </c:pt>
                <c:pt idx="1880">
                  <c:v>71.739999999999995</c:v>
                </c:pt>
                <c:pt idx="1881">
                  <c:v>72.150000000000006</c:v>
                </c:pt>
                <c:pt idx="1882">
                  <c:v>71.739999999999995</c:v>
                </c:pt>
                <c:pt idx="1883">
                  <c:v>72.53</c:v>
                </c:pt>
                <c:pt idx="1884">
                  <c:v>71.290000000000006</c:v>
                </c:pt>
                <c:pt idx="1885">
                  <c:v>70.17</c:v>
                </c:pt>
                <c:pt idx="1886">
                  <c:v>70.17</c:v>
                </c:pt>
                <c:pt idx="1887">
                  <c:v>70.17</c:v>
                </c:pt>
                <c:pt idx="1888">
                  <c:v>67.12</c:v>
                </c:pt>
                <c:pt idx="1889">
                  <c:v>69.42</c:v>
                </c:pt>
                <c:pt idx="1890">
                  <c:v>68.27</c:v>
                </c:pt>
                <c:pt idx="1891">
                  <c:v>70.62</c:v>
                </c:pt>
                <c:pt idx="1892">
                  <c:v>71.78</c:v>
                </c:pt>
                <c:pt idx="1893">
                  <c:v>71.78</c:v>
                </c:pt>
                <c:pt idx="1894">
                  <c:v>71.78</c:v>
                </c:pt>
                <c:pt idx="1895">
                  <c:v>71.31</c:v>
                </c:pt>
                <c:pt idx="1896">
                  <c:v>71.19</c:v>
                </c:pt>
                <c:pt idx="1897">
                  <c:v>72.53</c:v>
                </c:pt>
                <c:pt idx="1898">
                  <c:v>69.510000000000005</c:v>
                </c:pt>
                <c:pt idx="1899">
                  <c:v>69.16</c:v>
                </c:pt>
                <c:pt idx="1900">
                  <c:v>69.16</c:v>
                </c:pt>
                <c:pt idx="1901">
                  <c:v>69.16</c:v>
                </c:pt>
                <c:pt idx="1902">
                  <c:v>69.37</c:v>
                </c:pt>
                <c:pt idx="1903">
                  <c:v>67.7</c:v>
                </c:pt>
                <c:pt idx="1904">
                  <c:v>69.56</c:v>
                </c:pt>
                <c:pt idx="1905">
                  <c:v>69.86</c:v>
                </c:pt>
                <c:pt idx="1906">
                  <c:v>70.64</c:v>
                </c:pt>
                <c:pt idx="1907">
                  <c:v>70.64</c:v>
                </c:pt>
                <c:pt idx="1908">
                  <c:v>70.64</c:v>
                </c:pt>
                <c:pt idx="1909">
                  <c:v>69.790000000000006</c:v>
                </c:pt>
                <c:pt idx="1910">
                  <c:v>71.319999999999993</c:v>
                </c:pt>
                <c:pt idx="1911">
                  <c:v>71.790000000000006</c:v>
                </c:pt>
                <c:pt idx="1912">
                  <c:v>71.8</c:v>
                </c:pt>
                <c:pt idx="1913">
                  <c:v>73.86</c:v>
                </c:pt>
                <c:pt idx="1914">
                  <c:v>73.86</c:v>
                </c:pt>
                <c:pt idx="1915">
                  <c:v>73.86</c:v>
                </c:pt>
                <c:pt idx="1916">
                  <c:v>72.989999999999995</c:v>
                </c:pt>
                <c:pt idx="1917">
                  <c:v>74.83</c:v>
                </c:pt>
                <c:pt idx="1918">
                  <c:v>75.75</c:v>
                </c:pt>
                <c:pt idx="1919">
                  <c:v>76.89</c:v>
                </c:pt>
                <c:pt idx="1920">
                  <c:v>75.42</c:v>
                </c:pt>
                <c:pt idx="1921">
                  <c:v>75.42</c:v>
                </c:pt>
                <c:pt idx="1922">
                  <c:v>75.42</c:v>
                </c:pt>
                <c:pt idx="1923">
                  <c:v>74.150000000000006</c:v>
                </c:pt>
                <c:pt idx="1924">
                  <c:v>75.75</c:v>
                </c:pt>
                <c:pt idx="1925">
                  <c:v>75.349999999999994</c:v>
                </c:pt>
                <c:pt idx="1926">
                  <c:v>75.650000000000006</c:v>
                </c:pt>
                <c:pt idx="1927">
                  <c:v>77.069999999999993</c:v>
                </c:pt>
                <c:pt idx="1928">
                  <c:v>77.069999999999993</c:v>
                </c:pt>
                <c:pt idx="1929">
                  <c:v>77.069999999999993</c:v>
                </c:pt>
                <c:pt idx="1930">
                  <c:v>78.739999999999995</c:v>
                </c:pt>
                <c:pt idx="1931">
                  <c:v>79.63</c:v>
                </c:pt>
                <c:pt idx="1932">
                  <c:v>78.78</c:v>
                </c:pt>
                <c:pt idx="1933">
                  <c:v>80.09</c:v>
                </c:pt>
                <c:pt idx="1934">
                  <c:v>80.58</c:v>
                </c:pt>
                <c:pt idx="1935">
                  <c:v>80.58</c:v>
                </c:pt>
                <c:pt idx="1936">
                  <c:v>80.58</c:v>
                </c:pt>
                <c:pt idx="1937">
                  <c:v>81.8</c:v>
                </c:pt>
                <c:pt idx="1938">
                  <c:v>81.37</c:v>
                </c:pt>
                <c:pt idx="1939">
                  <c:v>79.489999999999995</c:v>
                </c:pt>
                <c:pt idx="1940">
                  <c:v>81.55</c:v>
                </c:pt>
                <c:pt idx="1941">
                  <c:v>82.82</c:v>
                </c:pt>
                <c:pt idx="1942">
                  <c:v>82.82</c:v>
                </c:pt>
                <c:pt idx="1943">
                  <c:v>82.82</c:v>
                </c:pt>
                <c:pt idx="1944">
                  <c:v>81.94</c:v>
                </c:pt>
                <c:pt idx="1945">
                  <c:v>82.92</c:v>
                </c:pt>
                <c:pt idx="1946">
                  <c:v>84.4</c:v>
                </c:pt>
                <c:pt idx="1947">
                  <c:v>82.82</c:v>
                </c:pt>
                <c:pt idx="1948">
                  <c:v>83.19</c:v>
                </c:pt>
                <c:pt idx="1949">
                  <c:v>83.19</c:v>
                </c:pt>
                <c:pt idx="1950">
                  <c:v>83.19</c:v>
                </c:pt>
                <c:pt idx="1951">
                  <c:v>82.51</c:v>
                </c:pt>
                <c:pt idx="1952">
                  <c:v>80.989999999999995</c:v>
                </c:pt>
                <c:pt idx="1953">
                  <c:v>79.38</c:v>
                </c:pt>
                <c:pt idx="1954">
                  <c:v>80.39</c:v>
                </c:pt>
                <c:pt idx="1955">
                  <c:v>81.25</c:v>
                </c:pt>
                <c:pt idx="1956">
                  <c:v>81.25</c:v>
                </c:pt>
                <c:pt idx="1957">
                  <c:v>81.25</c:v>
                </c:pt>
                <c:pt idx="1958">
                  <c:v>80.72</c:v>
                </c:pt>
                <c:pt idx="1959">
                  <c:v>79.64</c:v>
                </c:pt>
                <c:pt idx="1960">
                  <c:v>78.89</c:v>
                </c:pt>
                <c:pt idx="1961">
                  <c:v>79.05</c:v>
                </c:pt>
                <c:pt idx="1962">
                  <c:v>79.83</c:v>
                </c:pt>
                <c:pt idx="1963">
                  <c:v>79.83</c:v>
                </c:pt>
                <c:pt idx="1964">
                  <c:v>79.83</c:v>
                </c:pt>
                <c:pt idx="1965">
                  <c:v>80.099999999999994</c:v>
                </c:pt>
                <c:pt idx="1966">
                  <c:v>81.16</c:v>
                </c:pt>
                <c:pt idx="1967">
                  <c:v>81.63</c:v>
                </c:pt>
                <c:pt idx="1968">
                  <c:v>83.63</c:v>
                </c:pt>
                <c:pt idx="1969">
                  <c:v>85.55</c:v>
                </c:pt>
                <c:pt idx="1970">
                  <c:v>85.55</c:v>
                </c:pt>
                <c:pt idx="1971">
                  <c:v>85.55</c:v>
                </c:pt>
                <c:pt idx="1972">
                  <c:v>85.93</c:v>
                </c:pt>
                <c:pt idx="1973">
                  <c:v>86.69</c:v>
                </c:pt>
                <c:pt idx="1974">
                  <c:v>87.54</c:v>
                </c:pt>
                <c:pt idx="1975">
                  <c:v>86.87</c:v>
                </c:pt>
                <c:pt idx="1976">
                  <c:v>87.51</c:v>
                </c:pt>
                <c:pt idx="1977">
                  <c:v>87.51</c:v>
                </c:pt>
                <c:pt idx="1978">
                  <c:v>87.51</c:v>
                </c:pt>
                <c:pt idx="1979">
                  <c:v>87.29</c:v>
                </c:pt>
                <c:pt idx="1980">
                  <c:v>88.84</c:v>
                </c:pt>
                <c:pt idx="1981">
                  <c:v>88.52</c:v>
                </c:pt>
                <c:pt idx="1982">
                  <c:v>90.16</c:v>
                </c:pt>
                <c:pt idx="1983">
                  <c:v>90.77</c:v>
                </c:pt>
                <c:pt idx="1984">
                  <c:v>90.77</c:v>
                </c:pt>
                <c:pt idx="1985">
                  <c:v>90.77</c:v>
                </c:pt>
                <c:pt idx="1986">
                  <c:v>91.48</c:v>
                </c:pt>
                <c:pt idx="1987">
                  <c:v>91.2</c:v>
                </c:pt>
                <c:pt idx="1988">
                  <c:v>89.66</c:v>
                </c:pt>
                <c:pt idx="1989">
                  <c:v>89.63</c:v>
                </c:pt>
                <c:pt idx="1990">
                  <c:v>90.03</c:v>
                </c:pt>
                <c:pt idx="1991">
                  <c:v>90.03</c:v>
                </c:pt>
                <c:pt idx="1992">
                  <c:v>90.03</c:v>
                </c:pt>
                <c:pt idx="1993">
                  <c:v>89.68</c:v>
                </c:pt>
                <c:pt idx="1994">
                  <c:v>90.39</c:v>
                </c:pt>
                <c:pt idx="1995">
                  <c:v>93.68</c:v>
                </c:pt>
                <c:pt idx="1996">
                  <c:v>91.71</c:v>
                </c:pt>
                <c:pt idx="1997">
                  <c:v>90.79</c:v>
                </c:pt>
                <c:pt idx="1998">
                  <c:v>90.79</c:v>
                </c:pt>
                <c:pt idx="1999">
                  <c:v>90.79</c:v>
                </c:pt>
                <c:pt idx="2000">
                  <c:v>88.82</c:v>
                </c:pt>
                <c:pt idx="2001">
                  <c:v>89.23</c:v>
                </c:pt>
                <c:pt idx="2002">
                  <c:v>84.22</c:v>
                </c:pt>
                <c:pt idx="2003">
                  <c:v>82.31</c:v>
                </c:pt>
                <c:pt idx="2004">
                  <c:v>82.79</c:v>
                </c:pt>
                <c:pt idx="2005">
                  <c:v>82.79</c:v>
                </c:pt>
                <c:pt idx="2006">
                  <c:v>82.79</c:v>
                </c:pt>
                <c:pt idx="2007">
                  <c:v>86.38</c:v>
                </c:pt>
                <c:pt idx="2008">
                  <c:v>85.97</c:v>
                </c:pt>
                <c:pt idx="2009">
                  <c:v>83.49</c:v>
                </c:pt>
                <c:pt idx="2010">
                  <c:v>82.91</c:v>
                </c:pt>
                <c:pt idx="2011">
                  <c:v>87.69</c:v>
                </c:pt>
                <c:pt idx="2012">
                  <c:v>87.69</c:v>
                </c:pt>
                <c:pt idx="2013">
                  <c:v>87.69</c:v>
                </c:pt>
                <c:pt idx="2014">
                  <c:v>86.66</c:v>
                </c:pt>
                <c:pt idx="2015">
                  <c:v>86.66</c:v>
                </c:pt>
                <c:pt idx="2016">
                  <c:v>88.32</c:v>
                </c:pt>
                <c:pt idx="2017">
                  <c:v>89.37</c:v>
                </c:pt>
                <c:pt idx="2018">
                  <c:v>88.08</c:v>
                </c:pt>
                <c:pt idx="2019">
                  <c:v>88.08</c:v>
                </c:pt>
                <c:pt idx="2020">
                  <c:v>88.08</c:v>
                </c:pt>
                <c:pt idx="2021">
                  <c:v>85.49</c:v>
                </c:pt>
                <c:pt idx="2022">
                  <c:v>83.74</c:v>
                </c:pt>
                <c:pt idx="2023">
                  <c:v>85.39</c:v>
                </c:pt>
                <c:pt idx="2024">
                  <c:v>83.21</c:v>
                </c:pt>
                <c:pt idx="2025">
                  <c:v>85.54</c:v>
                </c:pt>
                <c:pt idx="2026">
                  <c:v>85.54</c:v>
                </c:pt>
                <c:pt idx="2027">
                  <c:v>85.54</c:v>
                </c:pt>
                <c:pt idx="2028">
                  <c:v>82.31</c:v>
                </c:pt>
                <c:pt idx="2029">
                  <c:v>81.02</c:v>
                </c:pt>
                <c:pt idx="2030">
                  <c:v>80.44</c:v>
                </c:pt>
                <c:pt idx="2031">
                  <c:v>82.46</c:v>
                </c:pt>
                <c:pt idx="2032">
                  <c:v>80.510000000000005</c:v>
                </c:pt>
                <c:pt idx="2033">
                  <c:v>80.510000000000005</c:v>
                </c:pt>
                <c:pt idx="2034">
                  <c:v>80.510000000000005</c:v>
                </c:pt>
                <c:pt idx="2035">
                  <c:v>80.819999999999993</c:v>
                </c:pt>
                <c:pt idx="2036">
                  <c:v>77.37</c:v>
                </c:pt>
                <c:pt idx="2037">
                  <c:v>75.33</c:v>
                </c:pt>
                <c:pt idx="2038">
                  <c:v>75.739999999999995</c:v>
                </c:pt>
                <c:pt idx="2039">
                  <c:v>77.17</c:v>
                </c:pt>
                <c:pt idx="2040">
                  <c:v>77.17</c:v>
                </c:pt>
                <c:pt idx="2041">
                  <c:v>77.17</c:v>
                </c:pt>
                <c:pt idx="2042">
                  <c:v>78.260000000000005</c:v>
                </c:pt>
                <c:pt idx="2043">
                  <c:v>78.260000000000005</c:v>
                </c:pt>
                <c:pt idx="2044">
                  <c:v>76.66</c:v>
                </c:pt>
                <c:pt idx="2045">
                  <c:v>72.900000000000006</c:v>
                </c:pt>
                <c:pt idx="2046">
                  <c:v>75.89</c:v>
                </c:pt>
                <c:pt idx="2047">
                  <c:v>75.89</c:v>
                </c:pt>
                <c:pt idx="2048">
                  <c:v>75.89</c:v>
                </c:pt>
                <c:pt idx="2049">
                  <c:v>77.83</c:v>
                </c:pt>
                <c:pt idx="2050">
                  <c:v>77.77</c:v>
                </c:pt>
                <c:pt idx="2051">
                  <c:v>77.099999999999994</c:v>
                </c:pt>
                <c:pt idx="2052">
                  <c:v>76.400000000000006</c:v>
                </c:pt>
                <c:pt idx="2053">
                  <c:v>75.540000000000006</c:v>
                </c:pt>
                <c:pt idx="2054">
                  <c:v>75.540000000000006</c:v>
                </c:pt>
                <c:pt idx="2055">
                  <c:v>75.540000000000006</c:v>
                </c:pt>
                <c:pt idx="2056">
                  <c:v>74.86</c:v>
                </c:pt>
                <c:pt idx="2057">
                  <c:v>76.41</c:v>
                </c:pt>
                <c:pt idx="2058">
                  <c:v>77.86</c:v>
                </c:pt>
                <c:pt idx="2059">
                  <c:v>75.959999999999994</c:v>
                </c:pt>
                <c:pt idx="2060">
                  <c:v>74.069999999999993</c:v>
                </c:pt>
                <c:pt idx="2061">
                  <c:v>74.069999999999993</c:v>
                </c:pt>
                <c:pt idx="2062">
                  <c:v>74.069999999999993</c:v>
                </c:pt>
                <c:pt idx="2063">
                  <c:v>73.040000000000006</c:v>
                </c:pt>
                <c:pt idx="2064">
                  <c:v>72.319999999999993</c:v>
                </c:pt>
                <c:pt idx="2065">
                  <c:v>69.38</c:v>
                </c:pt>
                <c:pt idx="2066">
                  <c:v>69.34</c:v>
                </c:pt>
                <c:pt idx="2067">
                  <c:v>71.23</c:v>
                </c:pt>
                <c:pt idx="2068">
                  <c:v>71.23</c:v>
                </c:pt>
                <c:pt idx="2069">
                  <c:v>71.23</c:v>
                </c:pt>
                <c:pt idx="2070">
                  <c:v>71.319999999999993</c:v>
                </c:pt>
                <c:pt idx="2071">
                  <c:v>68.61</c:v>
                </c:pt>
                <c:pt idx="2072">
                  <c:v>69.47</c:v>
                </c:pt>
                <c:pt idx="2073">
                  <c:v>71.58</c:v>
                </c:pt>
                <c:pt idx="2074">
                  <c:v>71.430000000000007</c:v>
                </c:pt>
                <c:pt idx="2075">
                  <c:v>71.430000000000007</c:v>
                </c:pt>
                <c:pt idx="2076">
                  <c:v>71.430000000000007</c:v>
                </c:pt>
                <c:pt idx="2077">
                  <c:v>72.47</c:v>
                </c:pt>
                <c:pt idx="2078">
                  <c:v>73.94</c:v>
                </c:pt>
                <c:pt idx="2079">
                  <c:v>74.22</c:v>
                </c:pt>
                <c:pt idx="2080">
                  <c:v>73.89</c:v>
                </c:pt>
                <c:pt idx="2081">
                  <c:v>73.56</c:v>
                </c:pt>
                <c:pt idx="2082">
                  <c:v>73.56</c:v>
                </c:pt>
                <c:pt idx="2083">
                  <c:v>73.56</c:v>
                </c:pt>
                <c:pt idx="2084">
                  <c:v>73.56</c:v>
                </c:pt>
                <c:pt idx="2085">
                  <c:v>75.569999999999993</c:v>
                </c:pt>
                <c:pt idx="2086">
                  <c:v>74.11</c:v>
                </c:pt>
                <c:pt idx="2087">
                  <c:v>71.77</c:v>
                </c:pt>
                <c:pt idx="2088">
                  <c:v>71.650000000000006</c:v>
                </c:pt>
                <c:pt idx="2089">
                  <c:v>71.650000000000006</c:v>
                </c:pt>
                <c:pt idx="2090">
                  <c:v>71.650000000000006</c:v>
                </c:pt>
                <c:pt idx="2091">
                  <c:v>71.650000000000006</c:v>
                </c:pt>
                <c:pt idx="2092">
                  <c:v>70.38</c:v>
                </c:pt>
                <c:pt idx="2093">
                  <c:v>72.7</c:v>
                </c:pt>
                <c:pt idx="2094">
                  <c:v>72.19</c:v>
                </c:pt>
                <c:pt idx="2095">
                  <c:v>73.81</c:v>
                </c:pt>
                <c:pt idx="2096">
                  <c:v>73.81</c:v>
                </c:pt>
                <c:pt idx="2097">
                  <c:v>73.81</c:v>
                </c:pt>
                <c:pt idx="2098">
                  <c:v>70.77</c:v>
                </c:pt>
                <c:pt idx="2099">
                  <c:v>72.239999999999995</c:v>
                </c:pt>
                <c:pt idx="2100">
                  <c:v>71.37</c:v>
                </c:pt>
                <c:pt idx="2101">
                  <c:v>72.02</c:v>
                </c:pt>
                <c:pt idx="2102">
                  <c:v>72.680000000000007</c:v>
                </c:pt>
                <c:pt idx="2103">
                  <c:v>72.680000000000007</c:v>
                </c:pt>
                <c:pt idx="2104">
                  <c:v>72.680000000000007</c:v>
                </c:pt>
                <c:pt idx="2105">
                  <c:v>72.45</c:v>
                </c:pt>
                <c:pt idx="2106">
                  <c:v>72.400000000000006</c:v>
                </c:pt>
                <c:pt idx="2107">
                  <c:v>72.56</c:v>
                </c:pt>
                <c:pt idx="2108">
                  <c:v>74.08</c:v>
                </c:pt>
                <c:pt idx="2109">
                  <c:v>73.41</c:v>
                </c:pt>
                <c:pt idx="2110">
                  <c:v>73.41</c:v>
                </c:pt>
                <c:pt idx="2111">
                  <c:v>73.41</c:v>
                </c:pt>
                <c:pt idx="2112">
                  <c:v>74.760000000000005</c:v>
                </c:pt>
                <c:pt idx="2113">
                  <c:v>74.37</c:v>
                </c:pt>
                <c:pt idx="2114">
                  <c:v>75.09</c:v>
                </c:pt>
                <c:pt idx="2115">
                  <c:v>77.36</c:v>
                </c:pt>
                <c:pt idx="2116">
                  <c:v>78.010000000000005</c:v>
                </c:pt>
                <c:pt idx="2117">
                  <c:v>78.010000000000005</c:v>
                </c:pt>
                <c:pt idx="2118">
                  <c:v>78.010000000000005</c:v>
                </c:pt>
                <c:pt idx="2119">
                  <c:v>76.78</c:v>
                </c:pt>
                <c:pt idx="2120">
                  <c:v>77.819999999999993</c:v>
                </c:pt>
                <c:pt idx="2121">
                  <c:v>75.849999999999994</c:v>
                </c:pt>
                <c:pt idx="2122">
                  <c:v>73.819999999999993</c:v>
                </c:pt>
                <c:pt idx="2123">
                  <c:v>72.28</c:v>
                </c:pt>
                <c:pt idx="2124">
                  <c:v>72.28</c:v>
                </c:pt>
                <c:pt idx="2125">
                  <c:v>72.28</c:v>
                </c:pt>
                <c:pt idx="2126">
                  <c:v>72.78</c:v>
                </c:pt>
                <c:pt idx="2127">
                  <c:v>73.31</c:v>
                </c:pt>
                <c:pt idx="2128">
                  <c:v>73.86</c:v>
                </c:pt>
                <c:pt idx="2129">
                  <c:v>76.22</c:v>
                </c:pt>
                <c:pt idx="2130">
                  <c:v>76.84</c:v>
                </c:pt>
                <c:pt idx="2131">
                  <c:v>76.84</c:v>
                </c:pt>
                <c:pt idx="2132">
                  <c:v>76.84</c:v>
                </c:pt>
                <c:pt idx="2133">
                  <c:v>76.92</c:v>
                </c:pt>
                <c:pt idx="2134">
                  <c:v>77.87</c:v>
                </c:pt>
                <c:pt idx="2135">
                  <c:v>76.64</c:v>
                </c:pt>
                <c:pt idx="2136">
                  <c:v>78.03</c:v>
                </c:pt>
                <c:pt idx="2137">
                  <c:v>79.19</c:v>
                </c:pt>
                <c:pt idx="2138">
                  <c:v>79.19</c:v>
                </c:pt>
                <c:pt idx="2139">
                  <c:v>79.19</c:v>
                </c:pt>
                <c:pt idx="2140">
                  <c:v>78.47</c:v>
                </c:pt>
                <c:pt idx="2141">
                  <c:v>77.040000000000006</c:v>
                </c:pt>
                <c:pt idx="2142">
                  <c:v>77.91</c:v>
                </c:pt>
                <c:pt idx="2143">
                  <c:v>78.61</c:v>
                </c:pt>
                <c:pt idx="2144">
                  <c:v>76.489999999999995</c:v>
                </c:pt>
                <c:pt idx="2145">
                  <c:v>76.489999999999995</c:v>
                </c:pt>
                <c:pt idx="2146">
                  <c:v>76.489999999999995</c:v>
                </c:pt>
                <c:pt idx="2147">
                  <c:v>77.58</c:v>
                </c:pt>
                <c:pt idx="2148">
                  <c:v>78.87</c:v>
                </c:pt>
                <c:pt idx="2149">
                  <c:v>78.540000000000006</c:v>
                </c:pt>
                <c:pt idx="2150">
                  <c:v>78.260000000000005</c:v>
                </c:pt>
                <c:pt idx="2151">
                  <c:v>79.97</c:v>
                </c:pt>
                <c:pt idx="2152">
                  <c:v>79.97</c:v>
                </c:pt>
                <c:pt idx="2153">
                  <c:v>79.97</c:v>
                </c:pt>
                <c:pt idx="2154">
                  <c:v>78.739999999999995</c:v>
                </c:pt>
                <c:pt idx="2155">
                  <c:v>78.150000000000006</c:v>
                </c:pt>
                <c:pt idx="2156">
                  <c:v>79.13</c:v>
                </c:pt>
                <c:pt idx="2157">
                  <c:v>78.930000000000007</c:v>
                </c:pt>
                <c:pt idx="2158">
                  <c:v>78.010000000000005</c:v>
                </c:pt>
                <c:pt idx="2159">
                  <c:v>78.010000000000005</c:v>
                </c:pt>
                <c:pt idx="2160">
                  <c:v>78.010000000000005</c:v>
                </c:pt>
                <c:pt idx="2161">
                  <c:v>77.930000000000007</c:v>
                </c:pt>
                <c:pt idx="2162">
                  <c:v>77.56</c:v>
                </c:pt>
                <c:pt idx="2163">
                  <c:v>79.72</c:v>
                </c:pt>
                <c:pt idx="2164">
                  <c:v>81.260000000000005</c:v>
                </c:pt>
                <c:pt idx="2165">
                  <c:v>81.040000000000006</c:v>
                </c:pt>
                <c:pt idx="2166">
                  <c:v>81.040000000000006</c:v>
                </c:pt>
                <c:pt idx="2167">
                  <c:v>81.040000000000006</c:v>
                </c:pt>
                <c:pt idx="2168">
                  <c:v>82.72</c:v>
                </c:pt>
                <c:pt idx="2169">
                  <c:v>83.47</c:v>
                </c:pt>
                <c:pt idx="2170">
                  <c:v>81.27</c:v>
                </c:pt>
                <c:pt idx="2171">
                  <c:v>81.069999999999993</c:v>
                </c:pt>
                <c:pt idx="2172">
                  <c:v>80.63</c:v>
                </c:pt>
                <c:pt idx="2173">
                  <c:v>80.63</c:v>
                </c:pt>
                <c:pt idx="2174">
                  <c:v>80.63</c:v>
                </c:pt>
                <c:pt idx="2175">
                  <c:v>81.95</c:v>
                </c:pt>
                <c:pt idx="2176">
                  <c:v>81.62</c:v>
                </c:pt>
                <c:pt idx="2177">
                  <c:v>81.349999999999994</c:v>
                </c:pt>
                <c:pt idx="2178">
                  <c:v>83.17</c:v>
                </c:pt>
                <c:pt idx="2179">
                  <c:v>83.17</c:v>
                </c:pt>
                <c:pt idx="2180">
                  <c:v>83.17</c:v>
                </c:pt>
                <c:pt idx="2181">
                  <c:v>83.17</c:v>
                </c:pt>
                <c:pt idx="2182">
                  <c:v>83.71</c:v>
                </c:pt>
                <c:pt idx="2183">
                  <c:v>85.15</c:v>
                </c:pt>
                <c:pt idx="2184">
                  <c:v>85.43</c:v>
                </c:pt>
                <c:pt idx="2185">
                  <c:v>86.59</c:v>
                </c:pt>
                <c:pt idx="2186">
                  <c:v>86.91</c:v>
                </c:pt>
                <c:pt idx="2187">
                  <c:v>86.91</c:v>
                </c:pt>
                <c:pt idx="2188">
                  <c:v>86.91</c:v>
                </c:pt>
                <c:pt idx="2189">
                  <c:v>86.43</c:v>
                </c:pt>
                <c:pt idx="2190">
                  <c:v>85.23</c:v>
                </c:pt>
                <c:pt idx="2191">
                  <c:v>86.21</c:v>
                </c:pt>
                <c:pt idx="2192">
                  <c:v>85.02</c:v>
                </c:pt>
                <c:pt idx="2193">
                  <c:v>85.66</c:v>
                </c:pt>
                <c:pt idx="2194">
                  <c:v>85.66</c:v>
                </c:pt>
                <c:pt idx="2195">
                  <c:v>85.66</c:v>
                </c:pt>
                <c:pt idx="2196">
                  <c:v>85.41</c:v>
                </c:pt>
                <c:pt idx="2197">
                  <c:v>85.36</c:v>
                </c:pt>
                <c:pt idx="2198">
                  <c:v>82.69</c:v>
                </c:pt>
                <c:pt idx="2199">
                  <c:v>82.73</c:v>
                </c:pt>
                <c:pt idx="2200">
                  <c:v>83.14</c:v>
                </c:pt>
                <c:pt idx="2201">
                  <c:v>83.14</c:v>
                </c:pt>
                <c:pt idx="2202">
                  <c:v>83.14</c:v>
                </c:pt>
                <c:pt idx="2203">
                  <c:v>81.900000000000006</c:v>
                </c:pt>
                <c:pt idx="2204">
                  <c:v>83.36</c:v>
                </c:pt>
                <c:pt idx="2205">
                  <c:v>82.81</c:v>
                </c:pt>
                <c:pt idx="2206">
                  <c:v>83.57</c:v>
                </c:pt>
                <c:pt idx="2207">
                  <c:v>83.85</c:v>
                </c:pt>
                <c:pt idx="2208">
                  <c:v>83.85</c:v>
                </c:pt>
                <c:pt idx="2209">
                  <c:v>83.85</c:v>
                </c:pt>
                <c:pt idx="2210">
                  <c:v>82.63</c:v>
                </c:pt>
                <c:pt idx="2211">
                  <c:v>81.93</c:v>
                </c:pt>
                <c:pt idx="2212">
                  <c:v>79</c:v>
                </c:pt>
                <c:pt idx="2213">
                  <c:v>78.95</c:v>
                </c:pt>
                <c:pt idx="2214">
                  <c:v>78.11</c:v>
                </c:pt>
                <c:pt idx="2215">
                  <c:v>78.11</c:v>
                </c:pt>
                <c:pt idx="2216">
                  <c:v>78.11</c:v>
                </c:pt>
                <c:pt idx="2217">
                  <c:v>78.48</c:v>
                </c:pt>
                <c:pt idx="2218">
                  <c:v>78.38</c:v>
                </c:pt>
                <c:pt idx="2219">
                  <c:v>78.989999999999995</c:v>
                </c:pt>
                <c:pt idx="2220">
                  <c:v>79.260000000000005</c:v>
                </c:pt>
                <c:pt idx="2221">
                  <c:v>78.260000000000005</c:v>
                </c:pt>
                <c:pt idx="2222">
                  <c:v>78.260000000000005</c:v>
                </c:pt>
                <c:pt idx="2223">
                  <c:v>78.260000000000005</c:v>
                </c:pt>
                <c:pt idx="2224">
                  <c:v>79.12</c:v>
                </c:pt>
                <c:pt idx="2225">
                  <c:v>78.02</c:v>
                </c:pt>
                <c:pt idx="2226">
                  <c:v>78.63</c:v>
                </c:pt>
                <c:pt idx="2227">
                  <c:v>79.23</c:v>
                </c:pt>
                <c:pt idx="2228">
                  <c:v>80.06</c:v>
                </c:pt>
                <c:pt idx="2229">
                  <c:v>80.06</c:v>
                </c:pt>
                <c:pt idx="2230">
                  <c:v>80.06</c:v>
                </c:pt>
                <c:pt idx="2231">
                  <c:v>79.8</c:v>
                </c:pt>
                <c:pt idx="2232">
                  <c:v>78.66</c:v>
                </c:pt>
                <c:pt idx="2233">
                  <c:v>77.569999999999993</c:v>
                </c:pt>
                <c:pt idx="2234">
                  <c:v>76.87</c:v>
                </c:pt>
                <c:pt idx="2235">
                  <c:v>77.72</c:v>
                </c:pt>
                <c:pt idx="2236">
                  <c:v>77.72</c:v>
                </c:pt>
                <c:pt idx="2237">
                  <c:v>77.72</c:v>
                </c:pt>
                <c:pt idx="2238">
                  <c:v>78.72</c:v>
                </c:pt>
                <c:pt idx="2239">
                  <c:v>79.83</c:v>
                </c:pt>
                <c:pt idx="2240">
                  <c:v>79.23</c:v>
                </c:pt>
                <c:pt idx="2241">
                  <c:v>77.91</c:v>
                </c:pt>
                <c:pt idx="2242">
                  <c:v>76.989999999999995</c:v>
                </c:pt>
                <c:pt idx="2243">
                  <c:v>76.989999999999995</c:v>
                </c:pt>
                <c:pt idx="2244">
                  <c:v>76.989999999999995</c:v>
                </c:pt>
                <c:pt idx="2245">
                  <c:v>74.22</c:v>
                </c:pt>
                <c:pt idx="2246">
                  <c:v>73.25</c:v>
                </c:pt>
                <c:pt idx="2247">
                  <c:v>74.069999999999993</c:v>
                </c:pt>
                <c:pt idx="2248">
                  <c:v>75.55</c:v>
                </c:pt>
                <c:pt idx="2249">
                  <c:v>75.53</c:v>
                </c:pt>
                <c:pt idx="2250">
                  <c:v>75.53</c:v>
                </c:pt>
                <c:pt idx="2251">
                  <c:v>75.53</c:v>
                </c:pt>
                <c:pt idx="2252">
                  <c:v>77.739999999999995</c:v>
                </c:pt>
                <c:pt idx="2253">
                  <c:v>77.900000000000006</c:v>
                </c:pt>
                <c:pt idx="2254">
                  <c:v>78.5</c:v>
                </c:pt>
                <c:pt idx="2255">
                  <c:v>78.62</c:v>
                </c:pt>
                <c:pt idx="2256">
                  <c:v>78.45</c:v>
                </c:pt>
                <c:pt idx="2257">
                  <c:v>78.45</c:v>
                </c:pt>
                <c:pt idx="2258">
                  <c:v>78.45</c:v>
                </c:pt>
                <c:pt idx="2259">
                  <c:v>80.33</c:v>
                </c:pt>
                <c:pt idx="2260">
                  <c:v>81.569999999999993</c:v>
                </c:pt>
                <c:pt idx="2261">
                  <c:v>80.489999999999995</c:v>
                </c:pt>
                <c:pt idx="2262">
                  <c:v>81.290000000000006</c:v>
                </c:pt>
                <c:pt idx="2263">
                  <c:v>80.73</c:v>
                </c:pt>
                <c:pt idx="2264">
                  <c:v>80.73</c:v>
                </c:pt>
                <c:pt idx="2265">
                  <c:v>80.73</c:v>
                </c:pt>
                <c:pt idx="2266">
                  <c:v>81.63</c:v>
                </c:pt>
                <c:pt idx="2267">
                  <c:v>80.83</c:v>
                </c:pt>
                <c:pt idx="2268">
                  <c:v>80.900000000000006</c:v>
                </c:pt>
                <c:pt idx="2269">
                  <c:v>81.739999999999995</c:v>
                </c:pt>
                <c:pt idx="2270">
                  <c:v>81.540000000000006</c:v>
                </c:pt>
                <c:pt idx="2271">
                  <c:v>81.540000000000006</c:v>
                </c:pt>
                <c:pt idx="2272">
                  <c:v>81.540000000000006</c:v>
                </c:pt>
                <c:pt idx="2273">
                  <c:v>83.38</c:v>
                </c:pt>
                <c:pt idx="2274">
                  <c:v>82.81</c:v>
                </c:pt>
                <c:pt idx="2275">
                  <c:v>83.88</c:v>
                </c:pt>
                <c:pt idx="2276">
                  <c:v>83.94</c:v>
                </c:pt>
                <c:pt idx="2277">
                  <c:v>83.16</c:v>
                </c:pt>
                <c:pt idx="2278">
                  <c:v>83.16</c:v>
                </c:pt>
                <c:pt idx="2279">
                  <c:v>83.16</c:v>
                </c:pt>
                <c:pt idx="2280">
                  <c:v>82.33</c:v>
                </c:pt>
                <c:pt idx="2281">
                  <c:v>81.41</c:v>
                </c:pt>
                <c:pt idx="2282">
                  <c:v>82.1</c:v>
                </c:pt>
                <c:pt idx="2283">
                  <c:v>82.62</c:v>
                </c:pt>
                <c:pt idx="2284">
                  <c:v>82.21</c:v>
                </c:pt>
                <c:pt idx="2285">
                  <c:v>82.21</c:v>
                </c:pt>
                <c:pt idx="2286">
                  <c:v>82.21</c:v>
                </c:pt>
                <c:pt idx="2287">
                  <c:v>81.91</c:v>
                </c:pt>
                <c:pt idx="2288">
                  <c:v>80.760000000000005</c:v>
                </c:pt>
                <c:pt idx="2289">
                  <c:v>82.85</c:v>
                </c:pt>
                <c:pt idx="2290">
                  <c:v>82.82</c:v>
                </c:pt>
                <c:pt idx="2291">
                  <c:v>80.13</c:v>
                </c:pt>
                <c:pt idx="2292">
                  <c:v>80.13</c:v>
                </c:pt>
                <c:pt idx="2293">
                  <c:v>80.13</c:v>
                </c:pt>
                <c:pt idx="2294">
                  <c:v>78.400000000000006</c:v>
                </c:pt>
                <c:pt idx="2295">
                  <c:v>76.959999999999994</c:v>
                </c:pt>
                <c:pt idx="2296">
                  <c:v>77.59</c:v>
                </c:pt>
                <c:pt idx="2297">
                  <c:v>78.28</c:v>
                </c:pt>
                <c:pt idx="2298">
                  <c:v>77.16</c:v>
                </c:pt>
                <c:pt idx="2299">
                  <c:v>77.16</c:v>
                </c:pt>
                <c:pt idx="2300">
                  <c:v>77.16</c:v>
                </c:pt>
                <c:pt idx="2301">
                  <c:v>75.81</c:v>
                </c:pt>
                <c:pt idx="2302">
                  <c:v>74.73</c:v>
                </c:pt>
                <c:pt idx="2303">
                  <c:v>77.91</c:v>
                </c:pt>
                <c:pt idx="2304">
                  <c:v>76.31</c:v>
                </c:pt>
                <c:pt idx="2305">
                  <c:v>73.52</c:v>
                </c:pt>
                <c:pt idx="2306">
                  <c:v>73.52</c:v>
                </c:pt>
                <c:pt idx="2307">
                  <c:v>73.52</c:v>
                </c:pt>
                <c:pt idx="2308">
                  <c:v>72.94</c:v>
                </c:pt>
                <c:pt idx="2309">
                  <c:v>73.2</c:v>
                </c:pt>
                <c:pt idx="2310">
                  <c:v>75.23</c:v>
                </c:pt>
                <c:pt idx="2311">
                  <c:v>76.19</c:v>
                </c:pt>
                <c:pt idx="2312">
                  <c:v>76.84</c:v>
                </c:pt>
                <c:pt idx="2313">
                  <c:v>76.84</c:v>
                </c:pt>
                <c:pt idx="2314">
                  <c:v>76.84</c:v>
                </c:pt>
                <c:pt idx="2315">
                  <c:v>80.06</c:v>
                </c:pt>
                <c:pt idx="2316">
                  <c:v>78.349999999999994</c:v>
                </c:pt>
                <c:pt idx="2317">
                  <c:v>76.98</c:v>
                </c:pt>
                <c:pt idx="2318">
                  <c:v>78.16</c:v>
                </c:pt>
                <c:pt idx="2319">
                  <c:v>76.650000000000006</c:v>
                </c:pt>
                <c:pt idx="2320">
                  <c:v>76.650000000000006</c:v>
                </c:pt>
                <c:pt idx="2321">
                  <c:v>76.650000000000006</c:v>
                </c:pt>
                <c:pt idx="2322">
                  <c:v>74.37</c:v>
                </c:pt>
                <c:pt idx="2323">
                  <c:v>73.17</c:v>
                </c:pt>
                <c:pt idx="2324">
                  <c:v>71.930000000000007</c:v>
                </c:pt>
                <c:pt idx="2325">
                  <c:v>73.010000000000005</c:v>
                </c:pt>
                <c:pt idx="2326">
                  <c:v>74.83</c:v>
                </c:pt>
                <c:pt idx="2327">
                  <c:v>74.83</c:v>
                </c:pt>
                <c:pt idx="2328">
                  <c:v>74.83</c:v>
                </c:pt>
                <c:pt idx="2329">
                  <c:v>77.42</c:v>
                </c:pt>
                <c:pt idx="2330">
                  <c:v>75.53</c:v>
                </c:pt>
                <c:pt idx="2331">
                  <c:v>74.52</c:v>
                </c:pt>
                <c:pt idx="2332">
                  <c:v>75.91</c:v>
                </c:pt>
                <c:pt idx="2333">
                  <c:v>73.55</c:v>
                </c:pt>
                <c:pt idx="2334">
                  <c:v>73.55</c:v>
                </c:pt>
                <c:pt idx="2335">
                  <c:v>73.55</c:v>
                </c:pt>
                <c:pt idx="2336">
                  <c:v>74.290000000000006</c:v>
                </c:pt>
                <c:pt idx="2337">
                  <c:v>70.34</c:v>
                </c:pt>
                <c:pt idx="2338">
                  <c:v>69.2</c:v>
                </c:pt>
                <c:pt idx="2339">
                  <c:v>69.150000000000006</c:v>
                </c:pt>
                <c:pt idx="2340">
                  <c:v>67.67</c:v>
                </c:pt>
                <c:pt idx="2341">
                  <c:v>67.67</c:v>
                </c:pt>
                <c:pt idx="2342">
                  <c:v>67.67</c:v>
                </c:pt>
                <c:pt idx="2343">
                  <c:v>68.709999999999994</c:v>
                </c:pt>
                <c:pt idx="2344">
                  <c:v>65.75</c:v>
                </c:pt>
                <c:pt idx="2345">
                  <c:v>67.31</c:v>
                </c:pt>
                <c:pt idx="2346">
                  <c:v>68.97</c:v>
                </c:pt>
                <c:pt idx="2347">
                  <c:v>68.650000000000006</c:v>
                </c:pt>
                <c:pt idx="2348">
                  <c:v>68.650000000000006</c:v>
                </c:pt>
                <c:pt idx="2349">
                  <c:v>68.650000000000006</c:v>
                </c:pt>
                <c:pt idx="2350">
                  <c:v>70.09</c:v>
                </c:pt>
                <c:pt idx="2351">
                  <c:v>71.19</c:v>
                </c:pt>
                <c:pt idx="2352">
                  <c:v>70.91</c:v>
                </c:pt>
                <c:pt idx="2353">
                  <c:v>71.95</c:v>
                </c:pt>
                <c:pt idx="2354">
                  <c:v>71</c:v>
                </c:pt>
                <c:pt idx="2355">
                  <c:v>71</c:v>
                </c:pt>
                <c:pt idx="2356">
                  <c:v>71</c:v>
                </c:pt>
                <c:pt idx="2357">
                  <c:v>70.37</c:v>
                </c:pt>
                <c:pt idx="2358">
                  <c:v>71.56</c:v>
                </c:pt>
                <c:pt idx="2359">
                  <c:v>69.69</c:v>
                </c:pt>
                <c:pt idx="2360">
                  <c:v>67.67</c:v>
                </c:pt>
                <c:pt idx="2361">
                  <c:v>68.180000000000007</c:v>
                </c:pt>
                <c:pt idx="2362">
                  <c:v>68.180000000000007</c:v>
                </c:pt>
                <c:pt idx="2363">
                  <c:v>68.180000000000007</c:v>
                </c:pt>
                <c:pt idx="2364">
                  <c:v>68.17</c:v>
                </c:pt>
                <c:pt idx="2365">
                  <c:v>69.83</c:v>
                </c:pt>
                <c:pt idx="2366">
                  <c:v>70.099999999999994</c:v>
                </c:pt>
                <c:pt idx="2367">
                  <c:v>73.709999999999994</c:v>
                </c:pt>
                <c:pt idx="2368">
                  <c:v>74.38</c:v>
                </c:pt>
                <c:pt idx="2369">
                  <c:v>74.38</c:v>
                </c:pt>
                <c:pt idx="2370">
                  <c:v>74.38</c:v>
                </c:pt>
                <c:pt idx="2371">
                  <c:v>77.14</c:v>
                </c:pt>
                <c:pt idx="2372">
                  <c:v>73.569999999999993</c:v>
                </c:pt>
                <c:pt idx="2373">
                  <c:v>73.239999999999995</c:v>
                </c:pt>
                <c:pt idx="2374">
                  <c:v>75.849999999999994</c:v>
                </c:pt>
                <c:pt idx="2375">
                  <c:v>75.56</c:v>
                </c:pt>
                <c:pt idx="2376">
                  <c:v>75.56</c:v>
                </c:pt>
                <c:pt idx="2377">
                  <c:v>75.56</c:v>
                </c:pt>
                <c:pt idx="2378">
                  <c:v>73.83</c:v>
                </c:pt>
                <c:pt idx="2379">
                  <c:v>70.58</c:v>
                </c:pt>
                <c:pt idx="2380">
                  <c:v>70.39</c:v>
                </c:pt>
                <c:pt idx="2381">
                  <c:v>70.67</c:v>
                </c:pt>
                <c:pt idx="2382">
                  <c:v>69.22</c:v>
                </c:pt>
                <c:pt idx="2383">
                  <c:v>69.22</c:v>
                </c:pt>
                <c:pt idx="2384">
                  <c:v>69.22</c:v>
                </c:pt>
                <c:pt idx="2385">
                  <c:v>70.56</c:v>
                </c:pt>
                <c:pt idx="2386">
                  <c:v>71.739999999999995</c:v>
                </c:pt>
                <c:pt idx="2387">
                  <c:v>70.77</c:v>
                </c:pt>
                <c:pt idx="2388">
                  <c:v>70.19</c:v>
                </c:pt>
                <c:pt idx="2389">
                  <c:v>71.78</c:v>
                </c:pt>
                <c:pt idx="2390">
                  <c:v>71.78</c:v>
                </c:pt>
                <c:pt idx="2391">
                  <c:v>71.78</c:v>
                </c:pt>
                <c:pt idx="2392">
                  <c:v>67.38</c:v>
                </c:pt>
                <c:pt idx="2393">
                  <c:v>67.209999999999994</c:v>
                </c:pt>
                <c:pt idx="2394">
                  <c:v>68.61</c:v>
                </c:pt>
                <c:pt idx="2395">
                  <c:v>69.260000000000005</c:v>
                </c:pt>
                <c:pt idx="2396">
                  <c:v>69.489999999999995</c:v>
                </c:pt>
                <c:pt idx="2397">
                  <c:v>69.489999999999995</c:v>
                </c:pt>
                <c:pt idx="2398">
                  <c:v>69.489999999999995</c:v>
                </c:pt>
                <c:pt idx="2399">
                  <c:v>71.47</c:v>
                </c:pt>
                <c:pt idx="2400">
                  <c:v>71.989999999999995</c:v>
                </c:pt>
                <c:pt idx="2401">
                  <c:v>71.69</c:v>
                </c:pt>
                <c:pt idx="2402">
                  <c:v>72.36</c:v>
                </c:pt>
                <c:pt idx="2403">
                  <c:v>70.38</c:v>
                </c:pt>
                <c:pt idx="2404">
                  <c:v>70.38</c:v>
                </c:pt>
                <c:pt idx="2405">
                  <c:v>70.38</c:v>
                </c:pt>
                <c:pt idx="2406">
                  <c:v>68.040000000000006</c:v>
                </c:pt>
                <c:pt idx="2407">
                  <c:v>68.12</c:v>
                </c:pt>
                <c:pt idx="2408">
                  <c:v>68.430000000000007</c:v>
                </c:pt>
                <c:pt idx="2409">
                  <c:v>68.7</c:v>
                </c:pt>
                <c:pt idx="2410">
                  <c:v>67.02</c:v>
                </c:pt>
                <c:pt idx="2411">
                  <c:v>67.02</c:v>
                </c:pt>
                <c:pt idx="2412">
                  <c:v>67.02</c:v>
                </c:pt>
                <c:pt idx="2413">
                  <c:v>69.16</c:v>
                </c:pt>
                <c:pt idx="2414">
                  <c:v>69.39</c:v>
                </c:pt>
                <c:pt idx="2415">
                  <c:v>68.75</c:v>
                </c:pt>
                <c:pt idx="2416">
                  <c:v>70.099999999999994</c:v>
                </c:pt>
                <c:pt idx="2417">
                  <c:v>71.239999999999995</c:v>
                </c:pt>
                <c:pt idx="2418">
                  <c:v>71.239999999999995</c:v>
                </c:pt>
                <c:pt idx="2419">
                  <c:v>71.239999999999995</c:v>
                </c:pt>
                <c:pt idx="2420">
                  <c:v>68.94</c:v>
                </c:pt>
                <c:pt idx="2421">
                  <c:v>68.77</c:v>
                </c:pt>
                <c:pt idx="2422">
                  <c:v>68.72</c:v>
                </c:pt>
                <c:pt idx="2423">
                  <c:v>69.099999999999994</c:v>
                </c:pt>
                <c:pt idx="2424">
                  <c:v>68</c:v>
                </c:pt>
                <c:pt idx="2425">
                  <c:v>68</c:v>
                </c:pt>
                <c:pt idx="2426">
                  <c:v>68</c:v>
                </c:pt>
                <c:pt idx="2427">
                  <c:v>68.099999999999994</c:v>
                </c:pt>
                <c:pt idx="2428">
                  <c:v>69.94</c:v>
                </c:pt>
                <c:pt idx="2429">
                  <c:v>68.540000000000006</c:v>
                </c:pt>
                <c:pt idx="2430">
                  <c:v>68.3</c:v>
                </c:pt>
                <c:pt idx="2431">
                  <c:v>67.2</c:v>
                </c:pt>
                <c:pt idx="2432">
                  <c:v>67.2</c:v>
                </c:pt>
                <c:pt idx="2433">
                  <c:v>67.2</c:v>
                </c:pt>
                <c:pt idx="2434">
                  <c:v>68.37</c:v>
                </c:pt>
                <c:pt idx="2435">
                  <c:v>68.59</c:v>
                </c:pt>
                <c:pt idx="2436">
                  <c:v>70.290000000000006</c:v>
                </c:pt>
                <c:pt idx="2437">
                  <c:v>70.02</c:v>
                </c:pt>
                <c:pt idx="2438">
                  <c:v>71.290000000000006</c:v>
                </c:pt>
                <c:pt idx="2439">
                  <c:v>71.290000000000006</c:v>
                </c:pt>
                <c:pt idx="2440">
                  <c:v>71.290000000000006</c:v>
                </c:pt>
                <c:pt idx="2441">
                  <c:v>70.709999999999994</c:v>
                </c:pt>
                <c:pt idx="2442">
                  <c:v>70.08</c:v>
                </c:pt>
                <c:pt idx="2443">
                  <c:v>70.58</c:v>
                </c:pt>
                <c:pt idx="2444">
                  <c:v>69.38</c:v>
                </c:pt>
                <c:pt idx="2445">
                  <c:v>69.459999999999994</c:v>
                </c:pt>
                <c:pt idx="2446">
                  <c:v>69.459999999999994</c:v>
                </c:pt>
                <c:pt idx="2447">
                  <c:v>69.459999999999994</c:v>
                </c:pt>
                <c:pt idx="2448">
                  <c:v>69.239999999999995</c:v>
                </c:pt>
                <c:pt idx="2449">
                  <c:v>70.099999999999994</c:v>
                </c:pt>
                <c:pt idx="2450">
                  <c:v>70.099999999999994</c:v>
                </c:pt>
                <c:pt idx="2451">
                  <c:v>69.62</c:v>
                </c:pt>
                <c:pt idx="2452">
                  <c:v>70.599999999999994</c:v>
                </c:pt>
                <c:pt idx="2453">
                  <c:v>70.599999999999994</c:v>
                </c:pt>
                <c:pt idx="2454">
                  <c:v>70.599999999999994</c:v>
                </c:pt>
                <c:pt idx="2455">
                  <c:v>70.989999999999995</c:v>
                </c:pt>
                <c:pt idx="2456">
                  <c:v>71.72</c:v>
                </c:pt>
                <c:pt idx="2457">
                  <c:v>71.72</c:v>
                </c:pt>
                <c:pt idx="2458">
                  <c:v>73.13</c:v>
                </c:pt>
                <c:pt idx="2459">
                  <c:v>73.959999999999994</c:v>
                </c:pt>
                <c:pt idx="2460">
                  <c:v>73.959999999999994</c:v>
                </c:pt>
                <c:pt idx="2461">
                  <c:v>73.959999999999994</c:v>
                </c:pt>
                <c:pt idx="2462">
                  <c:v>73.56</c:v>
                </c:pt>
                <c:pt idx="2463">
                  <c:v>74.25</c:v>
                </c:pt>
                <c:pt idx="2464">
                  <c:v>73.319999999999993</c:v>
                </c:pt>
                <c:pt idx="2465">
                  <c:v>73.92</c:v>
                </c:pt>
                <c:pt idx="2466">
                  <c:v>76.569999999999993</c:v>
                </c:pt>
                <c:pt idx="2467">
                  <c:v>76.569999999999993</c:v>
                </c:pt>
                <c:pt idx="2468">
                  <c:v>76.569999999999993</c:v>
                </c:pt>
                <c:pt idx="2469">
                  <c:v>78.819999999999993</c:v>
                </c:pt>
                <c:pt idx="2470">
                  <c:v>77.5</c:v>
                </c:pt>
                <c:pt idx="2471">
                  <c:v>80.040000000000006</c:v>
                </c:pt>
                <c:pt idx="2472">
                  <c:v>78.680000000000007</c:v>
                </c:pt>
                <c:pt idx="2473">
                  <c:v>77.88</c:v>
                </c:pt>
                <c:pt idx="2474">
                  <c:v>77.88</c:v>
                </c:pt>
                <c:pt idx="2475">
                  <c:v>77.88</c:v>
                </c:pt>
                <c:pt idx="2476">
                  <c:v>76.56</c:v>
                </c:pt>
                <c:pt idx="2477">
                  <c:v>75.83</c:v>
                </c:pt>
                <c:pt idx="2478">
                  <c:v>75.44</c:v>
                </c:pt>
                <c:pt idx="2479">
                  <c:v>74.62</c:v>
                </c:pt>
                <c:pt idx="2480">
                  <c:v>74.66</c:v>
                </c:pt>
                <c:pt idx="2481">
                  <c:v>74.66</c:v>
                </c:pt>
                <c:pt idx="2482">
                  <c:v>74.66</c:v>
                </c:pt>
                <c:pt idx="2483">
                  <c:v>73.17</c:v>
                </c:pt>
                <c:pt idx="2484">
                  <c:v>73.77</c:v>
                </c:pt>
                <c:pt idx="2485">
                  <c:v>72.62</c:v>
                </c:pt>
                <c:pt idx="2486">
                  <c:v>72.73</c:v>
                </c:pt>
                <c:pt idx="2487">
                  <c:v>72.53</c:v>
                </c:pt>
                <c:pt idx="2488">
                  <c:v>72.53</c:v>
                </c:pt>
                <c:pt idx="2489">
                  <c:v>72.53</c:v>
                </c:pt>
                <c:pt idx="2490">
                  <c:v>73.16</c:v>
                </c:pt>
                <c:pt idx="2491">
                  <c:v>72.7</c:v>
                </c:pt>
                <c:pt idx="2492">
                  <c:v>71.03</c:v>
                </c:pt>
                <c:pt idx="2493">
                  <c:v>70.61</c:v>
                </c:pt>
                <c:pt idx="2494">
                  <c:v>71</c:v>
                </c:pt>
                <c:pt idx="2495">
                  <c:v>71</c:v>
                </c:pt>
                <c:pt idx="2496">
                  <c:v>71</c:v>
                </c:pt>
                <c:pt idx="2497">
                  <c:v>72.319999999999993</c:v>
                </c:pt>
                <c:pt idx="2498">
                  <c:v>73.319999999999993</c:v>
                </c:pt>
                <c:pt idx="2499">
                  <c:v>71.37</c:v>
                </c:pt>
                <c:pt idx="2500">
                  <c:v>71.290000000000006</c:v>
                </c:pt>
                <c:pt idx="2501">
                  <c:v>70.739999999999995</c:v>
                </c:pt>
                <c:pt idx="2502">
                  <c:v>70.739999999999995</c:v>
                </c:pt>
                <c:pt idx="2503">
                  <c:v>70.739999999999995</c:v>
                </c:pt>
                <c:pt idx="2504">
                  <c:v>71.33</c:v>
                </c:pt>
                <c:pt idx="2505">
                  <c:v>71.849999999999994</c:v>
                </c:pt>
                <c:pt idx="2506">
                  <c:v>72.25</c:v>
                </c:pt>
                <c:pt idx="2507">
                  <c:v>72.48</c:v>
                </c:pt>
                <c:pt idx="2508">
                  <c:v>70.400000000000006</c:v>
                </c:pt>
                <c:pt idx="2509">
                  <c:v>70.400000000000006</c:v>
                </c:pt>
                <c:pt idx="2510">
                  <c:v>70.400000000000006</c:v>
                </c:pt>
                <c:pt idx="2511">
                  <c:v>70.7</c:v>
                </c:pt>
                <c:pt idx="2512">
                  <c:v>68.930000000000007</c:v>
                </c:pt>
                <c:pt idx="2513">
                  <c:v>68.62</c:v>
                </c:pt>
                <c:pt idx="2514">
                  <c:v>70.349999999999994</c:v>
                </c:pt>
                <c:pt idx="2515">
                  <c:v>69.760000000000005</c:v>
                </c:pt>
                <c:pt idx="2516">
                  <c:v>69.760000000000005</c:v>
                </c:pt>
                <c:pt idx="2517">
                  <c:v>69.760000000000005</c:v>
                </c:pt>
                <c:pt idx="2518">
                  <c:v>68.37</c:v>
                </c:pt>
                <c:pt idx="2519">
                  <c:v>68.260000000000005</c:v>
                </c:pt>
                <c:pt idx="2520">
                  <c:v>66.31</c:v>
                </c:pt>
                <c:pt idx="2521">
                  <c:v>66.36</c:v>
                </c:pt>
                <c:pt idx="2522">
                  <c:v>67.040000000000006</c:v>
                </c:pt>
                <c:pt idx="2523">
                  <c:v>67.040000000000006</c:v>
                </c:pt>
                <c:pt idx="2524">
                  <c:v>67.040000000000006</c:v>
                </c:pt>
                <c:pt idx="2525">
                  <c:v>66.03</c:v>
                </c:pt>
                <c:pt idx="2526">
                  <c:v>66.25</c:v>
                </c:pt>
                <c:pt idx="2527">
                  <c:v>67.680000000000007</c:v>
                </c:pt>
                <c:pt idx="2528">
                  <c:v>66.55</c:v>
                </c:pt>
                <c:pt idx="2529">
                  <c:v>67.180000000000007</c:v>
                </c:pt>
                <c:pt idx="2530">
                  <c:v>67.180000000000007</c:v>
                </c:pt>
                <c:pt idx="2531">
                  <c:v>67.180000000000007</c:v>
                </c:pt>
                <c:pt idx="2532">
                  <c:v>67.58</c:v>
                </c:pt>
                <c:pt idx="2533">
                  <c:v>66.900000000000006</c:v>
                </c:pt>
                <c:pt idx="2534">
                  <c:v>67.16</c:v>
                </c:pt>
                <c:pt idx="2535">
                  <c:v>68.069999999999993</c:v>
                </c:pt>
                <c:pt idx="2536">
                  <c:v>68.28</c:v>
                </c:pt>
                <c:pt idx="2537">
                  <c:v>68.28</c:v>
                </c:pt>
                <c:pt idx="2538">
                  <c:v>68.28</c:v>
                </c:pt>
                <c:pt idx="2539">
                  <c:v>69.11</c:v>
                </c:pt>
                <c:pt idx="2540">
                  <c:v>69</c:v>
                </c:pt>
                <c:pt idx="2541">
                  <c:v>69.650000000000006</c:v>
                </c:pt>
                <c:pt idx="2542">
                  <c:v>69.92</c:v>
                </c:pt>
                <c:pt idx="2543">
                  <c:v>69.36</c:v>
                </c:pt>
                <c:pt idx="2544">
                  <c:v>69.36</c:v>
                </c:pt>
                <c:pt idx="2545">
                  <c:v>69.36</c:v>
                </c:pt>
                <c:pt idx="2546">
                  <c:v>71.48</c:v>
                </c:pt>
                <c:pt idx="2547">
                  <c:v>71.2</c:v>
                </c:pt>
                <c:pt idx="2548">
                  <c:v>71.709999999999994</c:v>
                </c:pt>
                <c:pt idx="2549">
                  <c:v>66.95</c:v>
                </c:pt>
                <c:pt idx="2550">
                  <c:v>61.99</c:v>
                </c:pt>
                <c:pt idx="2551">
                  <c:v>61.99</c:v>
                </c:pt>
                <c:pt idx="2552">
                  <c:v>61.99</c:v>
                </c:pt>
                <c:pt idx="2553">
                  <c:v>60.7</c:v>
                </c:pt>
                <c:pt idx="2554">
                  <c:v>59.58</c:v>
                </c:pt>
                <c:pt idx="2555">
                  <c:v>62.35</c:v>
                </c:pt>
                <c:pt idx="2556">
                  <c:v>60.07</c:v>
                </c:pt>
                <c:pt idx="2557">
                  <c:v>61.5</c:v>
                </c:pt>
                <c:pt idx="2558">
                  <c:v>61.5</c:v>
                </c:pt>
                <c:pt idx="2559">
                  <c:v>61.5</c:v>
                </c:pt>
                <c:pt idx="2560">
                  <c:v>61.53</c:v>
                </c:pt>
                <c:pt idx="2561">
                  <c:v>61.33</c:v>
                </c:pt>
                <c:pt idx="2562">
                  <c:v>62.47</c:v>
                </c:pt>
              </c:numCache>
            </c:numRef>
          </c:val>
          <c:smooth val="0"/>
          <c:extLst xmlns:c16r2="http://schemas.microsoft.com/office/drawing/2015/06/chart">
            <c:ext xmlns:c16="http://schemas.microsoft.com/office/drawing/2014/chart" uri="{C3380CC4-5D6E-409C-BE32-E72D297353CC}">
              <c16:uniqueId val="{00000001-B85D-42E1-89D0-357D0281992C}"/>
            </c:ext>
          </c:extLst>
        </c:ser>
        <c:ser>
          <c:idx val="2"/>
          <c:order val="2"/>
          <c:tx>
            <c:strRef>
              <c:f>'3大现货价格'!$N$3996</c:f>
              <c:strCache>
                <c:ptCount val="1"/>
                <c:pt idx="0">
                  <c:v>OPEC一揽子</c:v>
                </c:pt>
              </c:strCache>
            </c:strRef>
          </c:tx>
          <c:spPr>
            <a:ln w="19050" cap="rnd" cmpd="sng" algn="ctr">
              <a:solidFill>
                <a:srgbClr val="74A3BA"/>
              </a:solidFill>
              <a:prstDash val="solid"/>
              <a:round/>
            </a:ln>
          </c:spPr>
          <c:marker>
            <c:symbol val="none"/>
          </c:marker>
          <c:cat>
            <c:strRef>
              <c:f>'3大现货价格'!$H$3000:$H$5562</c:f>
              <c:strCache>
                <c:ptCount val="2182"/>
                <c:pt idx="0">
                  <c:v>4月
2018</c:v>
                </c:pt>
                <c:pt idx="1">
                  <c:v>4月
2018</c:v>
                </c:pt>
                <c:pt idx="2">
                  <c:v>4月
2018</c:v>
                </c:pt>
                <c:pt idx="3">
                  <c:v>4月
2018</c:v>
                </c:pt>
                <c:pt idx="4">
                  <c:v>4月
2018</c:v>
                </c:pt>
                <c:pt idx="5">
                  <c:v>4月
2018</c:v>
                </c:pt>
                <c:pt idx="6">
                  <c:v>4月
2018</c:v>
                </c:pt>
                <c:pt idx="7">
                  <c:v>4月
2018</c:v>
                </c:pt>
                <c:pt idx="8">
                  <c:v>4月
2018</c:v>
                </c:pt>
                <c:pt idx="9">
                  <c:v>4月
2018</c:v>
                </c:pt>
                <c:pt idx="10">
                  <c:v>4月
2018</c:v>
                </c:pt>
                <c:pt idx="11">
                  <c:v>4月
2018</c:v>
                </c:pt>
                <c:pt idx="12">
                  <c:v>4月
2018</c:v>
                </c:pt>
                <c:pt idx="13">
                  <c:v>4月
2018</c:v>
                </c:pt>
                <c:pt idx="14">
                  <c:v>4月
2018</c:v>
                </c:pt>
                <c:pt idx="15">
                  <c:v>4月
2018</c:v>
                </c:pt>
                <c:pt idx="16">
                  <c:v>4月
2018</c:v>
                </c:pt>
                <c:pt idx="17">
                  <c:v>4月
2018</c:v>
                </c:pt>
                <c:pt idx="18">
                  <c:v>4月
2018</c:v>
                </c:pt>
                <c:pt idx="19">
                  <c:v>4月
2018</c:v>
                </c:pt>
                <c:pt idx="20">
                  <c:v>5月</c:v>
                </c:pt>
                <c:pt idx="21">
                  <c:v>5月</c:v>
                </c:pt>
                <c:pt idx="22">
                  <c:v>5月</c:v>
                </c:pt>
                <c:pt idx="23">
                  <c:v>5月</c:v>
                </c:pt>
                <c:pt idx="24">
                  <c:v>5月</c:v>
                </c:pt>
                <c:pt idx="25">
                  <c:v>5月</c:v>
                </c:pt>
                <c:pt idx="26">
                  <c:v>5月</c:v>
                </c:pt>
                <c:pt idx="27">
                  <c:v>5月</c:v>
                </c:pt>
                <c:pt idx="28">
                  <c:v>5月</c:v>
                </c:pt>
                <c:pt idx="29">
                  <c:v>5月</c:v>
                </c:pt>
                <c:pt idx="30">
                  <c:v>5月</c:v>
                </c:pt>
                <c:pt idx="31">
                  <c:v>5月</c:v>
                </c:pt>
                <c:pt idx="32">
                  <c:v>5月</c:v>
                </c:pt>
                <c:pt idx="33">
                  <c:v>5月</c:v>
                </c:pt>
                <c:pt idx="34">
                  <c:v>5月</c:v>
                </c:pt>
                <c:pt idx="35">
                  <c:v>5月</c:v>
                </c:pt>
                <c:pt idx="36">
                  <c:v>5月</c:v>
                </c:pt>
                <c:pt idx="37">
                  <c:v>5月</c:v>
                </c:pt>
                <c:pt idx="38">
                  <c:v>5月</c:v>
                </c:pt>
                <c:pt idx="39">
                  <c:v>5月</c:v>
                </c:pt>
                <c:pt idx="40">
                  <c:v>5月</c:v>
                </c:pt>
                <c:pt idx="41">
                  <c:v>5月</c:v>
                </c:pt>
                <c:pt idx="42">
                  <c:v>5月</c:v>
                </c:pt>
                <c:pt idx="43">
                  <c:v>5月</c:v>
                </c:pt>
                <c:pt idx="44">
                  <c:v>5月</c:v>
                </c:pt>
                <c:pt idx="45">
                  <c:v>5月</c:v>
                </c:pt>
                <c:pt idx="46">
                  <c:v>5月</c:v>
                </c:pt>
                <c:pt idx="47">
                  <c:v>5月</c:v>
                </c:pt>
                <c:pt idx="48">
                  <c:v>5月</c:v>
                </c:pt>
                <c:pt idx="49">
                  <c:v>5月</c:v>
                </c:pt>
                <c:pt idx="50">
                  <c:v>5月</c:v>
                </c:pt>
                <c:pt idx="51">
                  <c:v>6月</c:v>
                </c:pt>
                <c:pt idx="52">
                  <c:v>6月</c:v>
                </c:pt>
                <c:pt idx="53">
                  <c:v>6月</c:v>
                </c:pt>
                <c:pt idx="54">
                  <c:v>6月</c:v>
                </c:pt>
                <c:pt idx="55">
                  <c:v>6月</c:v>
                </c:pt>
                <c:pt idx="56">
                  <c:v>6月</c:v>
                </c:pt>
                <c:pt idx="57">
                  <c:v>6月</c:v>
                </c:pt>
                <c:pt idx="58">
                  <c:v>6月</c:v>
                </c:pt>
                <c:pt idx="59">
                  <c:v>6月</c:v>
                </c:pt>
                <c:pt idx="60">
                  <c:v>6月</c:v>
                </c:pt>
                <c:pt idx="61">
                  <c:v>6月</c:v>
                </c:pt>
                <c:pt idx="62">
                  <c:v>6月</c:v>
                </c:pt>
                <c:pt idx="63">
                  <c:v>6月</c:v>
                </c:pt>
                <c:pt idx="64">
                  <c:v>6月</c:v>
                </c:pt>
                <c:pt idx="65">
                  <c:v>6月</c:v>
                </c:pt>
                <c:pt idx="66">
                  <c:v>6月</c:v>
                </c:pt>
                <c:pt idx="67">
                  <c:v>6月</c:v>
                </c:pt>
                <c:pt idx="68">
                  <c:v>6月</c:v>
                </c:pt>
                <c:pt idx="69">
                  <c:v>6月</c:v>
                </c:pt>
                <c:pt idx="70">
                  <c:v>6月</c:v>
                </c:pt>
                <c:pt idx="71">
                  <c:v>6月</c:v>
                </c:pt>
                <c:pt idx="72">
                  <c:v>6月</c:v>
                </c:pt>
                <c:pt idx="73">
                  <c:v>6月</c:v>
                </c:pt>
                <c:pt idx="74">
                  <c:v>6月</c:v>
                </c:pt>
                <c:pt idx="75">
                  <c:v>6月</c:v>
                </c:pt>
                <c:pt idx="76">
                  <c:v>6月</c:v>
                </c:pt>
                <c:pt idx="77">
                  <c:v>6月</c:v>
                </c:pt>
                <c:pt idx="78">
                  <c:v>6月</c:v>
                </c:pt>
                <c:pt idx="79">
                  <c:v>6月</c:v>
                </c:pt>
                <c:pt idx="80">
                  <c:v>6月</c:v>
                </c:pt>
                <c:pt idx="81">
                  <c:v>7月</c:v>
                </c:pt>
                <c:pt idx="82">
                  <c:v>7月</c:v>
                </c:pt>
                <c:pt idx="83">
                  <c:v>7月</c:v>
                </c:pt>
                <c:pt idx="84">
                  <c:v>7月</c:v>
                </c:pt>
                <c:pt idx="85">
                  <c:v>7月</c:v>
                </c:pt>
                <c:pt idx="86">
                  <c:v>7月</c:v>
                </c:pt>
                <c:pt idx="87">
                  <c:v>7月</c:v>
                </c:pt>
                <c:pt idx="88">
                  <c:v>7月</c:v>
                </c:pt>
                <c:pt idx="89">
                  <c:v>7月</c:v>
                </c:pt>
                <c:pt idx="90">
                  <c:v>7月</c:v>
                </c:pt>
                <c:pt idx="91">
                  <c:v>7月</c:v>
                </c:pt>
                <c:pt idx="92">
                  <c:v>7月</c:v>
                </c:pt>
                <c:pt idx="93">
                  <c:v>7月</c:v>
                </c:pt>
                <c:pt idx="94">
                  <c:v>7月</c:v>
                </c:pt>
                <c:pt idx="95">
                  <c:v>7月</c:v>
                </c:pt>
                <c:pt idx="96">
                  <c:v>7月</c:v>
                </c:pt>
                <c:pt idx="97">
                  <c:v>7月</c:v>
                </c:pt>
                <c:pt idx="98">
                  <c:v>7月</c:v>
                </c:pt>
                <c:pt idx="99">
                  <c:v>7月</c:v>
                </c:pt>
                <c:pt idx="100">
                  <c:v>7月</c:v>
                </c:pt>
                <c:pt idx="101">
                  <c:v>7月</c:v>
                </c:pt>
                <c:pt idx="102">
                  <c:v>7月</c:v>
                </c:pt>
                <c:pt idx="103">
                  <c:v>7月</c:v>
                </c:pt>
                <c:pt idx="104">
                  <c:v>7月</c:v>
                </c:pt>
                <c:pt idx="105">
                  <c:v>7月</c:v>
                </c:pt>
                <c:pt idx="106">
                  <c:v>7月</c:v>
                </c:pt>
                <c:pt idx="107">
                  <c:v>7月</c:v>
                </c:pt>
                <c:pt idx="108">
                  <c:v>7月</c:v>
                </c:pt>
                <c:pt idx="109">
                  <c:v>7月</c:v>
                </c:pt>
                <c:pt idx="110">
                  <c:v>7月</c:v>
                </c:pt>
                <c:pt idx="111">
                  <c:v>7月</c:v>
                </c:pt>
                <c:pt idx="112">
                  <c:v>8月</c:v>
                </c:pt>
                <c:pt idx="113">
                  <c:v>8月</c:v>
                </c:pt>
                <c:pt idx="114">
                  <c:v>8月</c:v>
                </c:pt>
                <c:pt idx="115">
                  <c:v>8月</c:v>
                </c:pt>
                <c:pt idx="116">
                  <c:v>8月</c:v>
                </c:pt>
                <c:pt idx="117">
                  <c:v>8月</c:v>
                </c:pt>
                <c:pt idx="118">
                  <c:v>8月</c:v>
                </c:pt>
                <c:pt idx="119">
                  <c:v>8月</c:v>
                </c:pt>
                <c:pt idx="120">
                  <c:v>8月</c:v>
                </c:pt>
                <c:pt idx="121">
                  <c:v>8月</c:v>
                </c:pt>
                <c:pt idx="122">
                  <c:v>8月</c:v>
                </c:pt>
                <c:pt idx="123">
                  <c:v>8月</c:v>
                </c:pt>
                <c:pt idx="124">
                  <c:v>8月</c:v>
                </c:pt>
                <c:pt idx="125">
                  <c:v>8月</c:v>
                </c:pt>
                <c:pt idx="126">
                  <c:v>8月</c:v>
                </c:pt>
                <c:pt idx="127">
                  <c:v>8月</c:v>
                </c:pt>
                <c:pt idx="128">
                  <c:v>8月</c:v>
                </c:pt>
                <c:pt idx="129">
                  <c:v>8月</c:v>
                </c:pt>
                <c:pt idx="130">
                  <c:v>8月</c:v>
                </c:pt>
                <c:pt idx="131">
                  <c:v>8月</c:v>
                </c:pt>
                <c:pt idx="132">
                  <c:v>8月</c:v>
                </c:pt>
                <c:pt idx="133">
                  <c:v>8月</c:v>
                </c:pt>
                <c:pt idx="134">
                  <c:v>8月</c:v>
                </c:pt>
                <c:pt idx="135">
                  <c:v>8月</c:v>
                </c:pt>
                <c:pt idx="136">
                  <c:v>8月</c:v>
                </c:pt>
                <c:pt idx="137">
                  <c:v>8月</c:v>
                </c:pt>
                <c:pt idx="138">
                  <c:v>8月</c:v>
                </c:pt>
                <c:pt idx="139">
                  <c:v>8月</c:v>
                </c:pt>
                <c:pt idx="140">
                  <c:v>8月</c:v>
                </c:pt>
                <c:pt idx="141">
                  <c:v>8月</c:v>
                </c:pt>
                <c:pt idx="142">
                  <c:v>8月</c:v>
                </c:pt>
                <c:pt idx="143">
                  <c:v>9月</c:v>
                </c:pt>
                <c:pt idx="144">
                  <c:v>9月</c:v>
                </c:pt>
                <c:pt idx="145">
                  <c:v>9月</c:v>
                </c:pt>
                <c:pt idx="146">
                  <c:v>9月</c:v>
                </c:pt>
                <c:pt idx="147">
                  <c:v>9月</c:v>
                </c:pt>
                <c:pt idx="148">
                  <c:v>9月</c:v>
                </c:pt>
                <c:pt idx="149">
                  <c:v>9月</c:v>
                </c:pt>
                <c:pt idx="150">
                  <c:v>9月</c:v>
                </c:pt>
                <c:pt idx="151">
                  <c:v>9月</c:v>
                </c:pt>
                <c:pt idx="152">
                  <c:v>9月</c:v>
                </c:pt>
                <c:pt idx="153">
                  <c:v>9月</c:v>
                </c:pt>
                <c:pt idx="154">
                  <c:v>9月</c:v>
                </c:pt>
                <c:pt idx="155">
                  <c:v>9月</c:v>
                </c:pt>
                <c:pt idx="156">
                  <c:v>9月</c:v>
                </c:pt>
                <c:pt idx="157">
                  <c:v>9月</c:v>
                </c:pt>
                <c:pt idx="158">
                  <c:v>9月</c:v>
                </c:pt>
                <c:pt idx="159">
                  <c:v>9月</c:v>
                </c:pt>
                <c:pt idx="160">
                  <c:v>9月</c:v>
                </c:pt>
                <c:pt idx="161">
                  <c:v>9月</c:v>
                </c:pt>
                <c:pt idx="162">
                  <c:v>9月</c:v>
                </c:pt>
                <c:pt idx="163">
                  <c:v>9月</c:v>
                </c:pt>
                <c:pt idx="164">
                  <c:v>9月</c:v>
                </c:pt>
                <c:pt idx="165">
                  <c:v>9月</c:v>
                </c:pt>
                <c:pt idx="166">
                  <c:v>9月</c:v>
                </c:pt>
                <c:pt idx="167">
                  <c:v>9月</c:v>
                </c:pt>
                <c:pt idx="168">
                  <c:v>9月</c:v>
                </c:pt>
                <c:pt idx="169">
                  <c:v>9月</c:v>
                </c:pt>
                <c:pt idx="170">
                  <c:v>9月</c:v>
                </c:pt>
                <c:pt idx="171">
                  <c:v>9月</c:v>
                </c:pt>
                <c:pt idx="172">
                  <c:v>9月</c:v>
                </c:pt>
                <c:pt idx="173">
                  <c:v>10月</c:v>
                </c:pt>
                <c:pt idx="174">
                  <c:v>10月</c:v>
                </c:pt>
                <c:pt idx="175">
                  <c:v>10月</c:v>
                </c:pt>
                <c:pt idx="176">
                  <c:v>10月</c:v>
                </c:pt>
                <c:pt idx="177">
                  <c:v>10月</c:v>
                </c:pt>
                <c:pt idx="178">
                  <c:v>10月</c:v>
                </c:pt>
                <c:pt idx="179">
                  <c:v>10月</c:v>
                </c:pt>
                <c:pt idx="180">
                  <c:v>10月</c:v>
                </c:pt>
                <c:pt idx="181">
                  <c:v>10月</c:v>
                </c:pt>
                <c:pt idx="182">
                  <c:v>10月</c:v>
                </c:pt>
                <c:pt idx="183">
                  <c:v>10月</c:v>
                </c:pt>
                <c:pt idx="184">
                  <c:v>10月</c:v>
                </c:pt>
                <c:pt idx="185">
                  <c:v>10月</c:v>
                </c:pt>
                <c:pt idx="186">
                  <c:v>10月</c:v>
                </c:pt>
                <c:pt idx="187">
                  <c:v>10月</c:v>
                </c:pt>
                <c:pt idx="188">
                  <c:v>10月</c:v>
                </c:pt>
                <c:pt idx="189">
                  <c:v>10月</c:v>
                </c:pt>
                <c:pt idx="190">
                  <c:v>10月</c:v>
                </c:pt>
                <c:pt idx="191">
                  <c:v>10月</c:v>
                </c:pt>
                <c:pt idx="192">
                  <c:v>10月</c:v>
                </c:pt>
                <c:pt idx="193">
                  <c:v>10月</c:v>
                </c:pt>
                <c:pt idx="194">
                  <c:v>10月</c:v>
                </c:pt>
                <c:pt idx="195">
                  <c:v>10月</c:v>
                </c:pt>
                <c:pt idx="196">
                  <c:v>10月</c:v>
                </c:pt>
                <c:pt idx="197">
                  <c:v>10月</c:v>
                </c:pt>
                <c:pt idx="198">
                  <c:v>10月</c:v>
                </c:pt>
                <c:pt idx="199">
                  <c:v>10月</c:v>
                </c:pt>
                <c:pt idx="200">
                  <c:v>10月</c:v>
                </c:pt>
                <c:pt idx="201">
                  <c:v>10月</c:v>
                </c:pt>
                <c:pt idx="202">
                  <c:v>10月</c:v>
                </c:pt>
                <c:pt idx="203">
                  <c:v>10月</c:v>
                </c:pt>
                <c:pt idx="204">
                  <c:v>11月</c:v>
                </c:pt>
                <c:pt idx="205">
                  <c:v>11月</c:v>
                </c:pt>
                <c:pt idx="206">
                  <c:v>11月</c:v>
                </c:pt>
                <c:pt idx="207">
                  <c:v>11月</c:v>
                </c:pt>
                <c:pt idx="208">
                  <c:v>11月</c:v>
                </c:pt>
                <c:pt idx="209">
                  <c:v>11月</c:v>
                </c:pt>
                <c:pt idx="210">
                  <c:v>11月</c:v>
                </c:pt>
                <c:pt idx="211">
                  <c:v>11月</c:v>
                </c:pt>
                <c:pt idx="212">
                  <c:v>11月</c:v>
                </c:pt>
                <c:pt idx="213">
                  <c:v>11月</c:v>
                </c:pt>
                <c:pt idx="214">
                  <c:v>11月</c:v>
                </c:pt>
                <c:pt idx="215">
                  <c:v>11月</c:v>
                </c:pt>
                <c:pt idx="216">
                  <c:v>11月</c:v>
                </c:pt>
                <c:pt idx="217">
                  <c:v>11月</c:v>
                </c:pt>
                <c:pt idx="218">
                  <c:v>11月</c:v>
                </c:pt>
                <c:pt idx="219">
                  <c:v>11月</c:v>
                </c:pt>
                <c:pt idx="220">
                  <c:v>11月</c:v>
                </c:pt>
                <c:pt idx="221">
                  <c:v>11月</c:v>
                </c:pt>
                <c:pt idx="222">
                  <c:v>11月</c:v>
                </c:pt>
                <c:pt idx="223">
                  <c:v>11月</c:v>
                </c:pt>
                <c:pt idx="224">
                  <c:v>11月</c:v>
                </c:pt>
                <c:pt idx="225">
                  <c:v>11月</c:v>
                </c:pt>
                <c:pt idx="226">
                  <c:v>11月</c:v>
                </c:pt>
                <c:pt idx="227">
                  <c:v>11月</c:v>
                </c:pt>
                <c:pt idx="228">
                  <c:v>11月</c:v>
                </c:pt>
                <c:pt idx="229">
                  <c:v>11月</c:v>
                </c:pt>
                <c:pt idx="230">
                  <c:v>11月</c:v>
                </c:pt>
                <c:pt idx="231">
                  <c:v>11月</c:v>
                </c:pt>
                <c:pt idx="232">
                  <c:v>11月</c:v>
                </c:pt>
                <c:pt idx="233">
                  <c:v>11月</c:v>
                </c:pt>
                <c:pt idx="234">
                  <c:v>12月</c:v>
                </c:pt>
                <c:pt idx="235">
                  <c:v>12月</c:v>
                </c:pt>
                <c:pt idx="236">
                  <c:v>12月</c:v>
                </c:pt>
                <c:pt idx="237">
                  <c:v>12月</c:v>
                </c:pt>
                <c:pt idx="238">
                  <c:v>12月</c:v>
                </c:pt>
                <c:pt idx="239">
                  <c:v>12月</c:v>
                </c:pt>
                <c:pt idx="240">
                  <c:v>12月</c:v>
                </c:pt>
                <c:pt idx="241">
                  <c:v>12月</c:v>
                </c:pt>
                <c:pt idx="242">
                  <c:v>12月</c:v>
                </c:pt>
                <c:pt idx="243">
                  <c:v>12月</c:v>
                </c:pt>
                <c:pt idx="244">
                  <c:v>12月</c:v>
                </c:pt>
                <c:pt idx="245">
                  <c:v>12月</c:v>
                </c:pt>
                <c:pt idx="246">
                  <c:v>12月</c:v>
                </c:pt>
                <c:pt idx="247">
                  <c:v>12月</c:v>
                </c:pt>
                <c:pt idx="248">
                  <c:v>12月</c:v>
                </c:pt>
                <c:pt idx="249">
                  <c:v>12月</c:v>
                </c:pt>
                <c:pt idx="250">
                  <c:v>12月</c:v>
                </c:pt>
                <c:pt idx="251">
                  <c:v>12月</c:v>
                </c:pt>
                <c:pt idx="252">
                  <c:v>12月</c:v>
                </c:pt>
                <c:pt idx="253">
                  <c:v>12月</c:v>
                </c:pt>
                <c:pt idx="254">
                  <c:v>12月</c:v>
                </c:pt>
                <c:pt idx="255">
                  <c:v>12月</c:v>
                </c:pt>
                <c:pt idx="256">
                  <c:v>12月</c:v>
                </c:pt>
                <c:pt idx="257">
                  <c:v>12月</c:v>
                </c:pt>
                <c:pt idx="258">
                  <c:v>12月</c:v>
                </c:pt>
                <c:pt idx="259">
                  <c:v>12月</c:v>
                </c:pt>
                <c:pt idx="260">
                  <c:v>12月</c:v>
                </c:pt>
                <c:pt idx="261">
                  <c:v>12月</c:v>
                </c:pt>
                <c:pt idx="262">
                  <c:v>12月</c:v>
                </c:pt>
                <c:pt idx="263">
                  <c:v>12月</c:v>
                </c:pt>
                <c:pt idx="264">
                  <c:v>12月</c:v>
                </c:pt>
                <c:pt idx="265">
                  <c:v>1月
2019</c:v>
                </c:pt>
                <c:pt idx="266">
                  <c:v>1月
2019</c:v>
                </c:pt>
                <c:pt idx="267">
                  <c:v>1月
2019</c:v>
                </c:pt>
                <c:pt idx="268">
                  <c:v>1月
2019</c:v>
                </c:pt>
                <c:pt idx="269">
                  <c:v>1月
2019</c:v>
                </c:pt>
                <c:pt idx="270">
                  <c:v>1月
2019</c:v>
                </c:pt>
                <c:pt idx="271">
                  <c:v>1月
2019</c:v>
                </c:pt>
                <c:pt idx="272">
                  <c:v>1月
2019</c:v>
                </c:pt>
                <c:pt idx="273">
                  <c:v>1月
2019</c:v>
                </c:pt>
                <c:pt idx="274">
                  <c:v>1月
2019</c:v>
                </c:pt>
                <c:pt idx="275">
                  <c:v>1月
2019</c:v>
                </c:pt>
                <c:pt idx="276">
                  <c:v>1月
2019</c:v>
                </c:pt>
                <c:pt idx="277">
                  <c:v>1月
2019</c:v>
                </c:pt>
                <c:pt idx="278">
                  <c:v>1月
2019</c:v>
                </c:pt>
                <c:pt idx="279">
                  <c:v>1月
2019</c:v>
                </c:pt>
                <c:pt idx="280">
                  <c:v>1月
2019</c:v>
                </c:pt>
                <c:pt idx="281">
                  <c:v>1月
2019</c:v>
                </c:pt>
                <c:pt idx="282">
                  <c:v>1月
2019</c:v>
                </c:pt>
                <c:pt idx="283">
                  <c:v>1月
2019</c:v>
                </c:pt>
                <c:pt idx="284">
                  <c:v>1月
2019</c:v>
                </c:pt>
                <c:pt idx="285">
                  <c:v>1月
2019</c:v>
                </c:pt>
                <c:pt idx="286">
                  <c:v>1月
2019</c:v>
                </c:pt>
                <c:pt idx="287">
                  <c:v>1月
2019</c:v>
                </c:pt>
                <c:pt idx="288">
                  <c:v>1月
2019</c:v>
                </c:pt>
                <c:pt idx="289">
                  <c:v>1月
2019</c:v>
                </c:pt>
                <c:pt idx="290">
                  <c:v>1月
2019</c:v>
                </c:pt>
                <c:pt idx="291">
                  <c:v>1月
2019</c:v>
                </c:pt>
                <c:pt idx="292">
                  <c:v>1月
2019</c:v>
                </c:pt>
                <c:pt idx="293">
                  <c:v>1月
2019</c:v>
                </c:pt>
                <c:pt idx="294">
                  <c:v>1月
2019</c:v>
                </c:pt>
                <c:pt idx="295">
                  <c:v>1月
2019</c:v>
                </c:pt>
                <c:pt idx="296">
                  <c:v>2月</c:v>
                </c:pt>
                <c:pt idx="297">
                  <c:v>2月</c:v>
                </c:pt>
                <c:pt idx="298">
                  <c:v>2月</c:v>
                </c:pt>
                <c:pt idx="299">
                  <c:v>2月</c:v>
                </c:pt>
                <c:pt idx="300">
                  <c:v>2月</c:v>
                </c:pt>
                <c:pt idx="301">
                  <c:v>2月</c:v>
                </c:pt>
                <c:pt idx="302">
                  <c:v>2月</c:v>
                </c:pt>
                <c:pt idx="303">
                  <c:v>2月</c:v>
                </c:pt>
                <c:pt idx="304">
                  <c:v>2月</c:v>
                </c:pt>
                <c:pt idx="305">
                  <c:v>2月</c:v>
                </c:pt>
                <c:pt idx="306">
                  <c:v>2月</c:v>
                </c:pt>
                <c:pt idx="307">
                  <c:v>2月</c:v>
                </c:pt>
                <c:pt idx="308">
                  <c:v>2月</c:v>
                </c:pt>
                <c:pt idx="309">
                  <c:v>2月</c:v>
                </c:pt>
                <c:pt idx="310">
                  <c:v>2月</c:v>
                </c:pt>
                <c:pt idx="311">
                  <c:v>2月</c:v>
                </c:pt>
                <c:pt idx="312">
                  <c:v>2月</c:v>
                </c:pt>
                <c:pt idx="313">
                  <c:v>2月</c:v>
                </c:pt>
                <c:pt idx="314">
                  <c:v>2月</c:v>
                </c:pt>
                <c:pt idx="315">
                  <c:v>2月</c:v>
                </c:pt>
                <c:pt idx="316">
                  <c:v>2月</c:v>
                </c:pt>
                <c:pt idx="317">
                  <c:v>2月</c:v>
                </c:pt>
                <c:pt idx="318">
                  <c:v>2月</c:v>
                </c:pt>
                <c:pt idx="319">
                  <c:v>2月</c:v>
                </c:pt>
                <c:pt idx="320">
                  <c:v>2月</c:v>
                </c:pt>
                <c:pt idx="321">
                  <c:v>2月</c:v>
                </c:pt>
                <c:pt idx="322">
                  <c:v>2月</c:v>
                </c:pt>
                <c:pt idx="323">
                  <c:v>2月</c:v>
                </c:pt>
                <c:pt idx="324">
                  <c:v>3月</c:v>
                </c:pt>
                <c:pt idx="325">
                  <c:v>3月</c:v>
                </c:pt>
                <c:pt idx="326">
                  <c:v>3月</c:v>
                </c:pt>
                <c:pt idx="327">
                  <c:v>3月</c:v>
                </c:pt>
                <c:pt idx="328">
                  <c:v>3月</c:v>
                </c:pt>
                <c:pt idx="329">
                  <c:v>3月</c:v>
                </c:pt>
                <c:pt idx="330">
                  <c:v>3月</c:v>
                </c:pt>
                <c:pt idx="331">
                  <c:v>3月</c:v>
                </c:pt>
                <c:pt idx="332">
                  <c:v>3月</c:v>
                </c:pt>
                <c:pt idx="333">
                  <c:v>3月</c:v>
                </c:pt>
                <c:pt idx="334">
                  <c:v>3月</c:v>
                </c:pt>
                <c:pt idx="335">
                  <c:v>3月</c:v>
                </c:pt>
                <c:pt idx="336">
                  <c:v>3月</c:v>
                </c:pt>
                <c:pt idx="337">
                  <c:v>3月</c:v>
                </c:pt>
                <c:pt idx="338">
                  <c:v>3月</c:v>
                </c:pt>
                <c:pt idx="339">
                  <c:v>3月</c:v>
                </c:pt>
                <c:pt idx="340">
                  <c:v>3月</c:v>
                </c:pt>
                <c:pt idx="341">
                  <c:v>3月</c:v>
                </c:pt>
                <c:pt idx="342">
                  <c:v>3月</c:v>
                </c:pt>
                <c:pt idx="343">
                  <c:v>3月</c:v>
                </c:pt>
                <c:pt idx="344">
                  <c:v>3月</c:v>
                </c:pt>
                <c:pt idx="345">
                  <c:v>3月</c:v>
                </c:pt>
                <c:pt idx="346">
                  <c:v>3月</c:v>
                </c:pt>
                <c:pt idx="347">
                  <c:v>3月</c:v>
                </c:pt>
                <c:pt idx="348">
                  <c:v>3月</c:v>
                </c:pt>
                <c:pt idx="349">
                  <c:v>3月</c:v>
                </c:pt>
                <c:pt idx="350">
                  <c:v>3月</c:v>
                </c:pt>
                <c:pt idx="351">
                  <c:v>3月</c:v>
                </c:pt>
                <c:pt idx="352">
                  <c:v>3月</c:v>
                </c:pt>
                <c:pt idx="353">
                  <c:v>3月</c:v>
                </c:pt>
                <c:pt idx="354">
                  <c:v>3月</c:v>
                </c:pt>
                <c:pt idx="355">
                  <c:v>4月</c:v>
                </c:pt>
                <c:pt idx="356">
                  <c:v>4月</c:v>
                </c:pt>
                <c:pt idx="357">
                  <c:v>4月</c:v>
                </c:pt>
                <c:pt idx="358">
                  <c:v>4月</c:v>
                </c:pt>
                <c:pt idx="359">
                  <c:v>4月</c:v>
                </c:pt>
                <c:pt idx="360">
                  <c:v>4月</c:v>
                </c:pt>
                <c:pt idx="361">
                  <c:v>4月</c:v>
                </c:pt>
                <c:pt idx="362">
                  <c:v>4月</c:v>
                </c:pt>
                <c:pt idx="363">
                  <c:v>4月</c:v>
                </c:pt>
                <c:pt idx="364">
                  <c:v>4月</c:v>
                </c:pt>
                <c:pt idx="365">
                  <c:v>4月</c:v>
                </c:pt>
                <c:pt idx="366">
                  <c:v>4月</c:v>
                </c:pt>
                <c:pt idx="367">
                  <c:v>4月</c:v>
                </c:pt>
                <c:pt idx="368">
                  <c:v>4月</c:v>
                </c:pt>
                <c:pt idx="369">
                  <c:v>4月</c:v>
                </c:pt>
                <c:pt idx="370">
                  <c:v>4月</c:v>
                </c:pt>
                <c:pt idx="371">
                  <c:v>4月</c:v>
                </c:pt>
                <c:pt idx="372">
                  <c:v>4月</c:v>
                </c:pt>
                <c:pt idx="373">
                  <c:v>4月</c:v>
                </c:pt>
                <c:pt idx="374">
                  <c:v>4月</c:v>
                </c:pt>
                <c:pt idx="375">
                  <c:v>4月</c:v>
                </c:pt>
                <c:pt idx="376">
                  <c:v>4月</c:v>
                </c:pt>
                <c:pt idx="377">
                  <c:v>4月</c:v>
                </c:pt>
                <c:pt idx="378">
                  <c:v>4月</c:v>
                </c:pt>
                <c:pt idx="379">
                  <c:v>4月</c:v>
                </c:pt>
                <c:pt idx="380">
                  <c:v>4月</c:v>
                </c:pt>
                <c:pt idx="381">
                  <c:v>4月</c:v>
                </c:pt>
                <c:pt idx="382">
                  <c:v>4月</c:v>
                </c:pt>
                <c:pt idx="383">
                  <c:v>4月</c:v>
                </c:pt>
                <c:pt idx="384">
                  <c:v>4月</c:v>
                </c:pt>
                <c:pt idx="385">
                  <c:v>5月</c:v>
                </c:pt>
                <c:pt idx="386">
                  <c:v>5月</c:v>
                </c:pt>
                <c:pt idx="387">
                  <c:v>5月</c:v>
                </c:pt>
                <c:pt idx="388">
                  <c:v>5月</c:v>
                </c:pt>
                <c:pt idx="389">
                  <c:v>5月</c:v>
                </c:pt>
                <c:pt idx="390">
                  <c:v>5月</c:v>
                </c:pt>
                <c:pt idx="391">
                  <c:v>5月</c:v>
                </c:pt>
                <c:pt idx="392">
                  <c:v>5月</c:v>
                </c:pt>
                <c:pt idx="393">
                  <c:v>5月</c:v>
                </c:pt>
                <c:pt idx="394">
                  <c:v>5月</c:v>
                </c:pt>
                <c:pt idx="395">
                  <c:v>5月</c:v>
                </c:pt>
                <c:pt idx="396">
                  <c:v>5月</c:v>
                </c:pt>
                <c:pt idx="397">
                  <c:v>5月</c:v>
                </c:pt>
                <c:pt idx="398">
                  <c:v>5月</c:v>
                </c:pt>
                <c:pt idx="399">
                  <c:v>5月</c:v>
                </c:pt>
                <c:pt idx="400">
                  <c:v>5月</c:v>
                </c:pt>
                <c:pt idx="401">
                  <c:v>5月</c:v>
                </c:pt>
                <c:pt idx="402">
                  <c:v>5月</c:v>
                </c:pt>
                <c:pt idx="403">
                  <c:v>5月</c:v>
                </c:pt>
                <c:pt idx="404">
                  <c:v>5月</c:v>
                </c:pt>
                <c:pt idx="405">
                  <c:v>5月</c:v>
                </c:pt>
                <c:pt idx="406">
                  <c:v>5月</c:v>
                </c:pt>
                <c:pt idx="407">
                  <c:v>5月</c:v>
                </c:pt>
                <c:pt idx="408">
                  <c:v>5月</c:v>
                </c:pt>
                <c:pt idx="409">
                  <c:v>5月</c:v>
                </c:pt>
                <c:pt idx="410">
                  <c:v>5月</c:v>
                </c:pt>
                <c:pt idx="411">
                  <c:v>5月</c:v>
                </c:pt>
                <c:pt idx="412">
                  <c:v>5月</c:v>
                </c:pt>
                <c:pt idx="413">
                  <c:v>5月</c:v>
                </c:pt>
                <c:pt idx="414">
                  <c:v>5月</c:v>
                </c:pt>
                <c:pt idx="415">
                  <c:v>5月</c:v>
                </c:pt>
                <c:pt idx="416">
                  <c:v>6月</c:v>
                </c:pt>
                <c:pt idx="417">
                  <c:v>6月</c:v>
                </c:pt>
                <c:pt idx="418">
                  <c:v>6月</c:v>
                </c:pt>
                <c:pt idx="419">
                  <c:v>6月</c:v>
                </c:pt>
                <c:pt idx="420">
                  <c:v>6月</c:v>
                </c:pt>
                <c:pt idx="421">
                  <c:v>6月</c:v>
                </c:pt>
                <c:pt idx="422">
                  <c:v>6月</c:v>
                </c:pt>
                <c:pt idx="423">
                  <c:v>6月</c:v>
                </c:pt>
                <c:pt idx="424">
                  <c:v>6月</c:v>
                </c:pt>
                <c:pt idx="425">
                  <c:v>6月</c:v>
                </c:pt>
                <c:pt idx="426">
                  <c:v>6月</c:v>
                </c:pt>
                <c:pt idx="427">
                  <c:v>6月</c:v>
                </c:pt>
                <c:pt idx="428">
                  <c:v>6月</c:v>
                </c:pt>
                <c:pt idx="429">
                  <c:v>6月</c:v>
                </c:pt>
                <c:pt idx="430">
                  <c:v>6月</c:v>
                </c:pt>
                <c:pt idx="431">
                  <c:v>6月</c:v>
                </c:pt>
                <c:pt idx="432">
                  <c:v>6月</c:v>
                </c:pt>
                <c:pt idx="433">
                  <c:v>6月</c:v>
                </c:pt>
                <c:pt idx="434">
                  <c:v>6月</c:v>
                </c:pt>
                <c:pt idx="435">
                  <c:v>6月</c:v>
                </c:pt>
                <c:pt idx="436">
                  <c:v>6月</c:v>
                </c:pt>
                <c:pt idx="437">
                  <c:v>6月</c:v>
                </c:pt>
                <c:pt idx="438">
                  <c:v>6月</c:v>
                </c:pt>
                <c:pt idx="439">
                  <c:v>6月</c:v>
                </c:pt>
                <c:pt idx="440">
                  <c:v>6月</c:v>
                </c:pt>
                <c:pt idx="441">
                  <c:v>6月</c:v>
                </c:pt>
                <c:pt idx="442">
                  <c:v>6月</c:v>
                </c:pt>
                <c:pt idx="443">
                  <c:v>6月</c:v>
                </c:pt>
                <c:pt idx="444">
                  <c:v>6月</c:v>
                </c:pt>
                <c:pt idx="445">
                  <c:v>6月</c:v>
                </c:pt>
                <c:pt idx="446">
                  <c:v>7月</c:v>
                </c:pt>
                <c:pt idx="447">
                  <c:v>7月</c:v>
                </c:pt>
                <c:pt idx="448">
                  <c:v>7月</c:v>
                </c:pt>
                <c:pt idx="449">
                  <c:v>7月</c:v>
                </c:pt>
                <c:pt idx="450">
                  <c:v>7月</c:v>
                </c:pt>
                <c:pt idx="451">
                  <c:v>7月</c:v>
                </c:pt>
                <c:pt idx="452">
                  <c:v>7月</c:v>
                </c:pt>
                <c:pt idx="453">
                  <c:v>7月</c:v>
                </c:pt>
                <c:pt idx="454">
                  <c:v>7月</c:v>
                </c:pt>
                <c:pt idx="455">
                  <c:v>7月</c:v>
                </c:pt>
                <c:pt idx="456">
                  <c:v>7月</c:v>
                </c:pt>
                <c:pt idx="457">
                  <c:v>7月</c:v>
                </c:pt>
                <c:pt idx="458">
                  <c:v>7月</c:v>
                </c:pt>
                <c:pt idx="459">
                  <c:v>7月</c:v>
                </c:pt>
                <c:pt idx="460">
                  <c:v>7月</c:v>
                </c:pt>
                <c:pt idx="461">
                  <c:v>7月</c:v>
                </c:pt>
                <c:pt idx="462">
                  <c:v>7月</c:v>
                </c:pt>
                <c:pt idx="463">
                  <c:v>7月</c:v>
                </c:pt>
                <c:pt idx="464">
                  <c:v>7月</c:v>
                </c:pt>
                <c:pt idx="465">
                  <c:v>7月</c:v>
                </c:pt>
                <c:pt idx="466">
                  <c:v>7月</c:v>
                </c:pt>
                <c:pt idx="467">
                  <c:v>7月</c:v>
                </c:pt>
                <c:pt idx="468">
                  <c:v>7月</c:v>
                </c:pt>
                <c:pt idx="469">
                  <c:v>7月</c:v>
                </c:pt>
                <c:pt idx="470">
                  <c:v>7月</c:v>
                </c:pt>
                <c:pt idx="471">
                  <c:v>7月</c:v>
                </c:pt>
                <c:pt idx="472">
                  <c:v>7月</c:v>
                </c:pt>
                <c:pt idx="473">
                  <c:v>7月</c:v>
                </c:pt>
                <c:pt idx="474">
                  <c:v>7月</c:v>
                </c:pt>
                <c:pt idx="475">
                  <c:v>7月</c:v>
                </c:pt>
                <c:pt idx="476">
                  <c:v>7月</c:v>
                </c:pt>
                <c:pt idx="477">
                  <c:v>8月</c:v>
                </c:pt>
                <c:pt idx="478">
                  <c:v>8月</c:v>
                </c:pt>
                <c:pt idx="479">
                  <c:v>8月</c:v>
                </c:pt>
                <c:pt idx="480">
                  <c:v>8月</c:v>
                </c:pt>
                <c:pt idx="481">
                  <c:v>8月</c:v>
                </c:pt>
                <c:pt idx="482">
                  <c:v>8月</c:v>
                </c:pt>
                <c:pt idx="483">
                  <c:v>8月</c:v>
                </c:pt>
                <c:pt idx="484">
                  <c:v>8月</c:v>
                </c:pt>
                <c:pt idx="485">
                  <c:v>8月</c:v>
                </c:pt>
                <c:pt idx="486">
                  <c:v>8月</c:v>
                </c:pt>
                <c:pt idx="487">
                  <c:v>8月</c:v>
                </c:pt>
                <c:pt idx="488">
                  <c:v>8月</c:v>
                </c:pt>
                <c:pt idx="489">
                  <c:v>8月</c:v>
                </c:pt>
                <c:pt idx="490">
                  <c:v>8月</c:v>
                </c:pt>
                <c:pt idx="491">
                  <c:v>8月</c:v>
                </c:pt>
                <c:pt idx="492">
                  <c:v>8月</c:v>
                </c:pt>
                <c:pt idx="493">
                  <c:v>8月</c:v>
                </c:pt>
                <c:pt idx="494">
                  <c:v>8月</c:v>
                </c:pt>
                <c:pt idx="495">
                  <c:v>8月</c:v>
                </c:pt>
                <c:pt idx="496">
                  <c:v>8月</c:v>
                </c:pt>
                <c:pt idx="497">
                  <c:v>8月</c:v>
                </c:pt>
                <c:pt idx="498">
                  <c:v>8月</c:v>
                </c:pt>
                <c:pt idx="499">
                  <c:v>8月</c:v>
                </c:pt>
                <c:pt idx="500">
                  <c:v>8月</c:v>
                </c:pt>
                <c:pt idx="501">
                  <c:v>8月</c:v>
                </c:pt>
                <c:pt idx="502">
                  <c:v>8月</c:v>
                </c:pt>
                <c:pt idx="503">
                  <c:v>8月</c:v>
                </c:pt>
                <c:pt idx="504">
                  <c:v>8月</c:v>
                </c:pt>
                <c:pt idx="505">
                  <c:v>8月</c:v>
                </c:pt>
                <c:pt idx="506">
                  <c:v>8月</c:v>
                </c:pt>
                <c:pt idx="507">
                  <c:v>8月</c:v>
                </c:pt>
                <c:pt idx="508">
                  <c:v>9月</c:v>
                </c:pt>
                <c:pt idx="509">
                  <c:v>9月</c:v>
                </c:pt>
                <c:pt idx="510">
                  <c:v>9月</c:v>
                </c:pt>
                <c:pt idx="511">
                  <c:v>9月</c:v>
                </c:pt>
                <c:pt idx="512">
                  <c:v>9月</c:v>
                </c:pt>
                <c:pt idx="513">
                  <c:v>9月</c:v>
                </c:pt>
                <c:pt idx="514">
                  <c:v>9月</c:v>
                </c:pt>
                <c:pt idx="515">
                  <c:v>9月</c:v>
                </c:pt>
                <c:pt idx="516">
                  <c:v>9月</c:v>
                </c:pt>
                <c:pt idx="517">
                  <c:v>9月</c:v>
                </c:pt>
                <c:pt idx="518">
                  <c:v>9月</c:v>
                </c:pt>
                <c:pt idx="519">
                  <c:v>9月</c:v>
                </c:pt>
                <c:pt idx="520">
                  <c:v>9月</c:v>
                </c:pt>
                <c:pt idx="521">
                  <c:v>9月</c:v>
                </c:pt>
                <c:pt idx="522">
                  <c:v>9月</c:v>
                </c:pt>
                <c:pt idx="523">
                  <c:v>9月</c:v>
                </c:pt>
                <c:pt idx="524">
                  <c:v>9月</c:v>
                </c:pt>
                <c:pt idx="525">
                  <c:v>9月</c:v>
                </c:pt>
                <c:pt idx="526">
                  <c:v>9月</c:v>
                </c:pt>
                <c:pt idx="527">
                  <c:v>9月</c:v>
                </c:pt>
                <c:pt idx="528">
                  <c:v>9月</c:v>
                </c:pt>
                <c:pt idx="529">
                  <c:v>9月</c:v>
                </c:pt>
                <c:pt idx="530">
                  <c:v>9月</c:v>
                </c:pt>
                <c:pt idx="531">
                  <c:v>9月</c:v>
                </c:pt>
                <c:pt idx="532">
                  <c:v>9月</c:v>
                </c:pt>
                <c:pt idx="533">
                  <c:v>9月</c:v>
                </c:pt>
                <c:pt idx="534">
                  <c:v>9月</c:v>
                </c:pt>
                <c:pt idx="535">
                  <c:v>9月</c:v>
                </c:pt>
                <c:pt idx="536">
                  <c:v>9月</c:v>
                </c:pt>
                <c:pt idx="537">
                  <c:v>9月</c:v>
                </c:pt>
                <c:pt idx="538">
                  <c:v>10月</c:v>
                </c:pt>
                <c:pt idx="539">
                  <c:v>10月</c:v>
                </c:pt>
                <c:pt idx="540">
                  <c:v>10月</c:v>
                </c:pt>
                <c:pt idx="541">
                  <c:v>10月</c:v>
                </c:pt>
                <c:pt idx="542">
                  <c:v>10月</c:v>
                </c:pt>
                <c:pt idx="543">
                  <c:v>10月</c:v>
                </c:pt>
                <c:pt idx="544">
                  <c:v>10月</c:v>
                </c:pt>
                <c:pt idx="545">
                  <c:v>10月</c:v>
                </c:pt>
                <c:pt idx="546">
                  <c:v>10月</c:v>
                </c:pt>
                <c:pt idx="547">
                  <c:v>10月</c:v>
                </c:pt>
                <c:pt idx="548">
                  <c:v>10月</c:v>
                </c:pt>
                <c:pt idx="549">
                  <c:v>10月</c:v>
                </c:pt>
                <c:pt idx="550">
                  <c:v>10月</c:v>
                </c:pt>
                <c:pt idx="551">
                  <c:v>10月</c:v>
                </c:pt>
                <c:pt idx="552">
                  <c:v>10月</c:v>
                </c:pt>
                <c:pt idx="553">
                  <c:v>10月</c:v>
                </c:pt>
                <c:pt idx="554">
                  <c:v>10月</c:v>
                </c:pt>
                <c:pt idx="555">
                  <c:v>10月</c:v>
                </c:pt>
                <c:pt idx="556">
                  <c:v>10月</c:v>
                </c:pt>
                <c:pt idx="557">
                  <c:v>10月</c:v>
                </c:pt>
                <c:pt idx="558">
                  <c:v>10月</c:v>
                </c:pt>
                <c:pt idx="559">
                  <c:v>10月</c:v>
                </c:pt>
                <c:pt idx="560">
                  <c:v>10月</c:v>
                </c:pt>
                <c:pt idx="561">
                  <c:v>10月</c:v>
                </c:pt>
                <c:pt idx="562">
                  <c:v>10月</c:v>
                </c:pt>
                <c:pt idx="563">
                  <c:v>10月</c:v>
                </c:pt>
                <c:pt idx="564">
                  <c:v>10月</c:v>
                </c:pt>
                <c:pt idx="565">
                  <c:v>10月</c:v>
                </c:pt>
                <c:pt idx="566">
                  <c:v>10月</c:v>
                </c:pt>
                <c:pt idx="567">
                  <c:v>10月</c:v>
                </c:pt>
                <c:pt idx="568">
                  <c:v>10月</c:v>
                </c:pt>
                <c:pt idx="569">
                  <c:v>11月</c:v>
                </c:pt>
                <c:pt idx="570">
                  <c:v>11月</c:v>
                </c:pt>
                <c:pt idx="571">
                  <c:v>11月</c:v>
                </c:pt>
                <c:pt idx="572">
                  <c:v>11月</c:v>
                </c:pt>
                <c:pt idx="573">
                  <c:v>11月</c:v>
                </c:pt>
                <c:pt idx="574">
                  <c:v>11月</c:v>
                </c:pt>
                <c:pt idx="575">
                  <c:v>11月</c:v>
                </c:pt>
                <c:pt idx="576">
                  <c:v>11月</c:v>
                </c:pt>
                <c:pt idx="577">
                  <c:v>11月</c:v>
                </c:pt>
                <c:pt idx="578">
                  <c:v>11月</c:v>
                </c:pt>
                <c:pt idx="579">
                  <c:v>11月</c:v>
                </c:pt>
                <c:pt idx="580">
                  <c:v>11月</c:v>
                </c:pt>
                <c:pt idx="581">
                  <c:v>11月</c:v>
                </c:pt>
                <c:pt idx="582">
                  <c:v>11月</c:v>
                </c:pt>
                <c:pt idx="583">
                  <c:v>11月</c:v>
                </c:pt>
                <c:pt idx="584">
                  <c:v>11月</c:v>
                </c:pt>
                <c:pt idx="585">
                  <c:v>11月</c:v>
                </c:pt>
                <c:pt idx="586">
                  <c:v>11月</c:v>
                </c:pt>
                <c:pt idx="587">
                  <c:v>11月</c:v>
                </c:pt>
                <c:pt idx="588">
                  <c:v>11月</c:v>
                </c:pt>
                <c:pt idx="589">
                  <c:v>11月</c:v>
                </c:pt>
                <c:pt idx="590">
                  <c:v>11月</c:v>
                </c:pt>
                <c:pt idx="591">
                  <c:v>11月</c:v>
                </c:pt>
                <c:pt idx="592">
                  <c:v>11月</c:v>
                </c:pt>
                <c:pt idx="593">
                  <c:v>11月</c:v>
                </c:pt>
                <c:pt idx="594">
                  <c:v>11月</c:v>
                </c:pt>
                <c:pt idx="595">
                  <c:v>11月</c:v>
                </c:pt>
                <c:pt idx="596">
                  <c:v>11月</c:v>
                </c:pt>
                <c:pt idx="597">
                  <c:v>11月</c:v>
                </c:pt>
                <c:pt idx="598">
                  <c:v>11月</c:v>
                </c:pt>
                <c:pt idx="599">
                  <c:v>12月
2019</c:v>
                </c:pt>
                <c:pt idx="600">
                  <c:v>12月
2019</c:v>
                </c:pt>
                <c:pt idx="601">
                  <c:v>12月
2019</c:v>
                </c:pt>
                <c:pt idx="602">
                  <c:v>12月
2019</c:v>
                </c:pt>
                <c:pt idx="603">
                  <c:v>12月
2019</c:v>
                </c:pt>
                <c:pt idx="604">
                  <c:v>12月
2019</c:v>
                </c:pt>
                <c:pt idx="605">
                  <c:v>12月
2019</c:v>
                </c:pt>
                <c:pt idx="606">
                  <c:v>12月
2019</c:v>
                </c:pt>
                <c:pt idx="607">
                  <c:v>12月
2019</c:v>
                </c:pt>
                <c:pt idx="608">
                  <c:v>12月
2019</c:v>
                </c:pt>
                <c:pt idx="609">
                  <c:v>12月
2019</c:v>
                </c:pt>
                <c:pt idx="610">
                  <c:v>12月
2019</c:v>
                </c:pt>
                <c:pt idx="611">
                  <c:v>12月
2019</c:v>
                </c:pt>
                <c:pt idx="612">
                  <c:v>12月
2019</c:v>
                </c:pt>
                <c:pt idx="613">
                  <c:v>12月
2019</c:v>
                </c:pt>
                <c:pt idx="614">
                  <c:v>12月
2019</c:v>
                </c:pt>
                <c:pt idx="615">
                  <c:v>12月
2019</c:v>
                </c:pt>
                <c:pt idx="616">
                  <c:v>12月
2019</c:v>
                </c:pt>
                <c:pt idx="617">
                  <c:v>12月
2019</c:v>
                </c:pt>
                <c:pt idx="618">
                  <c:v>12月
2019</c:v>
                </c:pt>
                <c:pt idx="619">
                  <c:v>12月
2019</c:v>
                </c:pt>
                <c:pt idx="620">
                  <c:v>12月
2019</c:v>
                </c:pt>
                <c:pt idx="621">
                  <c:v>12月
2019</c:v>
                </c:pt>
                <c:pt idx="622">
                  <c:v>12月
2019</c:v>
                </c:pt>
                <c:pt idx="623">
                  <c:v>12月
2019</c:v>
                </c:pt>
                <c:pt idx="624">
                  <c:v>12月
2019</c:v>
                </c:pt>
                <c:pt idx="625">
                  <c:v>12月
2019</c:v>
                </c:pt>
                <c:pt idx="626">
                  <c:v>12月
2019</c:v>
                </c:pt>
                <c:pt idx="627">
                  <c:v>12月
2019</c:v>
                </c:pt>
                <c:pt idx="628">
                  <c:v>12月
2019</c:v>
                </c:pt>
                <c:pt idx="629">
                  <c:v>12月
2019</c:v>
                </c:pt>
                <c:pt idx="630">
                  <c:v>1月
2020</c:v>
                </c:pt>
                <c:pt idx="631">
                  <c:v>1月
2020</c:v>
                </c:pt>
                <c:pt idx="632">
                  <c:v>1月
2020</c:v>
                </c:pt>
                <c:pt idx="633">
                  <c:v>1月
2020</c:v>
                </c:pt>
                <c:pt idx="634">
                  <c:v>1月
2020</c:v>
                </c:pt>
                <c:pt idx="635">
                  <c:v>1月
2020</c:v>
                </c:pt>
                <c:pt idx="636">
                  <c:v>1月
2020</c:v>
                </c:pt>
                <c:pt idx="637">
                  <c:v>1月
2020</c:v>
                </c:pt>
                <c:pt idx="638">
                  <c:v>1月
2020</c:v>
                </c:pt>
                <c:pt idx="639">
                  <c:v>1月
2020</c:v>
                </c:pt>
                <c:pt idx="640">
                  <c:v>1月
2020</c:v>
                </c:pt>
                <c:pt idx="641">
                  <c:v>1月
2020</c:v>
                </c:pt>
                <c:pt idx="642">
                  <c:v>1月
2020</c:v>
                </c:pt>
                <c:pt idx="643">
                  <c:v>1月
2020</c:v>
                </c:pt>
                <c:pt idx="644">
                  <c:v>1月
2020</c:v>
                </c:pt>
                <c:pt idx="645">
                  <c:v>1月
2020</c:v>
                </c:pt>
                <c:pt idx="646">
                  <c:v>1月
2020</c:v>
                </c:pt>
                <c:pt idx="647">
                  <c:v>1月
2020</c:v>
                </c:pt>
                <c:pt idx="648">
                  <c:v>1月
2020</c:v>
                </c:pt>
                <c:pt idx="649">
                  <c:v>1月
2020</c:v>
                </c:pt>
                <c:pt idx="650">
                  <c:v>1月
2020</c:v>
                </c:pt>
                <c:pt idx="651">
                  <c:v>1月
2020</c:v>
                </c:pt>
                <c:pt idx="652">
                  <c:v>1月
2020</c:v>
                </c:pt>
                <c:pt idx="653">
                  <c:v>1月
2020</c:v>
                </c:pt>
                <c:pt idx="654">
                  <c:v>1月
2020</c:v>
                </c:pt>
                <c:pt idx="655">
                  <c:v>1月
2020</c:v>
                </c:pt>
                <c:pt idx="656">
                  <c:v>1月
2020</c:v>
                </c:pt>
                <c:pt idx="657">
                  <c:v>1月
2020</c:v>
                </c:pt>
                <c:pt idx="658">
                  <c:v>1月
2020</c:v>
                </c:pt>
                <c:pt idx="659">
                  <c:v>1月
2020</c:v>
                </c:pt>
                <c:pt idx="660">
                  <c:v>1月
2020</c:v>
                </c:pt>
                <c:pt idx="661">
                  <c:v>2月</c:v>
                </c:pt>
                <c:pt idx="662">
                  <c:v>2月</c:v>
                </c:pt>
                <c:pt idx="663">
                  <c:v>2月</c:v>
                </c:pt>
                <c:pt idx="664">
                  <c:v>2月</c:v>
                </c:pt>
                <c:pt idx="665">
                  <c:v>2月</c:v>
                </c:pt>
                <c:pt idx="666">
                  <c:v>2月</c:v>
                </c:pt>
                <c:pt idx="667">
                  <c:v>2月</c:v>
                </c:pt>
                <c:pt idx="668">
                  <c:v>2月</c:v>
                </c:pt>
                <c:pt idx="669">
                  <c:v>2月</c:v>
                </c:pt>
                <c:pt idx="670">
                  <c:v>2月</c:v>
                </c:pt>
                <c:pt idx="671">
                  <c:v>2月</c:v>
                </c:pt>
                <c:pt idx="672">
                  <c:v>2月</c:v>
                </c:pt>
                <c:pt idx="673">
                  <c:v>2月</c:v>
                </c:pt>
                <c:pt idx="674">
                  <c:v>2月</c:v>
                </c:pt>
                <c:pt idx="675">
                  <c:v>2月</c:v>
                </c:pt>
                <c:pt idx="676">
                  <c:v>2月</c:v>
                </c:pt>
                <c:pt idx="677">
                  <c:v>2月</c:v>
                </c:pt>
                <c:pt idx="678">
                  <c:v>2月</c:v>
                </c:pt>
                <c:pt idx="679">
                  <c:v>2月</c:v>
                </c:pt>
                <c:pt idx="680">
                  <c:v>2月</c:v>
                </c:pt>
                <c:pt idx="681">
                  <c:v>2月</c:v>
                </c:pt>
                <c:pt idx="682">
                  <c:v>2月</c:v>
                </c:pt>
                <c:pt idx="683">
                  <c:v>2月</c:v>
                </c:pt>
                <c:pt idx="684">
                  <c:v>2月</c:v>
                </c:pt>
                <c:pt idx="685">
                  <c:v>2月</c:v>
                </c:pt>
                <c:pt idx="686">
                  <c:v>2月</c:v>
                </c:pt>
                <c:pt idx="687">
                  <c:v>2月</c:v>
                </c:pt>
                <c:pt idx="688">
                  <c:v>2月</c:v>
                </c:pt>
                <c:pt idx="689">
                  <c:v>2月</c:v>
                </c:pt>
                <c:pt idx="690">
                  <c:v>3月
2020</c:v>
                </c:pt>
                <c:pt idx="691">
                  <c:v>3月
2020</c:v>
                </c:pt>
                <c:pt idx="692">
                  <c:v>3月
2020</c:v>
                </c:pt>
                <c:pt idx="693">
                  <c:v>3月
2020</c:v>
                </c:pt>
                <c:pt idx="694">
                  <c:v>3月
2020</c:v>
                </c:pt>
                <c:pt idx="695">
                  <c:v>3月
2020</c:v>
                </c:pt>
                <c:pt idx="696">
                  <c:v>3月
2020</c:v>
                </c:pt>
                <c:pt idx="697">
                  <c:v>3月
2020</c:v>
                </c:pt>
                <c:pt idx="698">
                  <c:v>3月
2020</c:v>
                </c:pt>
                <c:pt idx="699">
                  <c:v>3月
2020</c:v>
                </c:pt>
                <c:pt idx="700">
                  <c:v>3月
2020</c:v>
                </c:pt>
                <c:pt idx="701">
                  <c:v>3月
2020</c:v>
                </c:pt>
                <c:pt idx="702">
                  <c:v>3月
2020</c:v>
                </c:pt>
                <c:pt idx="703">
                  <c:v>3月
2020</c:v>
                </c:pt>
                <c:pt idx="704">
                  <c:v>3月
2020</c:v>
                </c:pt>
                <c:pt idx="705">
                  <c:v>3月
2020</c:v>
                </c:pt>
                <c:pt idx="706">
                  <c:v>3月
2020</c:v>
                </c:pt>
                <c:pt idx="707">
                  <c:v>3月
2020</c:v>
                </c:pt>
                <c:pt idx="708">
                  <c:v>3月
2020</c:v>
                </c:pt>
                <c:pt idx="709">
                  <c:v>3月
2020</c:v>
                </c:pt>
                <c:pt idx="710">
                  <c:v>3月
2020</c:v>
                </c:pt>
                <c:pt idx="711">
                  <c:v>3月
2020</c:v>
                </c:pt>
                <c:pt idx="712">
                  <c:v>3月
2020</c:v>
                </c:pt>
                <c:pt idx="713">
                  <c:v>3月
2020</c:v>
                </c:pt>
                <c:pt idx="714">
                  <c:v>3月
2020</c:v>
                </c:pt>
                <c:pt idx="715">
                  <c:v>3月
2020</c:v>
                </c:pt>
                <c:pt idx="716">
                  <c:v>3月
2020</c:v>
                </c:pt>
                <c:pt idx="717">
                  <c:v>3月
2020</c:v>
                </c:pt>
                <c:pt idx="718">
                  <c:v>3月
2020</c:v>
                </c:pt>
                <c:pt idx="719">
                  <c:v>3月
2020</c:v>
                </c:pt>
                <c:pt idx="720">
                  <c:v>3月
2020</c:v>
                </c:pt>
                <c:pt idx="721">
                  <c:v>4月
2020</c:v>
                </c:pt>
                <c:pt idx="722">
                  <c:v>4月
2020</c:v>
                </c:pt>
                <c:pt idx="723">
                  <c:v>4月
2020</c:v>
                </c:pt>
                <c:pt idx="724">
                  <c:v>4月
2020</c:v>
                </c:pt>
                <c:pt idx="725">
                  <c:v>4月
2020</c:v>
                </c:pt>
                <c:pt idx="726">
                  <c:v>4月
2020</c:v>
                </c:pt>
                <c:pt idx="727">
                  <c:v>4月
2020</c:v>
                </c:pt>
                <c:pt idx="728">
                  <c:v>4月
2020</c:v>
                </c:pt>
                <c:pt idx="729">
                  <c:v>4月
2020</c:v>
                </c:pt>
                <c:pt idx="730">
                  <c:v>4月
2020</c:v>
                </c:pt>
                <c:pt idx="731">
                  <c:v>4月
2020</c:v>
                </c:pt>
                <c:pt idx="732">
                  <c:v>4月
2020</c:v>
                </c:pt>
                <c:pt idx="733">
                  <c:v>4月
2020</c:v>
                </c:pt>
                <c:pt idx="734">
                  <c:v>4月
2020</c:v>
                </c:pt>
                <c:pt idx="735">
                  <c:v>4月
2020</c:v>
                </c:pt>
                <c:pt idx="736">
                  <c:v>4月
2020</c:v>
                </c:pt>
                <c:pt idx="737">
                  <c:v>4月
2020</c:v>
                </c:pt>
                <c:pt idx="738">
                  <c:v>4月
2020</c:v>
                </c:pt>
                <c:pt idx="739">
                  <c:v>4月
2020</c:v>
                </c:pt>
                <c:pt idx="740">
                  <c:v>4月
2020</c:v>
                </c:pt>
                <c:pt idx="741">
                  <c:v>4月
2020</c:v>
                </c:pt>
                <c:pt idx="742">
                  <c:v>4月
2020</c:v>
                </c:pt>
                <c:pt idx="743">
                  <c:v>4月
2020</c:v>
                </c:pt>
                <c:pt idx="744">
                  <c:v>4月
2020</c:v>
                </c:pt>
                <c:pt idx="745">
                  <c:v>4月
2020</c:v>
                </c:pt>
                <c:pt idx="746">
                  <c:v>4月
2020</c:v>
                </c:pt>
                <c:pt idx="747">
                  <c:v>4月
2020</c:v>
                </c:pt>
                <c:pt idx="748">
                  <c:v>4月
2020</c:v>
                </c:pt>
                <c:pt idx="749">
                  <c:v>4月
2020</c:v>
                </c:pt>
                <c:pt idx="750">
                  <c:v>4月
2020</c:v>
                </c:pt>
                <c:pt idx="751">
                  <c:v>5月</c:v>
                </c:pt>
                <c:pt idx="752">
                  <c:v>5月</c:v>
                </c:pt>
                <c:pt idx="753">
                  <c:v>5月</c:v>
                </c:pt>
                <c:pt idx="754">
                  <c:v>5月</c:v>
                </c:pt>
                <c:pt idx="755">
                  <c:v>5月</c:v>
                </c:pt>
                <c:pt idx="756">
                  <c:v>5月</c:v>
                </c:pt>
                <c:pt idx="757">
                  <c:v>5月</c:v>
                </c:pt>
                <c:pt idx="758">
                  <c:v>5月</c:v>
                </c:pt>
                <c:pt idx="759">
                  <c:v>5月</c:v>
                </c:pt>
                <c:pt idx="760">
                  <c:v>5月</c:v>
                </c:pt>
                <c:pt idx="761">
                  <c:v>5月</c:v>
                </c:pt>
                <c:pt idx="762">
                  <c:v>5月</c:v>
                </c:pt>
                <c:pt idx="763">
                  <c:v>5月</c:v>
                </c:pt>
                <c:pt idx="764">
                  <c:v>5月</c:v>
                </c:pt>
                <c:pt idx="765">
                  <c:v>5月</c:v>
                </c:pt>
                <c:pt idx="766">
                  <c:v>5月</c:v>
                </c:pt>
                <c:pt idx="767">
                  <c:v>5月</c:v>
                </c:pt>
                <c:pt idx="768">
                  <c:v>5月</c:v>
                </c:pt>
                <c:pt idx="769">
                  <c:v>5月</c:v>
                </c:pt>
                <c:pt idx="770">
                  <c:v>5月</c:v>
                </c:pt>
                <c:pt idx="771">
                  <c:v>5月</c:v>
                </c:pt>
                <c:pt idx="772">
                  <c:v>5月</c:v>
                </c:pt>
                <c:pt idx="773">
                  <c:v>5月</c:v>
                </c:pt>
                <c:pt idx="774">
                  <c:v>5月</c:v>
                </c:pt>
                <c:pt idx="775">
                  <c:v>5月</c:v>
                </c:pt>
                <c:pt idx="776">
                  <c:v>5月</c:v>
                </c:pt>
                <c:pt idx="777">
                  <c:v>5月</c:v>
                </c:pt>
                <c:pt idx="778">
                  <c:v>5月</c:v>
                </c:pt>
                <c:pt idx="779">
                  <c:v>5月</c:v>
                </c:pt>
                <c:pt idx="780">
                  <c:v>5月</c:v>
                </c:pt>
                <c:pt idx="781">
                  <c:v>5月</c:v>
                </c:pt>
                <c:pt idx="782">
                  <c:v>6月
2020</c:v>
                </c:pt>
                <c:pt idx="783">
                  <c:v>6月
2020</c:v>
                </c:pt>
                <c:pt idx="784">
                  <c:v>6月
2020</c:v>
                </c:pt>
                <c:pt idx="785">
                  <c:v>6月
2020</c:v>
                </c:pt>
                <c:pt idx="786">
                  <c:v>6月
2020</c:v>
                </c:pt>
                <c:pt idx="787">
                  <c:v>6月
2020</c:v>
                </c:pt>
                <c:pt idx="788">
                  <c:v>6月
2020</c:v>
                </c:pt>
                <c:pt idx="789">
                  <c:v>6月
2020</c:v>
                </c:pt>
                <c:pt idx="790">
                  <c:v>6月
2020</c:v>
                </c:pt>
                <c:pt idx="791">
                  <c:v>6月
2020</c:v>
                </c:pt>
                <c:pt idx="792">
                  <c:v>6月
2020</c:v>
                </c:pt>
                <c:pt idx="793">
                  <c:v>6月
2020</c:v>
                </c:pt>
                <c:pt idx="794">
                  <c:v>6月
2020</c:v>
                </c:pt>
                <c:pt idx="795">
                  <c:v>6月
2020</c:v>
                </c:pt>
                <c:pt idx="796">
                  <c:v>6月
2020</c:v>
                </c:pt>
                <c:pt idx="797">
                  <c:v>6月
2020</c:v>
                </c:pt>
                <c:pt idx="798">
                  <c:v>6月
2020</c:v>
                </c:pt>
                <c:pt idx="799">
                  <c:v>6月
2020</c:v>
                </c:pt>
                <c:pt idx="800">
                  <c:v>6月
2020</c:v>
                </c:pt>
                <c:pt idx="801">
                  <c:v>6月
2020</c:v>
                </c:pt>
                <c:pt idx="802">
                  <c:v>6月
2020</c:v>
                </c:pt>
                <c:pt idx="803">
                  <c:v>6月
2020</c:v>
                </c:pt>
                <c:pt idx="804">
                  <c:v>6月
2020</c:v>
                </c:pt>
                <c:pt idx="805">
                  <c:v>6月
2020</c:v>
                </c:pt>
                <c:pt idx="806">
                  <c:v>6月
2020</c:v>
                </c:pt>
                <c:pt idx="807">
                  <c:v>6月
2020</c:v>
                </c:pt>
                <c:pt idx="808">
                  <c:v>6月
2020</c:v>
                </c:pt>
                <c:pt idx="809">
                  <c:v>6月
2020</c:v>
                </c:pt>
                <c:pt idx="810">
                  <c:v>6月
2020</c:v>
                </c:pt>
                <c:pt idx="811">
                  <c:v>6月
2020</c:v>
                </c:pt>
                <c:pt idx="812">
                  <c:v>7月</c:v>
                </c:pt>
                <c:pt idx="813">
                  <c:v>7月</c:v>
                </c:pt>
                <c:pt idx="814">
                  <c:v>7月</c:v>
                </c:pt>
                <c:pt idx="815">
                  <c:v>7月</c:v>
                </c:pt>
                <c:pt idx="816">
                  <c:v>7月</c:v>
                </c:pt>
                <c:pt idx="817">
                  <c:v>7月</c:v>
                </c:pt>
                <c:pt idx="818">
                  <c:v>7月</c:v>
                </c:pt>
                <c:pt idx="819">
                  <c:v>7月</c:v>
                </c:pt>
                <c:pt idx="820">
                  <c:v>7月</c:v>
                </c:pt>
                <c:pt idx="821">
                  <c:v>7月</c:v>
                </c:pt>
                <c:pt idx="822">
                  <c:v>7月</c:v>
                </c:pt>
                <c:pt idx="823">
                  <c:v>7月</c:v>
                </c:pt>
                <c:pt idx="824">
                  <c:v>7月</c:v>
                </c:pt>
                <c:pt idx="825">
                  <c:v>7月</c:v>
                </c:pt>
                <c:pt idx="826">
                  <c:v>7月</c:v>
                </c:pt>
                <c:pt idx="827">
                  <c:v>7月</c:v>
                </c:pt>
                <c:pt idx="828">
                  <c:v>7月</c:v>
                </c:pt>
                <c:pt idx="829">
                  <c:v>7月</c:v>
                </c:pt>
                <c:pt idx="830">
                  <c:v>7月</c:v>
                </c:pt>
                <c:pt idx="831">
                  <c:v>7月</c:v>
                </c:pt>
                <c:pt idx="832">
                  <c:v>7月</c:v>
                </c:pt>
                <c:pt idx="833">
                  <c:v>7月</c:v>
                </c:pt>
                <c:pt idx="834">
                  <c:v>7月</c:v>
                </c:pt>
                <c:pt idx="835">
                  <c:v>7月</c:v>
                </c:pt>
                <c:pt idx="836">
                  <c:v>7月</c:v>
                </c:pt>
                <c:pt idx="837">
                  <c:v>7月</c:v>
                </c:pt>
                <c:pt idx="838">
                  <c:v>7月</c:v>
                </c:pt>
                <c:pt idx="839">
                  <c:v>7月</c:v>
                </c:pt>
                <c:pt idx="840">
                  <c:v>7月</c:v>
                </c:pt>
                <c:pt idx="841">
                  <c:v>7月</c:v>
                </c:pt>
                <c:pt idx="842">
                  <c:v>7月</c:v>
                </c:pt>
                <c:pt idx="843">
                  <c:v>8月
2020</c:v>
                </c:pt>
                <c:pt idx="844">
                  <c:v>8月
2020</c:v>
                </c:pt>
                <c:pt idx="845">
                  <c:v>8月
2020</c:v>
                </c:pt>
                <c:pt idx="846">
                  <c:v>8月
2020</c:v>
                </c:pt>
                <c:pt idx="847">
                  <c:v>8月
2020</c:v>
                </c:pt>
                <c:pt idx="848">
                  <c:v>8月
2020</c:v>
                </c:pt>
                <c:pt idx="849">
                  <c:v>8月
2020</c:v>
                </c:pt>
                <c:pt idx="850">
                  <c:v>8月
2020</c:v>
                </c:pt>
                <c:pt idx="851">
                  <c:v>8月
2020</c:v>
                </c:pt>
                <c:pt idx="852">
                  <c:v>8月
2020</c:v>
                </c:pt>
                <c:pt idx="853">
                  <c:v>8月
2020</c:v>
                </c:pt>
                <c:pt idx="854">
                  <c:v>8月
2020</c:v>
                </c:pt>
                <c:pt idx="855">
                  <c:v>8月
2020</c:v>
                </c:pt>
                <c:pt idx="856">
                  <c:v>8月
2020</c:v>
                </c:pt>
                <c:pt idx="857">
                  <c:v>8月
2020</c:v>
                </c:pt>
                <c:pt idx="858">
                  <c:v>8月
2020</c:v>
                </c:pt>
                <c:pt idx="859">
                  <c:v>8月
2020</c:v>
                </c:pt>
                <c:pt idx="860">
                  <c:v>8月
2020</c:v>
                </c:pt>
                <c:pt idx="861">
                  <c:v>8月
2020</c:v>
                </c:pt>
                <c:pt idx="862">
                  <c:v>8月
2020</c:v>
                </c:pt>
                <c:pt idx="863">
                  <c:v>8月
2020</c:v>
                </c:pt>
                <c:pt idx="864">
                  <c:v>8月
2020</c:v>
                </c:pt>
                <c:pt idx="865">
                  <c:v>8月
2020</c:v>
                </c:pt>
                <c:pt idx="866">
                  <c:v>8月
2020</c:v>
                </c:pt>
                <c:pt idx="867">
                  <c:v>8月
2020</c:v>
                </c:pt>
                <c:pt idx="868">
                  <c:v>8月
2020</c:v>
                </c:pt>
                <c:pt idx="869">
                  <c:v>8月
2020</c:v>
                </c:pt>
                <c:pt idx="870">
                  <c:v>8月
2020</c:v>
                </c:pt>
                <c:pt idx="871">
                  <c:v>8月
2020</c:v>
                </c:pt>
                <c:pt idx="872">
                  <c:v>8月
2020</c:v>
                </c:pt>
                <c:pt idx="873">
                  <c:v>8月
2020</c:v>
                </c:pt>
                <c:pt idx="874">
                  <c:v>9月</c:v>
                </c:pt>
                <c:pt idx="875">
                  <c:v>9月</c:v>
                </c:pt>
                <c:pt idx="876">
                  <c:v>9月</c:v>
                </c:pt>
                <c:pt idx="877">
                  <c:v>9月</c:v>
                </c:pt>
                <c:pt idx="878">
                  <c:v>9月</c:v>
                </c:pt>
                <c:pt idx="879">
                  <c:v>9月</c:v>
                </c:pt>
                <c:pt idx="880">
                  <c:v>9月</c:v>
                </c:pt>
                <c:pt idx="881">
                  <c:v>9月</c:v>
                </c:pt>
                <c:pt idx="882">
                  <c:v>9月</c:v>
                </c:pt>
                <c:pt idx="883">
                  <c:v>9月</c:v>
                </c:pt>
                <c:pt idx="884">
                  <c:v>9月</c:v>
                </c:pt>
                <c:pt idx="885">
                  <c:v>9月</c:v>
                </c:pt>
                <c:pt idx="886">
                  <c:v>9月</c:v>
                </c:pt>
                <c:pt idx="887">
                  <c:v>9月</c:v>
                </c:pt>
                <c:pt idx="888">
                  <c:v>9月</c:v>
                </c:pt>
                <c:pt idx="889">
                  <c:v>9月</c:v>
                </c:pt>
                <c:pt idx="890">
                  <c:v>9月</c:v>
                </c:pt>
                <c:pt idx="891">
                  <c:v>9月</c:v>
                </c:pt>
                <c:pt idx="892">
                  <c:v>9月</c:v>
                </c:pt>
                <c:pt idx="893">
                  <c:v>9月</c:v>
                </c:pt>
                <c:pt idx="894">
                  <c:v>9月</c:v>
                </c:pt>
                <c:pt idx="895">
                  <c:v>9月</c:v>
                </c:pt>
                <c:pt idx="896">
                  <c:v>9月</c:v>
                </c:pt>
                <c:pt idx="897">
                  <c:v>9月</c:v>
                </c:pt>
                <c:pt idx="898">
                  <c:v>9月</c:v>
                </c:pt>
                <c:pt idx="899">
                  <c:v>9月</c:v>
                </c:pt>
                <c:pt idx="900">
                  <c:v>9月</c:v>
                </c:pt>
                <c:pt idx="901">
                  <c:v>9月</c:v>
                </c:pt>
                <c:pt idx="902">
                  <c:v>9月</c:v>
                </c:pt>
                <c:pt idx="903">
                  <c:v>9月</c:v>
                </c:pt>
                <c:pt idx="904">
                  <c:v>10月</c:v>
                </c:pt>
                <c:pt idx="905">
                  <c:v>10月</c:v>
                </c:pt>
                <c:pt idx="906">
                  <c:v>10月</c:v>
                </c:pt>
                <c:pt idx="907">
                  <c:v>10月</c:v>
                </c:pt>
                <c:pt idx="908">
                  <c:v>10月</c:v>
                </c:pt>
                <c:pt idx="909">
                  <c:v>10月</c:v>
                </c:pt>
                <c:pt idx="910">
                  <c:v>10月</c:v>
                </c:pt>
                <c:pt idx="911">
                  <c:v>10月</c:v>
                </c:pt>
                <c:pt idx="912">
                  <c:v>10月</c:v>
                </c:pt>
                <c:pt idx="913">
                  <c:v>10月</c:v>
                </c:pt>
                <c:pt idx="914">
                  <c:v>10月</c:v>
                </c:pt>
                <c:pt idx="915">
                  <c:v>10月</c:v>
                </c:pt>
                <c:pt idx="916">
                  <c:v>10月</c:v>
                </c:pt>
                <c:pt idx="917">
                  <c:v>10月</c:v>
                </c:pt>
                <c:pt idx="918">
                  <c:v>10月</c:v>
                </c:pt>
                <c:pt idx="919">
                  <c:v>10月</c:v>
                </c:pt>
                <c:pt idx="920">
                  <c:v>10月</c:v>
                </c:pt>
                <c:pt idx="921">
                  <c:v>10月</c:v>
                </c:pt>
                <c:pt idx="922">
                  <c:v>10月</c:v>
                </c:pt>
                <c:pt idx="923">
                  <c:v>10月</c:v>
                </c:pt>
                <c:pt idx="924">
                  <c:v>10月</c:v>
                </c:pt>
                <c:pt idx="925">
                  <c:v>10月</c:v>
                </c:pt>
                <c:pt idx="926">
                  <c:v>10月</c:v>
                </c:pt>
                <c:pt idx="927">
                  <c:v>10月</c:v>
                </c:pt>
                <c:pt idx="928">
                  <c:v>10月</c:v>
                </c:pt>
                <c:pt idx="929">
                  <c:v>10月</c:v>
                </c:pt>
                <c:pt idx="930">
                  <c:v>10月</c:v>
                </c:pt>
                <c:pt idx="931">
                  <c:v>10月</c:v>
                </c:pt>
                <c:pt idx="932">
                  <c:v>10月</c:v>
                </c:pt>
                <c:pt idx="933">
                  <c:v>10月</c:v>
                </c:pt>
                <c:pt idx="934">
                  <c:v>10月</c:v>
                </c:pt>
                <c:pt idx="935">
                  <c:v>11月</c:v>
                </c:pt>
                <c:pt idx="936">
                  <c:v>11月</c:v>
                </c:pt>
                <c:pt idx="937">
                  <c:v>11月</c:v>
                </c:pt>
                <c:pt idx="938">
                  <c:v>11月</c:v>
                </c:pt>
                <c:pt idx="939">
                  <c:v>11月</c:v>
                </c:pt>
                <c:pt idx="940">
                  <c:v>11月</c:v>
                </c:pt>
                <c:pt idx="941">
                  <c:v>11月</c:v>
                </c:pt>
                <c:pt idx="942">
                  <c:v>11月</c:v>
                </c:pt>
                <c:pt idx="943">
                  <c:v>11月</c:v>
                </c:pt>
                <c:pt idx="944">
                  <c:v>11月</c:v>
                </c:pt>
                <c:pt idx="945">
                  <c:v>11月</c:v>
                </c:pt>
                <c:pt idx="946">
                  <c:v>11月</c:v>
                </c:pt>
                <c:pt idx="947">
                  <c:v>11月</c:v>
                </c:pt>
                <c:pt idx="948">
                  <c:v>11月</c:v>
                </c:pt>
                <c:pt idx="949">
                  <c:v>11月</c:v>
                </c:pt>
                <c:pt idx="950">
                  <c:v>11月</c:v>
                </c:pt>
                <c:pt idx="951">
                  <c:v>11月</c:v>
                </c:pt>
                <c:pt idx="952">
                  <c:v>11月</c:v>
                </c:pt>
                <c:pt idx="953">
                  <c:v>11月</c:v>
                </c:pt>
                <c:pt idx="954">
                  <c:v>11月</c:v>
                </c:pt>
                <c:pt idx="955">
                  <c:v>11月</c:v>
                </c:pt>
                <c:pt idx="956">
                  <c:v>11月</c:v>
                </c:pt>
                <c:pt idx="957">
                  <c:v>11月</c:v>
                </c:pt>
                <c:pt idx="958">
                  <c:v>11月</c:v>
                </c:pt>
                <c:pt idx="959">
                  <c:v>11月</c:v>
                </c:pt>
                <c:pt idx="960">
                  <c:v>11月</c:v>
                </c:pt>
                <c:pt idx="961">
                  <c:v>11月</c:v>
                </c:pt>
                <c:pt idx="962">
                  <c:v>11月</c:v>
                </c:pt>
                <c:pt idx="963">
                  <c:v>11月</c:v>
                </c:pt>
                <c:pt idx="964">
                  <c:v>11月</c:v>
                </c:pt>
                <c:pt idx="965">
                  <c:v>12月</c:v>
                </c:pt>
                <c:pt idx="966">
                  <c:v>12月</c:v>
                </c:pt>
                <c:pt idx="967">
                  <c:v>12月</c:v>
                </c:pt>
                <c:pt idx="968">
                  <c:v>12月</c:v>
                </c:pt>
                <c:pt idx="969">
                  <c:v>12月</c:v>
                </c:pt>
                <c:pt idx="970">
                  <c:v>12月</c:v>
                </c:pt>
                <c:pt idx="971">
                  <c:v>12月</c:v>
                </c:pt>
                <c:pt idx="972">
                  <c:v>12月</c:v>
                </c:pt>
                <c:pt idx="973">
                  <c:v>12月</c:v>
                </c:pt>
                <c:pt idx="974">
                  <c:v>12月</c:v>
                </c:pt>
                <c:pt idx="975">
                  <c:v>12月</c:v>
                </c:pt>
                <c:pt idx="976">
                  <c:v>12月</c:v>
                </c:pt>
                <c:pt idx="977">
                  <c:v>12月</c:v>
                </c:pt>
                <c:pt idx="978">
                  <c:v>12月</c:v>
                </c:pt>
                <c:pt idx="979">
                  <c:v>12月</c:v>
                </c:pt>
                <c:pt idx="980">
                  <c:v>12月</c:v>
                </c:pt>
                <c:pt idx="981">
                  <c:v>12月</c:v>
                </c:pt>
                <c:pt idx="982">
                  <c:v>12月</c:v>
                </c:pt>
                <c:pt idx="983">
                  <c:v>12月</c:v>
                </c:pt>
                <c:pt idx="984">
                  <c:v>12月</c:v>
                </c:pt>
                <c:pt idx="985">
                  <c:v>12月</c:v>
                </c:pt>
                <c:pt idx="986">
                  <c:v>12月</c:v>
                </c:pt>
                <c:pt idx="987">
                  <c:v>12月</c:v>
                </c:pt>
                <c:pt idx="988">
                  <c:v>12月</c:v>
                </c:pt>
                <c:pt idx="989">
                  <c:v>12月</c:v>
                </c:pt>
                <c:pt idx="990">
                  <c:v>12月</c:v>
                </c:pt>
                <c:pt idx="991">
                  <c:v>12月</c:v>
                </c:pt>
                <c:pt idx="992">
                  <c:v>12月</c:v>
                </c:pt>
                <c:pt idx="993">
                  <c:v>12月</c:v>
                </c:pt>
                <c:pt idx="994">
                  <c:v>12月</c:v>
                </c:pt>
                <c:pt idx="995">
                  <c:v>12月</c:v>
                </c:pt>
                <c:pt idx="996">
                  <c:v>1月
2021</c:v>
                </c:pt>
                <c:pt idx="997">
                  <c:v>1月
2021</c:v>
                </c:pt>
                <c:pt idx="998">
                  <c:v>1月
2021</c:v>
                </c:pt>
                <c:pt idx="999">
                  <c:v>1月
2021</c:v>
                </c:pt>
                <c:pt idx="1000">
                  <c:v>1月
2021</c:v>
                </c:pt>
                <c:pt idx="1001">
                  <c:v>1月
2021</c:v>
                </c:pt>
                <c:pt idx="1002">
                  <c:v>1月
2021</c:v>
                </c:pt>
                <c:pt idx="1003">
                  <c:v>1月
2021</c:v>
                </c:pt>
                <c:pt idx="1004">
                  <c:v>1月
2021</c:v>
                </c:pt>
                <c:pt idx="1005">
                  <c:v>1月
2021</c:v>
                </c:pt>
                <c:pt idx="1006">
                  <c:v>1月
2021</c:v>
                </c:pt>
                <c:pt idx="1007">
                  <c:v>1月
2021</c:v>
                </c:pt>
                <c:pt idx="1008">
                  <c:v>1月
2021</c:v>
                </c:pt>
                <c:pt idx="1009">
                  <c:v>1月
2021</c:v>
                </c:pt>
                <c:pt idx="1010">
                  <c:v>1月
2021</c:v>
                </c:pt>
                <c:pt idx="1011">
                  <c:v>1月
2021</c:v>
                </c:pt>
                <c:pt idx="1012">
                  <c:v>1月
2021</c:v>
                </c:pt>
                <c:pt idx="1013">
                  <c:v>1月
2021</c:v>
                </c:pt>
                <c:pt idx="1014">
                  <c:v>1月
2021</c:v>
                </c:pt>
                <c:pt idx="1015">
                  <c:v>1月
2021</c:v>
                </c:pt>
                <c:pt idx="1016">
                  <c:v>1月
2021</c:v>
                </c:pt>
                <c:pt idx="1017">
                  <c:v>1月
2021</c:v>
                </c:pt>
                <c:pt idx="1018">
                  <c:v>1月
2021</c:v>
                </c:pt>
                <c:pt idx="1019">
                  <c:v>1月
2021</c:v>
                </c:pt>
                <c:pt idx="1020">
                  <c:v>1月
2021</c:v>
                </c:pt>
                <c:pt idx="1021">
                  <c:v>1月
2021</c:v>
                </c:pt>
                <c:pt idx="1022">
                  <c:v>1月
2021</c:v>
                </c:pt>
                <c:pt idx="1023">
                  <c:v>1月
2021</c:v>
                </c:pt>
                <c:pt idx="1024">
                  <c:v>1月
2021</c:v>
                </c:pt>
                <c:pt idx="1025">
                  <c:v>1月
2021</c:v>
                </c:pt>
                <c:pt idx="1026">
                  <c:v>1月
2021</c:v>
                </c:pt>
                <c:pt idx="1027">
                  <c:v>2月
2021</c:v>
                </c:pt>
                <c:pt idx="1028">
                  <c:v>2月
2021</c:v>
                </c:pt>
                <c:pt idx="1029">
                  <c:v>2月
2021</c:v>
                </c:pt>
                <c:pt idx="1030">
                  <c:v>2月
2021</c:v>
                </c:pt>
                <c:pt idx="1031">
                  <c:v>2月
2021</c:v>
                </c:pt>
                <c:pt idx="1032">
                  <c:v>2月
2021</c:v>
                </c:pt>
                <c:pt idx="1033">
                  <c:v>2月
2021</c:v>
                </c:pt>
                <c:pt idx="1034">
                  <c:v>2月
2021</c:v>
                </c:pt>
                <c:pt idx="1035">
                  <c:v>2月
2021</c:v>
                </c:pt>
                <c:pt idx="1036">
                  <c:v>2月
2021</c:v>
                </c:pt>
                <c:pt idx="1037">
                  <c:v>2月
2021</c:v>
                </c:pt>
                <c:pt idx="1038">
                  <c:v>2月
2021</c:v>
                </c:pt>
                <c:pt idx="1039">
                  <c:v>2月
2021</c:v>
                </c:pt>
                <c:pt idx="1040">
                  <c:v>2月
2021</c:v>
                </c:pt>
                <c:pt idx="1041">
                  <c:v>2月
2021</c:v>
                </c:pt>
                <c:pt idx="1042">
                  <c:v>2月
2021</c:v>
                </c:pt>
                <c:pt idx="1043">
                  <c:v>2月
2021</c:v>
                </c:pt>
                <c:pt idx="1044">
                  <c:v>2月
2021</c:v>
                </c:pt>
                <c:pt idx="1045">
                  <c:v>2月
2021</c:v>
                </c:pt>
                <c:pt idx="1046">
                  <c:v>2月
2021</c:v>
                </c:pt>
                <c:pt idx="1047">
                  <c:v>2月
2021</c:v>
                </c:pt>
                <c:pt idx="1048">
                  <c:v>2月
2021</c:v>
                </c:pt>
                <c:pt idx="1049">
                  <c:v>2月
2021</c:v>
                </c:pt>
                <c:pt idx="1050">
                  <c:v>2月
2021</c:v>
                </c:pt>
                <c:pt idx="1051">
                  <c:v>2月
2021</c:v>
                </c:pt>
                <c:pt idx="1052">
                  <c:v>2月
2021</c:v>
                </c:pt>
                <c:pt idx="1053">
                  <c:v>2月
2021</c:v>
                </c:pt>
                <c:pt idx="1054">
                  <c:v>2月
2021</c:v>
                </c:pt>
                <c:pt idx="1055">
                  <c:v>3月
2021</c:v>
                </c:pt>
                <c:pt idx="1056">
                  <c:v>3月
2021</c:v>
                </c:pt>
                <c:pt idx="1057">
                  <c:v>3月
2021</c:v>
                </c:pt>
                <c:pt idx="1058">
                  <c:v>3月
2021</c:v>
                </c:pt>
                <c:pt idx="1059">
                  <c:v>3月
2021</c:v>
                </c:pt>
                <c:pt idx="1060">
                  <c:v>3月
2021</c:v>
                </c:pt>
                <c:pt idx="1061">
                  <c:v>3月
2021</c:v>
                </c:pt>
                <c:pt idx="1062">
                  <c:v>3月
2021</c:v>
                </c:pt>
                <c:pt idx="1063">
                  <c:v>3月
2021</c:v>
                </c:pt>
                <c:pt idx="1064">
                  <c:v>3月
2021</c:v>
                </c:pt>
                <c:pt idx="1065">
                  <c:v>3月
2021</c:v>
                </c:pt>
                <c:pt idx="1066">
                  <c:v>3月
2021</c:v>
                </c:pt>
                <c:pt idx="1067">
                  <c:v>3月
2021</c:v>
                </c:pt>
                <c:pt idx="1068">
                  <c:v>3月
2021</c:v>
                </c:pt>
                <c:pt idx="1069">
                  <c:v>3月
2021</c:v>
                </c:pt>
                <c:pt idx="1070">
                  <c:v>3月
2021</c:v>
                </c:pt>
                <c:pt idx="1071">
                  <c:v>3月
2021</c:v>
                </c:pt>
                <c:pt idx="1072">
                  <c:v>3月
2021</c:v>
                </c:pt>
                <c:pt idx="1073">
                  <c:v>3月
2021</c:v>
                </c:pt>
                <c:pt idx="1074">
                  <c:v>3月
2021</c:v>
                </c:pt>
                <c:pt idx="1075">
                  <c:v>3月
2021</c:v>
                </c:pt>
                <c:pt idx="1076">
                  <c:v>3月
2021</c:v>
                </c:pt>
                <c:pt idx="1077">
                  <c:v>3月
2021</c:v>
                </c:pt>
                <c:pt idx="1078">
                  <c:v>3月
2021</c:v>
                </c:pt>
                <c:pt idx="1079">
                  <c:v>3月
2021</c:v>
                </c:pt>
                <c:pt idx="1080">
                  <c:v>3月
2021</c:v>
                </c:pt>
                <c:pt idx="1081">
                  <c:v>3月
2021</c:v>
                </c:pt>
                <c:pt idx="1082">
                  <c:v>3月
2021</c:v>
                </c:pt>
                <c:pt idx="1083">
                  <c:v>3月
2021</c:v>
                </c:pt>
                <c:pt idx="1084">
                  <c:v>3月
2021</c:v>
                </c:pt>
                <c:pt idx="1085">
                  <c:v>3月
2021</c:v>
                </c:pt>
                <c:pt idx="1086">
                  <c:v>4月
2021</c:v>
                </c:pt>
                <c:pt idx="1087">
                  <c:v>4月
2021</c:v>
                </c:pt>
                <c:pt idx="1088">
                  <c:v>4月
2021</c:v>
                </c:pt>
                <c:pt idx="1089">
                  <c:v>4月
2021</c:v>
                </c:pt>
                <c:pt idx="1090">
                  <c:v>4月
2021</c:v>
                </c:pt>
                <c:pt idx="1091">
                  <c:v>4月
2021</c:v>
                </c:pt>
                <c:pt idx="1092">
                  <c:v>4月
2021</c:v>
                </c:pt>
                <c:pt idx="1093">
                  <c:v>4月
2021</c:v>
                </c:pt>
                <c:pt idx="1094">
                  <c:v>4月
2021</c:v>
                </c:pt>
                <c:pt idx="1095">
                  <c:v>4月
2021</c:v>
                </c:pt>
                <c:pt idx="1096">
                  <c:v>4月
2021</c:v>
                </c:pt>
                <c:pt idx="1097">
                  <c:v>4月
2021</c:v>
                </c:pt>
                <c:pt idx="1098">
                  <c:v>4月
2021</c:v>
                </c:pt>
                <c:pt idx="1099">
                  <c:v>4月
2021</c:v>
                </c:pt>
                <c:pt idx="1100">
                  <c:v>4月
2021</c:v>
                </c:pt>
                <c:pt idx="1101">
                  <c:v>4月
2021</c:v>
                </c:pt>
                <c:pt idx="1102">
                  <c:v>4月
2021</c:v>
                </c:pt>
                <c:pt idx="1103">
                  <c:v>4月
2021</c:v>
                </c:pt>
                <c:pt idx="1104">
                  <c:v>4月
2021</c:v>
                </c:pt>
                <c:pt idx="1105">
                  <c:v>4月
2021</c:v>
                </c:pt>
                <c:pt idx="1106">
                  <c:v>4月
2021</c:v>
                </c:pt>
                <c:pt idx="1107">
                  <c:v>4月
2021</c:v>
                </c:pt>
                <c:pt idx="1108">
                  <c:v>4月
2021</c:v>
                </c:pt>
                <c:pt idx="1109">
                  <c:v>4月
2021</c:v>
                </c:pt>
                <c:pt idx="1110">
                  <c:v>4月
2021</c:v>
                </c:pt>
                <c:pt idx="1111">
                  <c:v>4月
2021</c:v>
                </c:pt>
                <c:pt idx="1112">
                  <c:v>4月
2021</c:v>
                </c:pt>
                <c:pt idx="1113">
                  <c:v>4月
2021</c:v>
                </c:pt>
                <c:pt idx="1114">
                  <c:v>4月
2021</c:v>
                </c:pt>
                <c:pt idx="1115">
                  <c:v>4月
2021</c:v>
                </c:pt>
                <c:pt idx="1116">
                  <c:v>5月
2021</c:v>
                </c:pt>
                <c:pt idx="1117">
                  <c:v>5月
2021</c:v>
                </c:pt>
                <c:pt idx="1118">
                  <c:v>5月
2021</c:v>
                </c:pt>
                <c:pt idx="1119">
                  <c:v>5月
2021</c:v>
                </c:pt>
                <c:pt idx="1120">
                  <c:v>5月
2021</c:v>
                </c:pt>
                <c:pt idx="1121">
                  <c:v>5月
2021</c:v>
                </c:pt>
                <c:pt idx="1122">
                  <c:v>5月
2021</c:v>
                </c:pt>
                <c:pt idx="1123">
                  <c:v>5月
2021</c:v>
                </c:pt>
                <c:pt idx="1124">
                  <c:v>5月
2021</c:v>
                </c:pt>
                <c:pt idx="1125">
                  <c:v>5月
2021</c:v>
                </c:pt>
                <c:pt idx="1126">
                  <c:v>5月
2021</c:v>
                </c:pt>
                <c:pt idx="1127">
                  <c:v>5月
2021</c:v>
                </c:pt>
                <c:pt idx="1128">
                  <c:v>5月
2021</c:v>
                </c:pt>
                <c:pt idx="1129">
                  <c:v>5月
2021</c:v>
                </c:pt>
                <c:pt idx="1130">
                  <c:v>5月
2021</c:v>
                </c:pt>
                <c:pt idx="1131">
                  <c:v>5月
2021</c:v>
                </c:pt>
                <c:pt idx="1132">
                  <c:v>5月
2021</c:v>
                </c:pt>
                <c:pt idx="1133">
                  <c:v>5月
2021</c:v>
                </c:pt>
                <c:pt idx="1134">
                  <c:v>5月
2021</c:v>
                </c:pt>
                <c:pt idx="1135">
                  <c:v>5月
2021</c:v>
                </c:pt>
                <c:pt idx="1136">
                  <c:v>5月
2021</c:v>
                </c:pt>
                <c:pt idx="1137">
                  <c:v>5月
2021</c:v>
                </c:pt>
                <c:pt idx="1138">
                  <c:v>5月
2021</c:v>
                </c:pt>
                <c:pt idx="1139">
                  <c:v>5月
2021</c:v>
                </c:pt>
                <c:pt idx="1140">
                  <c:v>5月
2021</c:v>
                </c:pt>
                <c:pt idx="1141">
                  <c:v>5月
2021</c:v>
                </c:pt>
                <c:pt idx="1142">
                  <c:v>5月
2021</c:v>
                </c:pt>
                <c:pt idx="1143">
                  <c:v>5月
2021</c:v>
                </c:pt>
                <c:pt idx="1144">
                  <c:v>5月
2021</c:v>
                </c:pt>
                <c:pt idx="1145">
                  <c:v>5月
2021</c:v>
                </c:pt>
                <c:pt idx="1146">
                  <c:v>5月
2021</c:v>
                </c:pt>
                <c:pt idx="1147">
                  <c:v>6月
2021</c:v>
                </c:pt>
                <c:pt idx="1148">
                  <c:v>6月
2021</c:v>
                </c:pt>
                <c:pt idx="1149">
                  <c:v>6月
2021</c:v>
                </c:pt>
                <c:pt idx="1150">
                  <c:v>6月
2021</c:v>
                </c:pt>
                <c:pt idx="1151">
                  <c:v>6月
2021</c:v>
                </c:pt>
                <c:pt idx="1152">
                  <c:v>6月
2021</c:v>
                </c:pt>
                <c:pt idx="1153">
                  <c:v>6月
2021</c:v>
                </c:pt>
                <c:pt idx="1154">
                  <c:v>6月
2021</c:v>
                </c:pt>
                <c:pt idx="1155">
                  <c:v>6月
2021</c:v>
                </c:pt>
                <c:pt idx="1156">
                  <c:v>6月
2021</c:v>
                </c:pt>
                <c:pt idx="1157">
                  <c:v>6月
2021</c:v>
                </c:pt>
                <c:pt idx="1158">
                  <c:v>6月
2021</c:v>
                </c:pt>
                <c:pt idx="1159">
                  <c:v>6月
2021</c:v>
                </c:pt>
                <c:pt idx="1160">
                  <c:v>6月
2021</c:v>
                </c:pt>
                <c:pt idx="1161">
                  <c:v>6月
2021</c:v>
                </c:pt>
                <c:pt idx="1162">
                  <c:v>6月
2021</c:v>
                </c:pt>
                <c:pt idx="1163">
                  <c:v>6月
2021</c:v>
                </c:pt>
                <c:pt idx="1164">
                  <c:v>6月
2021</c:v>
                </c:pt>
                <c:pt idx="1165">
                  <c:v>6月
2021</c:v>
                </c:pt>
                <c:pt idx="1166">
                  <c:v>6月
2021</c:v>
                </c:pt>
                <c:pt idx="1167">
                  <c:v>6月
2021</c:v>
                </c:pt>
                <c:pt idx="1168">
                  <c:v>6月
2021</c:v>
                </c:pt>
                <c:pt idx="1169">
                  <c:v>6月
2021</c:v>
                </c:pt>
                <c:pt idx="1170">
                  <c:v>6月
2021</c:v>
                </c:pt>
                <c:pt idx="1171">
                  <c:v>6月
2021</c:v>
                </c:pt>
                <c:pt idx="1172">
                  <c:v>6月
2021</c:v>
                </c:pt>
                <c:pt idx="1173">
                  <c:v>6月
2021</c:v>
                </c:pt>
                <c:pt idx="1174">
                  <c:v>6月
2021</c:v>
                </c:pt>
                <c:pt idx="1175">
                  <c:v>6月
2021</c:v>
                </c:pt>
                <c:pt idx="1176">
                  <c:v>6月
2021</c:v>
                </c:pt>
                <c:pt idx="1177">
                  <c:v>7月
</c:v>
                </c:pt>
                <c:pt idx="1178">
                  <c:v>7月
</c:v>
                </c:pt>
                <c:pt idx="1179">
                  <c:v>7月
</c:v>
                </c:pt>
                <c:pt idx="1180">
                  <c:v>7月
</c:v>
                </c:pt>
                <c:pt idx="1181">
                  <c:v>7月
</c:v>
                </c:pt>
                <c:pt idx="1182">
                  <c:v>7月
</c:v>
                </c:pt>
                <c:pt idx="1183">
                  <c:v>7月
</c:v>
                </c:pt>
                <c:pt idx="1184">
                  <c:v>7月
</c:v>
                </c:pt>
                <c:pt idx="1185">
                  <c:v>7月
</c:v>
                </c:pt>
                <c:pt idx="1186">
                  <c:v>7月
</c:v>
                </c:pt>
                <c:pt idx="1187">
                  <c:v>7月
</c:v>
                </c:pt>
                <c:pt idx="1188">
                  <c:v>7月
</c:v>
                </c:pt>
                <c:pt idx="1189">
                  <c:v>7月
</c:v>
                </c:pt>
                <c:pt idx="1190">
                  <c:v>7月
</c:v>
                </c:pt>
                <c:pt idx="1191">
                  <c:v>7月
</c:v>
                </c:pt>
                <c:pt idx="1192">
                  <c:v>7月
</c:v>
                </c:pt>
                <c:pt idx="1193">
                  <c:v>7月
</c:v>
                </c:pt>
                <c:pt idx="1194">
                  <c:v>7月
</c:v>
                </c:pt>
                <c:pt idx="1195">
                  <c:v>7月
</c:v>
                </c:pt>
                <c:pt idx="1196">
                  <c:v>7月
</c:v>
                </c:pt>
                <c:pt idx="1197">
                  <c:v>7月
</c:v>
                </c:pt>
                <c:pt idx="1198">
                  <c:v>7月
</c:v>
                </c:pt>
                <c:pt idx="1199">
                  <c:v>7月
</c:v>
                </c:pt>
                <c:pt idx="1200">
                  <c:v>7月
</c:v>
                </c:pt>
                <c:pt idx="1201">
                  <c:v>7月
</c:v>
                </c:pt>
                <c:pt idx="1202">
                  <c:v>7月
</c:v>
                </c:pt>
                <c:pt idx="1203">
                  <c:v>7月
</c:v>
                </c:pt>
                <c:pt idx="1204">
                  <c:v>7月
</c:v>
                </c:pt>
                <c:pt idx="1205">
                  <c:v>7月
</c:v>
                </c:pt>
                <c:pt idx="1206">
                  <c:v>7月
</c:v>
                </c:pt>
                <c:pt idx="1207">
                  <c:v>7月
</c:v>
                </c:pt>
                <c:pt idx="1208">
                  <c:v>8月
2021</c:v>
                </c:pt>
                <c:pt idx="1209">
                  <c:v>8月
2021</c:v>
                </c:pt>
                <c:pt idx="1210">
                  <c:v>8月
2021</c:v>
                </c:pt>
                <c:pt idx="1211">
                  <c:v>8月
2021</c:v>
                </c:pt>
                <c:pt idx="1212">
                  <c:v>8月
2021</c:v>
                </c:pt>
                <c:pt idx="1213">
                  <c:v>8月
2021</c:v>
                </c:pt>
                <c:pt idx="1214">
                  <c:v>8月
2021</c:v>
                </c:pt>
                <c:pt idx="1215">
                  <c:v>8月
2021</c:v>
                </c:pt>
                <c:pt idx="1216">
                  <c:v>8月
2021</c:v>
                </c:pt>
                <c:pt idx="1217">
                  <c:v>8月
2021</c:v>
                </c:pt>
                <c:pt idx="1218">
                  <c:v>8月
2021</c:v>
                </c:pt>
                <c:pt idx="1219">
                  <c:v>8月
2021</c:v>
                </c:pt>
                <c:pt idx="1220">
                  <c:v>8月
2021</c:v>
                </c:pt>
                <c:pt idx="1221">
                  <c:v>8月
2021</c:v>
                </c:pt>
                <c:pt idx="1222">
                  <c:v>8月
2021</c:v>
                </c:pt>
                <c:pt idx="1223">
                  <c:v>8月
2021</c:v>
                </c:pt>
                <c:pt idx="1224">
                  <c:v>8月
2021</c:v>
                </c:pt>
                <c:pt idx="1225">
                  <c:v>8月
2021</c:v>
                </c:pt>
                <c:pt idx="1226">
                  <c:v>8月
2021</c:v>
                </c:pt>
                <c:pt idx="1227">
                  <c:v>8月
2021</c:v>
                </c:pt>
                <c:pt idx="1228">
                  <c:v>8月
2021</c:v>
                </c:pt>
                <c:pt idx="1229">
                  <c:v>8月
2021</c:v>
                </c:pt>
                <c:pt idx="1230">
                  <c:v>8月
2021</c:v>
                </c:pt>
                <c:pt idx="1231">
                  <c:v>8月
2021</c:v>
                </c:pt>
                <c:pt idx="1232">
                  <c:v>8月
2021</c:v>
                </c:pt>
                <c:pt idx="1233">
                  <c:v>8月
2021</c:v>
                </c:pt>
                <c:pt idx="1234">
                  <c:v>8月
2021</c:v>
                </c:pt>
                <c:pt idx="1235">
                  <c:v>8月
2021</c:v>
                </c:pt>
                <c:pt idx="1236">
                  <c:v>8月
2021</c:v>
                </c:pt>
                <c:pt idx="1237">
                  <c:v>8月
2021</c:v>
                </c:pt>
                <c:pt idx="1238">
                  <c:v>8月
2021</c:v>
                </c:pt>
                <c:pt idx="1239">
                  <c:v>9月
2021</c:v>
                </c:pt>
                <c:pt idx="1240">
                  <c:v>9月
2021</c:v>
                </c:pt>
                <c:pt idx="1241">
                  <c:v>9月
2021</c:v>
                </c:pt>
                <c:pt idx="1242">
                  <c:v>9月
2021</c:v>
                </c:pt>
                <c:pt idx="1243">
                  <c:v>9月
2021</c:v>
                </c:pt>
                <c:pt idx="1244">
                  <c:v>9月
2021</c:v>
                </c:pt>
                <c:pt idx="1245">
                  <c:v>9月
2021</c:v>
                </c:pt>
                <c:pt idx="1246">
                  <c:v>9月
2021</c:v>
                </c:pt>
                <c:pt idx="1247">
                  <c:v>9月
2021</c:v>
                </c:pt>
                <c:pt idx="1248">
                  <c:v>9月
2021</c:v>
                </c:pt>
                <c:pt idx="1249">
                  <c:v>9月
2021</c:v>
                </c:pt>
                <c:pt idx="1250">
                  <c:v>9月
2021</c:v>
                </c:pt>
                <c:pt idx="1251">
                  <c:v>9月
2021</c:v>
                </c:pt>
                <c:pt idx="1252">
                  <c:v>9月
2021</c:v>
                </c:pt>
                <c:pt idx="1253">
                  <c:v>9月
2021</c:v>
                </c:pt>
                <c:pt idx="1254">
                  <c:v>9月
2021</c:v>
                </c:pt>
                <c:pt idx="1255">
                  <c:v>9月
2021</c:v>
                </c:pt>
                <c:pt idx="1256">
                  <c:v>9月
2021</c:v>
                </c:pt>
                <c:pt idx="1257">
                  <c:v>9月
2021</c:v>
                </c:pt>
                <c:pt idx="1258">
                  <c:v>9月
2021</c:v>
                </c:pt>
                <c:pt idx="1259">
                  <c:v>9月
2021</c:v>
                </c:pt>
                <c:pt idx="1260">
                  <c:v>9月
2021</c:v>
                </c:pt>
                <c:pt idx="1261">
                  <c:v>9月
2021</c:v>
                </c:pt>
                <c:pt idx="1262">
                  <c:v>9月
2021</c:v>
                </c:pt>
                <c:pt idx="1263">
                  <c:v>9月
2021</c:v>
                </c:pt>
                <c:pt idx="1264">
                  <c:v>9月
2021</c:v>
                </c:pt>
                <c:pt idx="1265">
                  <c:v>9月
2021</c:v>
                </c:pt>
                <c:pt idx="1266">
                  <c:v>9月
2021</c:v>
                </c:pt>
                <c:pt idx="1267">
                  <c:v>9月
2021</c:v>
                </c:pt>
                <c:pt idx="1268">
                  <c:v>9月
2021</c:v>
                </c:pt>
                <c:pt idx="1269">
                  <c:v>10月
2021</c:v>
                </c:pt>
                <c:pt idx="1270">
                  <c:v>10月
2021</c:v>
                </c:pt>
                <c:pt idx="1271">
                  <c:v>10月
2021</c:v>
                </c:pt>
                <c:pt idx="1272">
                  <c:v>10月
2021</c:v>
                </c:pt>
                <c:pt idx="1273">
                  <c:v>10月
2021</c:v>
                </c:pt>
                <c:pt idx="1274">
                  <c:v>10月
2021</c:v>
                </c:pt>
                <c:pt idx="1275">
                  <c:v>10月
2021</c:v>
                </c:pt>
                <c:pt idx="1276">
                  <c:v>10月
2021</c:v>
                </c:pt>
                <c:pt idx="1277">
                  <c:v>10月
2021</c:v>
                </c:pt>
                <c:pt idx="1278">
                  <c:v>10月
2021</c:v>
                </c:pt>
                <c:pt idx="1279">
                  <c:v>10月
2021</c:v>
                </c:pt>
                <c:pt idx="1280">
                  <c:v>10月
2021</c:v>
                </c:pt>
                <c:pt idx="1281">
                  <c:v>10月
2021</c:v>
                </c:pt>
                <c:pt idx="1282">
                  <c:v>10月
2021</c:v>
                </c:pt>
                <c:pt idx="1283">
                  <c:v>10月
2021</c:v>
                </c:pt>
                <c:pt idx="1284">
                  <c:v>10月
2021</c:v>
                </c:pt>
                <c:pt idx="1285">
                  <c:v>10月
2021</c:v>
                </c:pt>
                <c:pt idx="1286">
                  <c:v>10月
2021</c:v>
                </c:pt>
                <c:pt idx="1287">
                  <c:v>10月
2021</c:v>
                </c:pt>
                <c:pt idx="1288">
                  <c:v>10月
2021</c:v>
                </c:pt>
                <c:pt idx="1289">
                  <c:v>10月
2021</c:v>
                </c:pt>
                <c:pt idx="1290">
                  <c:v>10月
2021</c:v>
                </c:pt>
                <c:pt idx="1291">
                  <c:v>10月
2021</c:v>
                </c:pt>
                <c:pt idx="1292">
                  <c:v>10月
2021</c:v>
                </c:pt>
                <c:pt idx="1293">
                  <c:v>10月
2021</c:v>
                </c:pt>
                <c:pt idx="1294">
                  <c:v>10月
2021</c:v>
                </c:pt>
                <c:pt idx="1295">
                  <c:v>10月
2021</c:v>
                </c:pt>
                <c:pt idx="1296">
                  <c:v>10月
2021</c:v>
                </c:pt>
                <c:pt idx="1297">
                  <c:v>10月
2021</c:v>
                </c:pt>
                <c:pt idx="1298">
                  <c:v>10月
2021</c:v>
                </c:pt>
                <c:pt idx="1299">
                  <c:v>10月
2021</c:v>
                </c:pt>
                <c:pt idx="1300">
                  <c:v>11月
2021</c:v>
                </c:pt>
                <c:pt idx="1301">
                  <c:v>11月
2021</c:v>
                </c:pt>
                <c:pt idx="1302">
                  <c:v>11月
2021</c:v>
                </c:pt>
                <c:pt idx="1303">
                  <c:v>11月
2021</c:v>
                </c:pt>
                <c:pt idx="1304">
                  <c:v>11月
2021</c:v>
                </c:pt>
                <c:pt idx="1305">
                  <c:v>11月
2021</c:v>
                </c:pt>
                <c:pt idx="1306">
                  <c:v>11月
2021</c:v>
                </c:pt>
                <c:pt idx="1307">
                  <c:v>11月
2021</c:v>
                </c:pt>
                <c:pt idx="1308">
                  <c:v>11月
2021</c:v>
                </c:pt>
                <c:pt idx="1309">
                  <c:v>11月
2021</c:v>
                </c:pt>
                <c:pt idx="1310">
                  <c:v>11月
2021</c:v>
                </c:pt>
                <c:pt idx="1311">
                  <c:v>11月
2021</c:v>
                </c:pt>
                <c:pt idx="1312">
                  <c:v>11月
2021</c:v>
                </c:pt>
                <c:pt idx="1313">
                  <c:v>11月
2021</c:v>
                </c:pt>
                <c:pt idx="1314">
                  <c:v>11月
2021</c:v>
                </c:pt>
                <c:pt idx="1315">
                  <c:v>11月
2021</c:v>
                </c:pt>
                <c:pt idx="1316">
                  <c:v>11月
2021</c:v>
                </c:pt>
                <c:pt idx="1317">
                  <c:v>11月
2021</c:v>
                </c:pt>
                <c:pt idx="1318">
                  <c:v>11月
2021</c:v>
                </c:pt>
                <c:pt idx="1319">
                  <c:v>11月
2021</c:v>
                </c:pt>
                <c:pt idx="1320">
                  <c:v>11月
2021</c:v>
                </c:pt>
                <c:pt idx="1321">
                  <c:v>11月
2021</c:v>
                </c:pt>
                <c:pt idx="1322">
                  <c:v>11月
2021</c:v>
                </c:pt>
                <c:pt idx="1323">
                  <c:v>11月
2021</c:v>
                </c:pt>
                <c:pt idx="1324">
                  <c:v>11月
2021</c:v>
                </c:pt>
                <c:pt idx="1325">
                  <c:v>11月
2021</c:v>
                </c:pt>
                <c:pt idx="1326">
                  <c:v>11月
2021</c:v>
                </c:pt>
                <c:pt idx="1327">
                  <c:v>11月
2021</c:v>
                </c:pt>
                <c:pt idx="1328">
                  <c:v>11月
2021</c:v>
                </c:pt>
                <c:pt idx="1329">
                  <c:v>11月
2021</c:v>
                </c:pt>
                <c:pt idx="1330">
                  <c:v>12月
2021</c:v>
                </c:pt>
                <c:pt idx="1331">
                  <c:v>12月
2021</c:v>
                </c:pt>
                <c:pt idx="1332">
                  <c:v>12月
2021</c:v>
                </c:pt>
                <c:pt idx="1333">
                  <c:v>12月
2021</c:v>
                </c:pt>
                <c:pt idx="1334">
                  <c:v>12月
2021</c:v>
                </c:pt>
                <c:pt idx="1335">
                  <c:v>12月
2021</c:v>
                </c:pt>
                <c:pt idx="1336">
                  <c:v>12月
2021</c:v>
                </c:pt>
                <c:pt idx="1337">
                  <c:v>12月
2021</c:v>
                </c:pt>
                <c:pt idx="1338">
                  <c:v>12月
2021</c:v>
                </c:pt>
                <c:pt idx="1339">
                  <c:v>12月
2021</c:v>
                </c:pt>
                <c:pt idx="1340">
                  <c:v>12月
2021</c:v>
                </c:pt>
                <c:pt idx="1341">
                  <c:v>12月
2021</c:v>
                </c:pt>
                <c:pt idx="1342">
                  <c:v>12月
2021</c:v>
                </c:pt>
                <c:pt idx="1343">
                  <c:v>12月
2021</c:v>
                </c:pt>
                <c:pt idx="1344">
                  <c:v>12月
2021</c:v>
                </c:pt>
                <c:pt idx="1345">
                  <c:v>12月
2021</c:v>
                </c:pt>
                <c:pt idx="1346">
                  <c:v>12月
2021</c:v>
                </c:pt>
                <c:pt idx="1347">
                  <c:v>12月
2021</c:v>
                </c:pt>
                <c:pt idx="1348">
                  <c:v>12月
2021</c:v>
                </c:pt>
                <c:pt idx="1349">
                  <c:v>12月
2021</c:v>
                </c:pt>
                <c:pt idx="1350">
                  <c:v>12月
2021</c:v>
                </c:pt>
                <c:pt idx="1351">
                  <c:v>12月
2021</c:v>
                </c:pt>
                <c:pt idx="1352">
                  <c:v>12月
2021</c:v>
                </c:pt>
                <c:pt idx="1353">
                  <c:v>12月
2021</c:v>
                </c:pt>
                <c:pt idx="1354">
                  <c:v>12月
2021</c:v>
                </c:pt>
                <c:pt idx="1355">
                  <c:v>12月
2021</c:v>
                </c:pt>
                <c:pt idx="1356">
                  <c:v>12月
2021</c:v>
                </c:pt>
                <c:pt idx="1357">
                  <c:v>12月
2021</c:v>
                </c:pt>
                <c:pt idx="1358">
                  <c:v>12月
2021</c:v>
                </c:pt>
                <c:pt idx="1359">
                  <c:v>12月
2021</c:v>
                </c:pt>
                <c:pt idx="1360">
                  <c:v>12月
2021</c:v>
                </c:pt>
                <c:pt idx="1361">
                  <c:v>1月
2022</c:v>
                </c:pt>
                <c:pt idx="1362">
                  <c:v>1月
2022</c:v>
                </c:pt>
                <c:pt idx="1363">
                  <c:v>1月
2022</c:v>
                </c:pt>
                <c:pt idx="1364">
                  <c:v>1月
2022</c:v>
                </c:pt>
                <c:pt idx="1365">
                  <c:v>1月
2022</c:v>
                </c:pt>
                <c:pt idx="1366">
                  <c:v>1月
2022</c:v>
                </c:pt>
                <c:pt idx="1367">
                  <c:v>1月
2022</c:v>
                </c:pt>
                <c:pt idx="1368">
                  <c:v>1月
2022</c:v>
                </c:pt>
                <c:pt idx="1369">
                  <c:v>1月
2022</c:v>
                </c:pt>
                <c:pt idx="1370">
                  <c:v>1月
2022</c:v>
                </c:pt>
                <c:pt idx="1371">
                  <c:v>1月
2022</c:v>
                </c:pt>
                <c:pt idx="1372">
                  <c:v>1月
2022</c:v>
                </c:pt>
                <c:pt idx="1373">
                  <c:v>1月
2022</c:v>
                </c:pt>
                <c:pt idx="1374">
                  <c:v>1月
2022</c:v>
                </c:pt>
                <c:pt idx="1375">
                  <c:v>1月
2022</c:v>
                </c:pt>
                <c:pt idx="1376">
                  <c:v>1月
2022</c:v>
                </c:pt>
                <c:pt idx="1377">
                  <c:v>1月
2022</c:v>
                </c:pt>
                <c:pt idx="1378">
                  <c:v>1月
2022</c:v>
                </c:pt>
                <c:pt idx="1379">
                  <c:v>1月
2022</c:v>
                </c:pt>
                <c:pt idx="1380">
                  <c:v>1月
2022</c:v>
                </c:pt>
                <c:pt idx="1381">
                  <c:v>1月
2022</c:v>
                </c:pt>
                <c:pt idx="1382">
                  <c:v>1月
2022</c:v>
                </c:pt>
                <c:pt idx="1383">
                  <c:v>1月
2022</c:v>
                </c:pt>
                <c:pt idx="1384">
                  <c:v>1月
2022</c:v>
                </c:pt>
                <c:pt idx="1385">
                  <c:v>1月
2022</c:v>
                </c:pt>
                <c:pt idx="1386">
                  <c:v>1月
2022</c:v>
                </c:pt>
                <c:pt idx="1387">
                  <c:v>1月
2022</c:v>
                </c:pt>
                <c:pt idx="1388">
                  <c:v>1月
2022</c:v>
                </c:pt>
                <c:pt idx="1389">
                  <c:v>1月
2022</c:v>
                </c:pt>
                <c:pt idx="1390">
                  <c:v>1月
2022</c:v>
                </c:pt>
                <c:pt idx="1391">
                  <c:v>1月
2022</c:v>
                </c:pt>
                <c:pt idx="1392">
                  <c:v>2月
2022</c:v>
                </c:pt>
                <c:pt idx="1393">
                  <c:v>2月
2022</c:v>
                </c:pt>
                <c:pt idx="1394">
                  <c:v>2月
2022</c:v>
                </c:pt>
                <c:pt idx="1395">
                  <c:v>2月
2022</c:v>
                </c:pt>
                <c:pt idx="1396">
                  <c:v>2月
2022</c:v>
                </c:pt>
                <c:pt idx="1397">
                  <c:v>2月
2022</c:v>
                </c:pt>
                <c:pt idx="1398">
                  <c:v>2月
2022</c:v>
                </c:pt>
                <c:pt idx="1399">
                  <c:v>2月
2022</c:v>
                </c:pt>
                <c:pt idx="1400">
                  <c:v>2月
2022</c:v>
                </c:pt>
                <c:pt idx="1401">
                  <c:v>2月
2022</c:v>
                </c:pt>
                <c:pt idx="1402">
                  <c:v>2月
2022</c:v>
                </c:pt>
                <c:pt idx="1403">
                  <c:v>2月
2022</c:v>
                </c:pt>
                <c:pt idx="1404">
                  <c:v>2月
2022</c:v>
                </c:pt>
                <c:pt idx="1405">
                  <c:v>2月
2022</c:v>
                </c:pt>
                <c:pt idx="1406">
                  <c:v>2月
2022</c:v>
                </c:pt>
                <c:pt idx="1407">
                  <c:v>2月
2022</c:v>
                </c:pt>
                <c:pt idx="1408">
                  <c:v>2月
2022</c:v>
                </c:pt>
                <c:pt idx="1409">
                  <c:v>2月
2022</c:v>
                </c:pt>
                <c:pt idx="1410">
                  <c:v>2月
2022</c:v>
                </c:pt>
                <c:pt idx="1411">
                  <c:v>2月
2022</c:v>
                </c:pt>
                <c:pt idx="1412">
                  <c:v>2月
2022</c:v>
                </c:pt>
                <c:pt idx="1413">
                  <c:v>2月
2022</c:v>
                </c:pt>
                <c:pt idx="1414">
                  <c:v>2月
2022</c:v>
                </c:pt>
                <c:pt idx="1415">
                  <c:v>2月
2022</c:v>
                </c:pt>
                <c:pt idx="1416">
                  <c:v>2月
2022</c:v>
                </c:pt>
                <c:pt idx="1417">
                  <c:v>2月
2022</c:v>
                </c:pt>
                <c:pt idx="1418">
                  <c:v>2月
2022</c:v>
                </c:pt>
                <c:pt idx="1419">
                  <c:v>2月
2022</c:v>
                </c:pt>
                <c:pt idx="1420">
                  <c:v>3月
2022</c:v>
                </c:pt>
                <c:pt idx="1421">
                  <c:v>3月
2022</c:v>
                </c:pt>
                <c:pt idx="1422">
                  <c:v>3月
2022</c:v>
                </c:pt>
                <c:pt idx="1423">
                  <c:v>3月
2022</c:v>
                </c:pt>
                <c:pt idx="1424">
                  <c:v>3月
2022</c:v>
                </c:pt>
                <c:pt idx="1425">
                  <c:v>3月
2022</c:v>
                </c:pt>
                <c:pt idx="1426">
                  <c:v>3月
2022</c:v>
                </c:pt>
                <c:pt idx="1427">
                  <c:v>3月
2022</c:v>
                </c:pt>
                <c:pt idx="1428">
                  <c:v>3月
2022</c:v>
                </c:pt>
                <c:pt idx="1429">
                  <c:v>3月
2022</c:v>
                </c:pt>
                <c:pt idx="1430">
                  <c:v>3月
2022</c:v>
                </c:pt>
                <c:pt idx="1431">
                  <c:v>3月
2022</c:v>
                </c:pt>
                <c:pt idx="1432">
                  <c:v>3月
2022</c:v>
                </c:pt>
                <c:pt idx="1433">
                  <c:v>3月
2022</c:v>
                </c:pt>
                <c:pt idx="1434">
                  <c:v>3月
2022</c:v>
                </c:pt>
                <c:pt idx="1435">
                  <c:v>3月
2022</c:v>
                </c:pt>
                <c:pt idx="1436">
                  <c:v>3月
2022</c:v>
                </c:pt>
                <c:pt idx="1437">
                  <c:v>3月
2022</c:v>
                </c:pt>
                <c:pt idx="1438">
                  <c:v>3月
2022</c:v>
                </c:pt>
                <c:pt idx="1439">
                  <c:v>3月
2022</c:v>
                </c:pt>
                <c:pt idx="1440">
                  <c:v>3月
2022</c:v>
                </c:pt>
                <c:pt idx="1441">
                  <c:v>3月
2022</c:v>
                </c:pt>
                <c:pt idx="1442">
                  <c:v>3月
2022</c:v>
                </c:pt>
                <c:pt idx="1443">
                  <c:v>3月
2022</c:v>
                </c:pt>
                <c:pt idx="1444">
                  <c:v>3月
2022</c:v>
                </c:pt>
                <c:pt idx="1445">
                  <c:v>3月
2022</c:v>
                </c:pt>
                <c:pt idx="1446">
                  <c:v>3月
2022</c:v>
                </c:pt>
                <c:pt idx="1447">
                  <c:v>3月
2022</c:v>
                </c:pt>
                <c:pt idx="1448">
                  <c:v>3月
2022</c:v>
                </c:pt>
                <c:pt idx="1449">
                  <c:v>3月
2022</c:v>
                </c:pt>
                <c:pt idx="1450">
                  <c:v>3月
2022</c:v>
                </c:pt>
                <c:pt idx="1451">
                  <c:v>4月
2022</c:v>
                </c:pt>
                <c:pt idx="1452">
                  <c:v>4月
2022</c:v>
                </c:pt>
                <c:pt idx="1453">
                  <c:v>4月
2022</c:v>
                </c:pt>
                <c:pt idx="1454">
                  <c:v>4月
2022</c:v>
                </c:pt>
                <c:pt idx="1455">
                  <c:v>4月
2022</c:v>
                </c:pt>
                <c:pt idx="1456">
                  <c:v>4月
2022</c:v>
                </c:pt>
                <c:pt idx="1457">
                  <c:v>4月
2022</c:v>
                </c:pt>
                <c:pt idx="1458">
                  <c:v>4月
2022</c:v>
                </c:pt>
                <c:pt idx="1459">
                  <c:v>4月
2022</c:v>
                </c:pt>
                <c:pt idx="1460">
                  <c:v>4月
2022</c:v>
                </c:pt>
                <c:pt idx="1461">
                  <c:v>4月
2022</c:v>
                </c:pt>
                <c:pt idx="1462">
                  <c:v>4月
2022</c:v>
                </c:pt>
                <c:pt idx="1463">
                  <c:v>4月
2022</c:v>
                </c:pt>
                <c:pt idx="1464">
                  <c:v>4月
2022</c:v>
                </c:pt>
                <c:pt idx="1465">
                  <c:v>4月
2022</c:v>
                </c:pt>
                <c:pt idx="1466">
                  <c:v>4月
2022</c:v>
                </c:pt>
                <c:pt idx="1467">
                  <c:v>4月
2022</c:v>
                </c:pt>
                <c:pt idx="1468">
                  <c:v>4月
2022</c:v>
                </c:pt>
                <c:pt idx="1469">
                  <c:v>4月
2022</c:v>
                </c:pt>
                <c:pt idx="1470">
                  <c:v>4月
2022</c:v>
                </c:pt>
                <c:pt idx="1471">
                  <c:v>4月
2022</c:v>
                </c:pt>
                <c:pt idx="1472">
                  <c:v>4月
2022</c:v>
                </c:pt>
                <c:pt idx="1473">
                  <c:v>4月
2022</c:v>
                </c:pt>
                <c:pt idx="1474">
                  <c:v>4月
2022</c:v>
                </c:pt>
                <c:pt idx="1475">
                  <c:v>4月
2022</c:v>
                </c:pt>
                <c:pt idx="1476">
                  <c:v>4月
2022</c:v>
                </c:pt>
                <c:pt idx="1477">
                  <c:v>4月
2022</c:v>
                </c:pt>
                <c:pt idx="1478">
                  <c:v>4月
2022</c:v>
                </c:pt>
                <c:pt idx="1479">
                  <c:v>4月
2022</c:v>
                </c:pt>
                <c:pt idx="1480">
                  <c:v>4月
2022</c:v>
                </c:pt>
                <c:pt idx="1481">
                  <c:v>5月
2022</c:v>
                </c:pt>
                <c:pt idx="1482">
                  <c:v>5月
2022</c:v>
                </c:pt>
                <c:pt idx="1483">
                  <c:v>5月
2022</c:v>
                </c:pt>
                <c:pt idx="1484">
                  <c:v>5月
2022</c:v>
                </c:pt>
                <c:pt idx="1485">
                  <c:v>5月
2022</c:v>
                </c:pt>
                <c:pt idx="1486">
                  <c:v>5月
2022</c:v>
                </c:pt>
                <c:pt idx="1487">
                  <c:v>5月
2022</c:v>
                </c:pt>
                <c:pt idx="1488">
                  <c:v>5月
2022</c:v>
                </c:pt>
                <c:pt idx="1489">
                  <c:v>5月
2022</c:v>
                </c:pt>
                <c:pt idx="1490">
                  <c:v>5月
2022</c:v>
                </c:pt>
                <c:pt idx="1491">
                  <c:v>5月
2022</c:v>
                </c:pt>
                <c:pt idx="1492">
                  <c:v>5月
2022</c:v>
                </c:pt>
                <c:pt idx="1493">
                  <c:v>5月
2022</c:v>
                </c:pt>
                <c:pt idx="1494">
                  <c:v>5月
2022</c:v>
                </c:pt>
                <c:pt idx="1495">
                  <c:v>5月
2022</c:v>
                </c:pt>
                <c:pt idx="1496">
                  <c:v>5月
2022</c:v>
                </c:pt>
                <c:pt idx="1497">
                  <c:v>5月
2022</c:v>
                </c:pt>
                <c:pt idx="1498">
                  <c:v>5月
2022</c:v>
                </c:pt>
                <c:pt idx="1499">
                  <c:v>5月
2022</c:v>
                </c:pt>
                <c:pt idx="1500">
                  <c:v>5月
2022</c:v>
                </c:pt>
                <c:pt idx="1501">
                  <c:v>5月
2022</c:v>
                </c:pt>
                <c:pt idx="1502">
                  <c:v>5月
2022</c:v>
                </c:pt>
                <c:pt idx="1503">
                  <c:v>5月
2022</c:v>
                </c:pt>
                <c:pt idx="1504">
                  <c:v>5月
2022</c:v>
                </c:pt>
                <c:pt idx="1505">
                  <c:v>5月
2022</c:v>
                </c:pt>
                <c:pt idx="1506">
                  <c:v>5月
2022</c:v>
                </c:pt>
                <c:pt idx="1507">
                  <c:v>5月
2022</c:v>
                </c:pt>
                <c:pt idx="1508">
                  <c:v>5月
2022</c:v>
                </c:pt>
                <c:pt idx="1509">
                  <c:v>5月
2022</c:v>
                </c:pt>
                <c:pt idx="1510">
                  <c:v>5月
2022</c:v>
                </c:pt>
                <c:pt idx="1511">
                  <c:v>5月
2022</c:v>
                </c:pt>
                <c:pt idx="1512">
                  <c:v>6月
2022</c:v>
                </c:pt>
                <c:pt idx="1513">
                  <c:v>6月
2022</c:v>
                </c:pt>
                <c:pt idx="1514">
                  <c:v>6月
2022</c:v>
                </c:pt>
                <c:pt idx="1515">
                  <c:v>6月
2022</c:v>
                </c:pt>
                <c:pt idx="1516">
                  <c:v>6月
2022</c:v>
                </c:pt>
                <c:pt idx="1517">
                  <c:v>6月
2022</c:v>
                </c:pt>
                <c:pt idx="1518">
                  <c:v>6月
2022</c:v>
                </c:pt>
                <c:pt idx="1519">
                  <c:v>6月
2022</c:v>
                </c:pt>
                <c:pt idx="1520">
                  <c:v>6月
2022</c:v>
                </c:pt>
                <c:pt idx="1521">
                  <c:v>6月
2022</c:v>
                </c:pt>
                <c:pt idx="1522">
                  <c:v>6月
2022</c:v>
                </c:pt>
                <c:pt idx="1523">
                  <c:v>6月
2022</c:v>
                </c:pt>
                <c:pt idx="1524">
                  <c:v>6月
2022</c:v>
                </c:pt>
                <c:pt idx="1525">
                  <c:v>6月
2022</c:v>
                </c:pt>
                <c:pt idx="1526">
                  <c:v>6月
2022</c:v>
                </c:pt>
                <c:pt idx="1527">
                  <c:v>6月
2022</c:v>
                </c:pt>
                <c:pt idx="1528">
                  <c:v>6月
2022</c:v>
                </c:pt>
                <c:pt idx="1529">
                  <c:v>6月
2022</c:v>
                </c:pt>
                <c:pt idx="1530">
                  <c:v>6月
2022</c:v>
                </c:pt>
                <c:pt idx="1531">
                  <c:v>6月
2022</c:v>
                </c:pt>
                <c:pt idx="1532">
                  <c:v>6月
2022</c:v>
                </c:pt>
                <c:pt idx="1533">
                  <c:v>6月
2022</c:v>
                </c:pt>
                <c:pt idx="1534">
                  <c:v>6月
2022</c:v>
                </c:pt>
                <c:pt idx="1535">
                  <c:v>6月
2022</c:v>
                </c:pt>
                <c:pt idx="1536">
                  <c:v>6月
2022</c:v>
                </c:pt>
                <c:pt idx="1537">
                  <c:v>6月
2022</c:v>
                </c:pt>
                <c:pt idx="1538">
                  <c:v>6月
2022</c:v>
                </c:pt>
                <c:pt idx="1539">
                  <c:v>6月
2022</c:v>
                </c:pt>
                <c:pt idx="1540">
                  <c:v>6月
2022</c:v>
                </c:pt>
                <c:pt idx="1541">
                  <c:v>6月
2022</c:v>
                </c:pt>
                <c:pt idx="1542">
                  <c:v>7月
2022</c:v>
                </c:pt>
                <c:pt idx="1543">
                  <c:v>7月
2022</c:v>
                </c:pt>
                <c:pt idx="1544">
                  <c:v>7月
2022</c:v>
                </c:pt>
                <c:pt idx="1545">
                  <c:v>7月
2022</c:v>
                </c:pt>
                <c:pt idx="1546">
                  <c:v>7月
2022</c:v>
                </c:pt>
                <c:pt idx="1547">
                  <c:v>7月
2022</c:v>
                </c:pt>
                <c:pt idx="1548">
                  <c:v>7月
2022</c:v>
                </c:pt>
                <c:pt idx="1549">
                  <c:v>7月
2022</c:v>
                </c:pt>
                <c:pt idx="1550">
                  <c:v>7月
2022</c:v>
                </c:pt>
                <c:pt idx="1551">
                  <c:v>7月
2022</c:v>
                </c:pt>
                <c:pt idx="1552">
                  <c:v>7月
2022</c:v>
                </c:pt>
                <c:pt idx="1553">
                  <c:v>7月
2022</c:v>
                </c:pt>
                <c:pt idx="1554">
                  <c:v>7月
2022</c:v>
                </c:pt>
                <c:pt idx="1555">
                  <c:v>7月
2022</c:v>
                </c:pt>
                <c:pt idx="1556">
                  <c:v>7月
2022</c:v>
                </c:pt>
                <c:pt idx="1557">
                  <c:v>7月
2022</c:v>
                </c:pt>
                <c:pt idx="1558">
                  <c:v>7月
2022</c:v>
                </c:pt>
                <c:pt idx="1559">
                  <c:v>7月
2022</c:v>
                </c:pt>
                <c:pt idx="1560">
                  <c:v>7月
2022</c:v>
                </c:pt>
                <c:pt idx="1561">
                  <c:v>7月
2022</c:v>
                </c:pt>
                <c:pt idx="1562">
                  <c:v>7月
2022</c:v>
                </c:pt>
                <c:pt idx="1563">
                  <c:v>7月
2022</c:v>
                </c:pt>
                <c:pt idx="1564">
                  <c:v>7月
2022</c:v>
                </c:pt>
                <c:pt idx="1565">
                  <c:v>7月
2022</c:v>
                </c:pt>
                <c:pt idx="1566">
                  <c:v>7月
2022</c:v>
                </c:pt>
                <c:pt idx="1567">
                  <c:v>7月
2022</c:v>
                </c:pt>
                <c:pt idx="1568">
                  <c:v>7月
2022</c:v>
                </c:pt>
                <c:pt idx="1569">
                  <c:v>7月
2022</c:v>
                </c:pt>
                <c:pt idx="1570">
                  <c:v>7月
2022</c:v>
                </c:pt>
                <c:pt idx="1571">
                  <c:v>7月
2022</c:v>
                </c:pt>
                <c:pt idx="1572">
                  <c:v>7月
2022</c:v>
                </c:pt>
                <c:pt idx="1573">
                  <c:v>8月
2022</c:v>
                </c:pt>
                <c:pt idx="1574">
                  <c:v>8月
2022</c:v>
                </c:pt>
                <c:pt idx="1575">
                  <c:v>8月
2022</c:v>
                </c:pt>
                <c:pt idx="1576">
                  <c:v>8月
2022</c:v>
                </c:pt>
                <c:pt idx="1577">
                  <c:v>8月
2022</c:v>
                </c:pt>
                <c:pt idx="1578">
                  <c:v>8月
2022</c:v>
                </c:pt>
                <c:pt idx="1579">
                  <c:v>8月
2022</c:v>
                </c:pt>
                <c:pt idx="1580">
                  <c:v>8月
2022</c:v>
                </c:pt>
                <c:pt idx="1581">
                  <c:v>8月
2022</c:v>
                </c:pt>
                <c:pt idx="1582">
                  <c:v>8月
2022</c:v>
                </c:pt>
                <c:pt idx="1583">
                  <c:v>8月
2022</c:v>
                </c:pt>
                <c:pt idx="1584">
                  <c:v>8月
2022</c:v>
                </c:pt>
                <c:pt idx="1585">
                  <c:v>8月
2022</c:v>
                </c:pt>
                <c:pt idx="1586">
                  <c:v>8月
2022</c:v>
                </c:pt>
                <c:pt idx="1587">
                  <c:v>8月
2022</c:v>
                </c:pt>
                <c:pt idx="1588">
                  <c:v>8月
2022</c:v>
                </c:pt>
                <c:pt idx="1589">
                  <c:v>8月
2022</c:v>
                </c:pt>
                <c:pt idx="1590">
                  <c:v>8月
2022</c:v>
                </c:pt>
                <c:pt idx="1591">
                  <c:v>8月
2022</c:v>
                </c:pt>
                <c:pt idx="1592">
                  <c:v>8月
2022</c:v>
                </c:pt>
                <c:pt idx="1593">
                  <c:v>8月
2022</c:v>
                </c:pt>
                <c:pt idx="1594">
                  <c:v>8月
2022</c:v>
                </c:pt>
                <c:pt idx="1595">
                  <c:v>8月
2022</c:v>
                </c:pt>
                <c:pt idx="1596">
                  <c:v>8月
2022</c:v>
                </c:pt>
                <c:pt idx="1597">
                  <c:v>8月
2022</c:v>
                </c:pt>
                <c:pt idx="1598">
                  <c:v>8月
2022</c:v>
                </c:pt>
                <c:pt idx="1599">
                  <c:v>8月
2022</c:v>
                </c:pt>
                <c:pt idx="1600">
                  <c:v>8月
2022</c:v>
                </c:pt>
                <c:pt idx="1601">
                  <c:v>8月
2022</c:v>
                </c:pt>
                <c:pt idx="1602">
                  <c:v>8月
2022</c:v>
                </c:pt>
                <c:pt idx="1603">
                  <c:v>8月
2022</c:v>
                </c:pt>
                <c:pt idx="1604">
                  <c:v>9月
2022</c:v>
                </c:pt>
                <c:pt idx="1605">
                  <c:v>9月
2022</c:v>
                </c:pt>
                <c:pt idx="1606">
                  <c:v>9月
2022</c:v>
                </c:pt>
                <c:pt idx="1607">
                  <c:v>9月
2022</c:v>
                </c:pt>
                <c:pt idx="1608">
                  <c:v>9月
2022</c:v>
                </c:pt>
                <c:pt idx="1609">
                  <c:v>9月
2022</c:v>
                </c:pt>
                <c:pt idx="1610">
                  <c:v>9月
2022</c:v>
                </c:pt>
                <c:pt idx="1611">
                  <c:v>9月
2022</c:v>
                </c:pt>
                <c:pt idx="1612">
                  <c:v>9月
2022</c:v>
                </c:pt>
                <c:pt idx="1613">
                  <c:v>9月
2022</c:v>
                </c:pt>
                <c:pt idx="1614">
                  <c:v>9月
2022</c:v>
                </c:pt>
                <c:pt idx="1615">
                  <c:v>9月
2022</c:v>
                </c:pt>
                <c:pt idx="1616">
                  <c:v>9月
2022</c:v>
                </c:pt>
                <c:pt idx="1617">
                  <c:v>9月
2022</c:v>
                </c:pt>
                <c:pt idx="1618">
                  <c:v>9月
2022</c:v>
                </c:pt>
                <c:pt idx="1619">
                  <c:v>9月
2022</c:v>
                </c:pt>
                <c:pt idx="1620">
                  <c:v>9月
2022</c:v>
                </c:pt>
                <c:pt idx="1621">
                  <c:v>9月
2022</c:v>
                </c:pt>
                <c:pt idx="1622">
                  <c:v>9月
2022</c:v>
                </c:pt>
                <c:pt idx="1623">
                  <c:v>9月
2022</c:v>
                </c:pt>
                <c:pt idx="1624">
                  <c:v>9月
2022</c:v>
                </c:pt>
                <c:pt idx="1625">
                  <c:v>9月
2022</c:v>
                </c:pt>
                <c:pt idx="1626">
                  <c:v>9月
2022</c:v>
                </c:pt>
                <c:pt idx="1627">
                  <c:v>9月
2022</c:v>
                </c:pt>
                <c:pt idx="1628">
                  <c:v>9月
2022</c:v>
                </c:pt>
                <c:pt idx="1629">
                  <c:v>9月
2022</c:v>
                </c:pt>
                <c:pt idx="1630">
                  <c:v>9月
2022</c:v>
                </c:pt>
                <c:pt idx="1631">
                  <c:v>9月
2022</c:v>
                </c:pt>
                <c:pt idx="1632">
                  <c:v>9月
2022</c:v>
                </c:pt>
                <c:pt idx="1633">
                  <c:v>9月
2022</c:v>
                </c:pt>
                <c:pt idx="1634">
                  <c:v>10月
2022</c:v>
                </c:pt>
                <c:pt idx="1635">
                  <c:v>10月
2022</c:v>
                </c:pt>
                <c:pt idx="1636">
                  <c:v>10月
2022</c:v>
                </c:pt>
                <c:pt idx="1637">
                  <c:v>10月
2022</c:v>
                </c:pt>
                <c:pt idx="1638">
                  <c:v>10月
2022</c:v>
                </c:pt>
                <c:pt idx="1639">
                  <c:v>10月
2022</c:v>
                </c:pt>
                <c:pt idx="1640">
                  <c:v>10月
2022</c:v>
                </c:pt>
                <c:pt idx="1641">
                  <c:v>10月
2022</c:v>
                </c:pt>
                <c:pt idx="1642">
                  <c:v>10月
2022</c:v>
                </c:pt>
                <c:pt idx="1643">
                  <c:v>10月
2022</c:v>
                </c:pt>
                <c:pt idx="1644">
                  <c:v>10月
2022</c:v>
                </c:pt>
                <c:pt idx="1645">
                  <c:v>10月
2022</c:v>
                </c:pt>
                <c:pt idx="1646">
                  <c:v>10月
2022</c:v>
                </c:pt>
                <c:pt idx="1647">
                  <c:v>10月
2022</c:v>
                </c:pt>
                <c:pt idx="1648">
                  <c:v>10月
2022</c:v>
                </c:pt>
                <c:pt idx="1649">
                  <c:v>10月
2022</c:v>
                </c:pt>
                <c:pt idx="1650">
                  <c:v>10月
2022</c:v>
                </c:pt>
                <c:pt idx="1651">
                  <c:v>10月
2022</c:v>
                </c:pt>
                <c:pt idx="1652">
                  <c:v>10月
2022</c:v>
                </c:pt>
                <c:pt idx="1653">
                  <c:v>10月
2022</c:v>
                </c:pt>
                <c:pt idx="1654">
                  <c:v>10月
2022</c:v>
                </c:pt>
                <c:pt idx="1655">
                  <c:v>10月
2022</c:v>
                </c:pt>
                <c:pt idx="1656">
                  <c:v>10月
2022</c:v>
                </c:pt>
                <c:pt idx="1657">
                  <c:v>10月
2022</c:v>
                </c:pt>
                <c:pt idx="1658">
                  <c:v>10月
2022</c:v>
                </c:pt>
                <c:pt idx="1659">
                  <c:v>10月
2022</c:v>
                </c:pt>
                <c:pt idx="1660">
                  <c:v>10月
2022</c:v>
                </c:pt>
                <c:pt idx="1661">
                  <c:v>10月
2022</c:v>
                </c:pt>
                <c:pt idx="1662">
                  <c:v>10月
2022</c:v>
                </c:pt>
                <c:pt idx="1663">
                  <c:v>10月
2022</c:v>
                </c:pt>
                <c:pt idx="1664">
                  <c:v>10月
2022</c:v>
                </c:pt>
                <c:pt idx="1665">
                  <c:v>11月
2022</c:v>
                </c:pt>
                <c:pt idx="1666">
                  <c:v>11月
2022</c:v>
                </c:pt>
                <c:pt idx="1667">
                  <c:v>11月
2022</c:v>
                </c:pt>
                <c:pt idx="1668">
                  <c:v>11月
2022</c:v>
                </c:pt>
                <c:pt idx="1669">
                  <c:v>11月
2022</c:v>
                </c:pt>
                <c:pt idx="1670">
                  <c:v>11月
2022</c:v>
                </c:pt>
                <c:pt idx="1671">
                  <c:v>11月
2022</c:v>
                </c:pt>
                <c:pt idx="1672">
                  <c:v>11月
2022</c:v>
                </c:pt>
                <c:pt idx="1673">
                  <c:v>11月
2022</c:v>
                </c:pt>
                <c:pt idx="1674">
                  <c:v>11月
2022</c:v>
                </c:pt>
                <c:pt idx="1675">
                  <c:v>11月
2022</c:v>
                </c:pt>
                <c:pt idx="1676">
                  <c:v>11月
2022</c:v>
                </c:pt>
                <c:pt idx="1677">
                  <c:v>11月
2022</c:v>
                </c:pt>
                <c:pt idx="1678">
                  <c:v>11月
2022</c:v>
                </c:pt>
                <c:pt idx="1679">
                  <c:v>11月
2022</c:v>
                </c:pt>
                <c:pt idx="1680">
                  <c:v>11月
2022</c:v>
                </c:pt>
                <c:pt idx="1681">
                  <c:v>11月
2022</c:v>
                </c:pt>
                <c:pt idx="1682">
                  <c:v>11月
2022</c:v>
                </c:pt>
                <c:pt idx="1683">
                  <c:v>11月
2022</c:v>
                </c:pt>
                <c:pt idx="1684">
                  <c:v>11月
2022</c:v>
                </c:pt>
                <c:pt idx="1685">
                  <c:v>11月
2022</c:v>
                </c:pt>
                <c:pt idx="1686">
                  <c:v>11月
2022</c:v>
                </c:pt>
                <c:pt idx="1687">
                  <c:v>11月
2022</c:v>
                </c:pt>
                <c:pt idx="1688">
                  <c:v>11月
2022</c:v>
                </c:pt>
                <c:pt idx="1689">
                  <c:v>11月
2022</c:v>
                </c:pt>
                <c:pt idx="1690">
                  <c:v>11月
2022</c:v>
                </c:pt>
                <c:pt idx="1691">
                  <c:v>11月
2022</c:v>
                </c:pt>
                <c:pt idx="1692">
                  <c:v>11月
2022</c:v>
                </c:pt>
                <c:pt idx="1693">
                  <c:v>11月
2022</c:v>
                </c:pt>
                <c:pt idx="1694">
                  <c:v>11月
2022</c:v>
                </c:pt>
                <c:pt idx="1695">
                  <c:v>12月
2022</c:v>
                </c:pt>
                <c:pt idx="1696">
                  <c:v>12月
2022</c:v>
                </c:pt>
                <c:pt idx="1697">
                  <c:v>12月
2022</c:v>
                </c:pt>
                <c:pt idx="1698">
                  <c:v>12月
2022</c:v>
                </c:pt>
                <c:pt idx="1699">
                  <c:v>12月
2022</c:v>
                </c:pt>
                <c:pt idx="1700">
                  <c:v>12月
2022</c:v>
                </c:pt>
                <c:pt idx="1701">
                  <c:v>12月
2022</c:v>
                </c:pt>
                <c:pt idx="1702">
                  <c:v>12月
2022</c:v>
                </c:pt>
                <c:pt idx="1703">
                  <c:v>12月
2022</c:v>
                </c:pt>
                <c:pt idx="1704">
                  <c:v>12月
2022</c:v>
                </c:pt>
                <c:pt idx="1705">
                  <c:v>12月
2022</c:v>
                </c:pt>
                <c:pt idx="1706">
                  <c:v>12月
2022</c:v>
                </c:pt>
                <c:pt idx="1707">
                  <c:v>12月
2022</c:v>
                </c:pt>
                <c:pt idx="1708">
                  <c:v>12月
2022</c:v>
                </c:pt>
                <c:pt idx="1709">
                  <c:v>12月
2022</c:v>
                </c:pt>
                <c:pt idx="1710">
                  <c:v>12月
2022</c:v>
                </c:pt>
                <c:pt idx="1711">
                  <c:v>12月
2022</c:v>
                </c:pt>
                <c:pt idx="1712">
                  <c:v>12月
2022</c:v>
                </c:pt>
                <c:pt idx="1713">
                  <c:v>12月
2022</c:v>
                </c:pt>
                <c:pt idx="1714">
                  <c:v>12月
2022</c:v>
                </c:pt>
                <c:pt idx="1715">
                  <c:v>12月
2022</c:v>
                </c:pt>
                <c:pt idx="1716">
                  <c:v>12月
2022</c:v>
                </c:pt>
                <c:pt idx="1717">
                  <c:v>12月
2022</c:v>
                </c:pt>
                <c:pt idx="1718">
                  <c:v>12月
2022</c:v>
                </c:pt>
                <c:pt idx="1719">
                  <c:v>12月
2022</c:v>
                </c:pt>
                <c:pt idx="1720">
                  <c:v>12月
2022</c:v>
                </c:pt>
                <c:pt idx="1721">
                  <c:v>12月
2022</c:v>
                </c:pt>
                <c:pt idx="1722">
                  <c:v>12月
2022</c:v>
                </c:pt>
                <c:pt idx="1723">
                  <c:v>12月
2022</c:v>
                </c:pt>
                <c:pt idx="1724">
                  <c:v>1月
2023</c:v>
                </c:pt>
                <c:pt idx="1725">
                  <c:v>1月
2023</c:v>
                </c:pt>
                <c:pt idx="1726">
                  <c:v>1月
2023</c:v>
                </c:pt>
                <c:pt idx="1727">
                  <c:v>1月
2023</c:v>
                </c:pt>
                <c:pt idx="1728">
                  <c:v>1月
2023</c:v>
                </c:pt>
                <c:pt idx="1729">
                  <c:v>1月
2023</c:v>
                </c:pt>
                <c:pt idx="1730">
                  <c:v>1月
2023</c:v>
                </c:pt>
                <c:pt idx="1731">
                  <c:v>1月
2023</c:v>
                </c:pt>
                <c:pt idx="1732">
                  <c:v>1月
2023</c:v>
                </c:pt>
                <c:pt idx="1733">
                  <c:v>1月
2023</c:v>
                </c:pt>
                <c:pt idx="1734">
                  <c:v>1月
2023</c:v>
                </c:pt>
                <c:pt idx="1735">
                  <c:v>1月
2023</c:v>
                </c:pt>
                <c:pt idx="1736">
                  <c:v>1月
2023</c:v>
                </c:pt>
                <c:pt idx="1737">
                  <c:v>1月
2023</c:v>
                </c:pt>
                <c:pt idx="1738">
                  <c:v>1月
2023</c:v>
                </c:pt>
                <c:pt idx="1739">
                  <c:v>1月
2023</c:v>
                </c:pt>
                <c:pt idx="1740">
                  <c:v>1月
2023</c:v>
                </c:pt>
                <c:pt idx="1741">
                  <c:v>1月
2023</c:v>
                </c:pt>
                <c:pt idx="1742">
                  <c:v>1月
2023</c:v>
                </c:pt>
                <c:pt idx="1743">
                  <c:v>1月
2023</c:v>
                </c:pt>
                <c:pt idx="1744">
                  <c:v>1月
2023</c:v>
                </c:pt>
                <c:pt idx="1745">
                  <c:v>1月
2023</c:v>
                </c:pt>
                <c:pt idx="1746">
                  <c:v>1月
2023</c:v>
                </c:pt>
                <c:pt idx="1747">
                  <c:v>1月
2023</c:v>
                </c:pt>
                <c:pt idx="1748">
                  <c:v>1月
2023</c:v>
                </c:pt>
                <c:pt idx="1749">
                  <c:v>1月
2023</c:v>
                </c:pt>
                <c:pt idx="1750">
                  <c:v>1月
2023</c:v>
                </c:pt>
                <c:pt idx="1751">
                  <c:v>1月
2023</c:v>
                </c:pt>
                <c:pt idx="1752">
                  <c:v>1月
2023</c:v>
                </c:pt>
                <c:pt idx="1753">
                  <c:v>1月
2023</c:v>
                </c:pt>
                <c:pt idx="1754">
                  <c:v>1月
2023</c:v>
                </c:pt>
                <c:pt idx="1755">
                  <c:v>1月
2023</c:v>
                </c:pt>
                <c:pt idx="1756">
                  <c:v>1月
2023</c:v>
                </c:pt>
                <c:pt idx="1757">
                  <c:v>2月
2023</c:v>
                </c:pt>
                <c:pt idx="1758">
                  <c:v>2月
2023</c:v>
                </c:pt>
                <c:pt idx="1759">
                  <c:v>2月
2023</c:v>
                </c:pt>
                <c:pt idx="1760">
                  <c:v>2月
2023</c:v>
                </c:pt>
                <c:pt idx="1761">
                  <c:v>2月
2023</c:v>
                </c:pt>
                <c:pt idx="1762">
                  <c:v>2月
2023</c:v>
                </c:pt>
                <c:pt idx="1763">
                  <c:v>2月
2023</c:v>
                </c:pt>
                <c:pt idx="1764">
                  <c:v>2月
2023</c:v>
                </c:pt>
                <c:pt idx="1765">
                  <c:v>2月
2023</c:v>
                </c:pt>
                <c:pt idx="1766">
                  <c:v>2月
2023</c:v>
                </c:pt>
                <c:pt idx="1767">
                  <c:v>2月
2023</c:v>
                </c:pt>
                <c:pt idx="1768">
                  <c:v>2月
2023</c:v>
                </c:pt>
                <c:pt idx="1769">
                  <c:v>2月
2023</c:v>
                </c:pt>
                <c:pt idx="1770">
                  <c:v>2月
2023</c:v>
                </c:pt>
                <c:pt idx="1771">
                  <c:v>2月
2023</c:v>
                </c:pt>
                <c:pt idx="1772">
                  <c:v>2月
2023</c:v>
                </c:pt>
                <c:pt idx="1773">
                  <c:v>2月
2023</c:v>
                </c:pt>
                <c:pt idx="1774">
                  <c:v>2月
2023</c:v>
                </c:pt>
                <c:pt idx="1775">
                  <c:v>2月
2023</c:v>
                </c:pt>
                <c:pt idx="1776">
                  <c:v>2月
2023</c:v>
                </c:pt>
                <c:pt idx="1777">
                  <c:v>2月
2023</c:v>
                </c:pt>
                <c:pt idx="1778">
                  <c:v>2月
2023</c:v>
                </c:pt>
                <c:pt idx="1779">
                  <c:v>2月
2023</c:v>
                </c:pt>
                <c:pt idx="1780">
                  <c:v>2月
2023</c:v>
                </c:pt>
                <c:pt idx="1781">
                  <c:v>2月
2023</c:v>
                </c:pt>
                <c:pt idx="1782">
                  <c:v>2月
2023</c:v>
                </c:pt>
                <c:pt idx="1783">
                  <c:v>2月
2023</c:v>
                </c:pt>
                <c:pt idx="1784">
                  <c:v>2月
2023</c:v>
                </c:pt>
                <c:pt idx="1785">
                  <c:v>3月
2023</c:v>
                </c:pt>
                <c:pt idx="1786">
                  <c:v>3月
2023</c:v>
                </c:pt>
                <c:pt idx="1787">
                  <c:v>3月
2023</c:v>
                </c:pt>
                <c:pt idx="1788">
                  <c:v>3月
2023</c:v>
                </c:pt>
                <c:pt idx="1789">
                  <c:v>3月
2023</c:v>
                </c:pt>
                <c:pt idx="1790">
                  <c:v>3月
2023</c:v>
                </c:pt>
                <c:pt idx="1791">
                  <c:v>3月
2023</c:v>
                </c:pt>
                <c:pt idx="1792">
                  <c:v>3月
2023</c:v>
                </c:pt>
                <c:pt idx="1793">
                  <c:v>3月
2023</c:v>
                </c:pt>
                <c:pt idx="1794">
                  <c:v>3月
2023</c:v>
                </c:pt>
                <c:pt idx="1795">
                  <c:v>3月
2023</c:v>
                </c:pt>
                <c:pt idx="1796">
                  <c:v>3月
2023</c:v>
                </c:pt>
                <c:pt idx="1797">
                  <c:v>3月
2023</c:v>
                </c:pt>
                <c:pt idx="1798">
                  <c:v>3月
2023</c:v>
                </c:pt>
                <c:pt idx="1799">
                  <c:v>3月
2023</c:v>
                </c:pt>
                <c:pt idx="1800">
                  <c:v>3月
2023</c:v>
                </c:pt>
                <c:pt idx="1801">
                  <c:v>3月
2023</c:v>
                </c:pt>
                <c:pt idx="1802">
                  <c:v>3月
2023</c:v>
                </c:pt>
                <c:pt idx="1803">
                  <c:v>3月
2023</c:v>
                </c:pt>
                <c:pt idx="1804">
                  <c:v>3月
2023</c:v>
                </c:pt>
                <c:pt idx="1805">
                  <c:v>3月
2023</c:v>
                </c:pt>
                <c:pt idx="1806">
                  <c:v>3月
2023</c:v>
                </c:pt>
                <c:pt idx="1807">
                  <c:v>3月
2023</c:v>
                </c:pt>
                <c:pt idx="1808">
                  <c:v>3月
2023</c:v>
                </c:pt>
                <c:pt idx="1809">
                  <c:v>3月
2023</c:v>
                </c:pt>
                <c:pt idx="1810">
                  <c:v>3月
2023</c:v>
                </c:pt>
                <c:pt idx="1811">
                  <c:v>3月
2023</c:v>
                </c:pt>
                <c:pt idx="1812">
                  <c:v>3月
2023</c:v>
                </c:pt>
                <c:pt idx="1813">
                  <c:v>3月
2023</c:v>
                </c:pt>
                <c:pt idx="1814">
                  <c:v>3月
2023</c:v>
                </c:pt>
                <c:pt idx="1815">
                  <c:v>3月
2023</c:v>
                </c:pt>
                <c:pt idx="1816">
                  <c:v>4月
2023</c:v>
                </c:pt>
                <c:pt idx="1817">
                  <c:v>4月
2023</c:v>
                </c:pt>
                <c:pt idx="1818">
                  <c:v>4月
2023</c:v>
                </c:pt>
                <c:pt idx="1819">
                  <c:v>4月
2023</c:v>
                </c:pt>
                <c:pt idx="1820">
                  <c:v>4月
2023</c:v>
                </c:pt>
                <c:pt idx="1821">
                  <c:v>4月
2023</c:v>
                </c:pt>
                <c:pt idx="1822">
                  <c:v>4月
2023</c:v>
                </c:pt>
                <c:pt idx="1823">
                  <c:v>4月
2023</c:v>
                </c:pt>
                <c:pt idx="1824">
                  <c:v>4月
2023</c:v>
                </c:pt>
                <c:pt idx="1825">
                  <c:v>4月
2023</c:v>
                </c:pt>
                <c:pt idx="1826">
                  <c:v>4月
2023</c:v>
                </c:pt>
                <c:pt idx="1827">
                  <c:v>4月
2023</c:v>
                </c:pt>
                <c:pt idx="1828">
                  <c:v>4月
2023</c:v>
                </c:pt>
                <c:pt idx="1829">
                  <c:v>4月
2023</c:v>
                </c:pt>
                <c:pt idx="1830">
                  <c:v>4月
2023</c:v>
                </c:pt>
                <c:pt idx="1831">
                  <c:v>4月
2023</c:v>
                </c:pt>
                <c:pt idx="1832">
                  <c:v>4月
2023</c:v>
                </c:pt>
                <c:pt idx="1833">
                  <c:v>4月
2023</c:v>
                </c:pt>
                <c:pt idx="1834">
                  <c:v>4月
2023</c:v>
                </c:pt>
                <c:pt idx="1835">
                  <c:v>4月
2023</c:v>
                </c:pt>
                <c:pt idx="1836">
                  <c:v>4月
2023</c:v>
                </c:pt>
                <c:pt idx="1837">
                  <c:v>4月
2023</c:v>
                </c:pt>
                <c:pt idx="1838">
                  <c:v>4月
2023</c:v>
                </c:pt>
                <c:pt idx="1839">
                  <c:v>4月
2023</c:v>
                </c:pt>
                <c:pt idx="1840">
                  <c:v>4月
2023</c:v>
                </c:pt>
                <c:pt idx="1841">
                  <c:v>4月
2023</c:v>
                </c:pt>
                <c:pt idx="1842">
                  <c:v>4月
2023</c:v>
                </c:pt>
                <c:pt idx="1843">
                  <c:v>4月
2023</c:v>
                </c:pt>
                <c:pt idx="1844">
                  <c:v>4月
2023</c:v>
                </c:pt>
                <c:pt idx="1845">
                  <c:v>4月
2023</c:v>
                </c:pt>
                <c:pt idx="1846">
                  <c:v>5月
2023</c:v>
                </c:pt>
                <c:pt idx="1847">
                  <c:v>5月
2023</c:v>
                </c:pt>
                <c:pt idx="1848">
                  <c:v>5月
2023</c:v>
                </c:pt>
                <c:pt idx="1849">
                  <c:v>5月
2023</c:v>
                </c:pt>
                <c:pt idx="1850">
                  <c:v>5月
2023</c:v>
                </c:pt>
                <c:pt idx="1851">
                  <c:v>5月
2023</c:v>
                </c:pt>
                <c:pt idx="1852">
                  <c:v>5月
2023</c:v>
                </c:pt>
                <c:pt idx="1853">
                  <c:v>5月
2023</c:v>
                </c:pt>
                <c:pt idx="1854">
                  <c:v>5月
2023</c:v>
                </c:pt>
                <c:pt idx="1855">
                  <c:v>5月
2023</c:v>
                </c:pt>
                <c:pt idx="1856">
                  <c:v>5月
2023</c:v>
                </c:pt>
                <c:pt idx="1857">
                  <c:v>5月
2023</c:v>
                </c:pt>
                <c:pt idx="1858">
                  <c:v>5月
2023</c:v>
                </c:pt>
                <c:pt idx="1859">
                  <c:v>5月
2023</c:v>
                </c:pt>
                <c:pt idx="1860">
                  <c:v>5月
2023</c:v>
                </c:pt>
                <c:pt idx="1861">
                  <c:v>5月
2023</c:v>
                </c:pt>
                <c:pt idx="1862">
                  <c:v>5月
2023</c:v>
                </c:pt>
                <c:pt idx="1863">
                  <c:v>5月
2023</c:v>
                </c:pt>
                <c:pt idx="1864">
                  <c:v>5月
2023</c:v>
                </c:pt>
                <c:pt idx="1865">
                  <c:v>5月
2023</c:v>
                </c:pt>
                <c:pt idx="1866">
                  <c:v>5月
2023</c:v>
                </c:pt>
                <c:pt idx="1867">
                  <c:v>5月
2023</c:v>
                </c:pt>
                <c:pt idx="1868">
                  <c:v>5月
2023</c:v>
                </c:pt>
                <c:pt idx="1869">
                  <c:v>5月
2023</c:v>
                </c:pt>
                <c:pt idx="1870">
                  <c:v>5月
2023</c:v>
                </c:pt>
                <c:pt idx="1871">
                  <c:v>5月
2023</c:v>
                </c:pt>
                <c:pt idx="1872">
                  <c:v>5月
2023</c:v>
                </c:pt>
                <c:pt idx="1873">
                  <c:v>5月
2023</c:v>
                </c:pt>
                <c:pt idx="1874">
                  <c:v>5月
2023</c:v>
                </c:pt>
                <c:pt idx="1875">
                  <c:v>5月
2023</c:v>
                </c:pt>
                <c:pt idx="1876">
                  <c:v>5月
2023</c:v>
                </c:pt>
                <c:pt idx="1877">
                  <c:v>5月
2023</c:v>
                </c:pt>
                <c:pt idx="1878">
                  <c:v>5月
2023</c:v>
                </c:pt>
                <c:pt idx="1879">
                  <c:v>5月
2023</c:v>
                </c:pt>
                <c:pt idx="1880">
                  <c:v>5月
2023</c:v>
                </c:pt>
                <c:pt idx="1881">
                  <c:v>5月
2023</c:v>
                </c:pt>
                <c:pt idx="1882">
                  <c:v>5月
2023</c:v>
                </c:pt>
                <c:pt idx="1883">
                  <c:v>5月
2023</c:v>
                </c:pt>
                <c:pt idx="1884">
                  <c:v>5月
2023</c:v>
                </c:pt>
                <c:pt idx="1885">
                  <c:v>5月
2023</c:v>
                </c:pt>
                <c:pt idx="1886">
                  <c:v>5月
2023</c:v>
                </c:pt>
                <c:pt idx="1887">
                  <c:v>5月
2023</c:v>
                </c:pt>
                <c:pt idx="1888">
                  <c:v>5月
2023</c:v>
                </c:pt>
                <c:pt idx="1889">
                  <c:v>5月
2023</c:v>
                </c:pt>
                <c:pt idx="1890">
                  <c:v>5月
2023</c:v>
                </c:pt>
                <c:pt idx="1891">
                  <c:v>5月
2023</c:v>
                </c:pt>
                <c:pt idx="1892">
                  <c:v>5月
2023</c:v>
                </c:pt>
                <c:pt idx="1893">
                  <c:v>5月
2023</c:v>
                </c:pt>
                <c:pt idx="1894">
                  <c:v>5月
2023</c:v>
                </c:pt>
                <c:pt idx="1895">
                  <c:v>5月
2023</c:v>
                </c:pt>
                <c:pt idx="1896">
                  <c:v>5月
2023</c:v>
                </c:pt>
                <c:pt idx="1897">
                  <c:v>5月
2023</c:v>
                </c:pt>
                <c:pt idx="1898">
                  <c:v>5月
2023</c:v>
                </c:pt>
                <c:pt idx="1899">
                  <c:v>5月
2023</c:v>
                </c:pt>
                <c:pt idx="1900">
                  <c:v>5月
2023</c:v>
                </c:pt>
                <c:pt idx="1901">
                  <c:v>5月
2023</c:v>
                </c:pt>
                <c:pt idx="1902">
                  <c:v>5月
2023</c:v>
                </c:pt>
                <c:pt idx="1903">
                  <c:v>5月
2023</c:v>
                </c:pt>
                <c:pt idx="1904">
                  <c:v>5月
2023</c:v>
                </c:pt>
                <c:pt idx="1905">
                  <c:v>6月
2023</c:v>
                </c:pt>
                <c:pt idx="1906">
                  <c:v>6月
2023</c:v>
                </c:pt>
                <c:pt idx="1907">
                  <c:v>7月
2023</c:v>
                </c:pt>
                <c:pt idx="1908">
                  <c:v>7月
2023</c:v>
                </c:pt>
                <c:pt idx="1909">
                  <c:v>7月
2023</c:v>
                </c:pt>
                <c:pt idx="1910">
                  <c:v>7月
2023</c:v>
                </c:pt>
                <c:pt idx="1911">
                  <c:v>7月
2023</c:v>
                </c:pt>
                <c:pt idx="1912">
                  <c:v>7月
2023</c:v>
                </c:pt>
                <c:pt idx="1913">
                  <c:v>7月
2023</c:v>
                </c:pt>
                <c:pt idx="1914">
                  <c:v>7月
2023</c:v>
                </c:pt>
                <c:pt idx="1915">
                  <c:v>7月
2023</c:v>
                </c:pt>
                <c:pt idx="1916">
                  <c:v>7月
2023</c:v>
                </c:pt>
                <c:pt idx="1917">
                  <c:v>7月
2023</c:v>
                </c:pt>
                <c:pt idx="1918">
                  <c:v>7月
2023</c:v>
                </c:pt>
                <c:pt idx="1919">
                  <c:v>7月
2023</c:v>
                </c:pt>
                <c:pt idx="1920">
                  <c:v>7月
2023</c:v>
                </c:pt>
                <c:pt idx="1921">
                  <c:v>7月
2023</c:v>
                </c:pt>
                <c:pt idx="1922">
                  <c:v>7月
2023</c:v>
                </c:pt>
                <c:pt idx="1923">
                  <c:v>7月
2023</c:v>
                </c:pt>
                <c:pt idx="1924">
                  <c:v>7月
2023</c:v>
                </c:pt>
                <c:pt idx="1925">
                  <c:v>7月
2023</c:v>
                </c:pt>
                <c:pt idx="1926">
                  <c:v>7月
2023</c:v>
                </c:pt>
                <c:pt idx="1927">
                  <c:v>7月
2023</c:v>
                </c:pt>
                <c:pt idx="1928">
                  <c:v>7月
2023</c:v>
                </c:pt>
                <c:pt idx="1929">
                  <c:v>7月
2023</c:v>
                </c:pt>
                <c:pt idx="1930">
                  <c:v>7月
2023</c:v>
                </c:pt>
                <c:pt idx="1931">
                  <c:v>7月
2023</c:v>
                </c:pt>
                <c:pt idx="1932">
                  <c:v>7月
2023</c:v>
                </c:pt>
                <c:pt idx="1933">
                  <c:v>7月
2023</c:v>
                </c:pt>
                <c:pt idx="1934">
                  <c:v>7月
2023</c:v>
                </c:pt>
                <c:pt idx="1935">
                  <c:v>7月
2023</c:v>
                </c:pt>
                <c:pt idx="1936">
                  <c:v>7月
2023</c:v>
                </c:pt>
                <c:pt idx="1937">
                  <c:v>7月
2023</c:v>
                </c:pt>
                <c:pt idx="1938">
                  <c:v>8月
2023</c:v>
                </c:pt>
                <c:pt idx="1939">
                  <c:v>8月
2023</c:v>
                </c:pt>
                <c:pt idx="1940">
                  <c:v>8月
2023</c:v>
                </c:pt>
                <c:pt idx="1941">
                  <c:v>8月
2023</c:v>
                </c:pt>
                <c:pt idx="1942">
                  <c:v>8月
2023</c:v>
                </c:pt>
                <c:pt idx="1943">
                  <c:v>8月
2023</c:v>
                </c:pt>
                <c:pt idx="1944">
                  <c:v>8月
2023</c:v>
                </c:pt>
                <c:pt idx="1945">
                  <c:v>8月
2023</c:v>
                </c:pt>
                <c:pt idx="1946">
                  <c:v>8月
2023</c:v>
                </c:pt>
                <c:pt idx="1947">
                  <c:v>8月
2023</c:v>
                </c:pt>
                <c:pt idx="1948">
                  <c:v>8月
2023</c:v>
                </c:pt>
                <c:pt idx="1949">
                  <c:v>8月
2023</c:v>
                </c:pt>
                <c:pt idx="1950">
                  <c:v>8月
2023</c:v>
                </c:pt>
                <c:pt idx="1951">
                  <c:v>8月
2023</c:v>
                </c:pt>
                <c:pt idx="1952">
                  <c:v>8月
2023</c:v>
                </c:pt>
                <c:pt idx="1953">
                  <c:v>8月
2023</c:v>
                </c:pt>
                <c:pt idx="1954">
                  <c:v>8月
2023</c:v>
                </c:pt>
                <c:pt idx="1955">
                  <c:v>8月
2023</c:v>
                </c:pt>
                <c:pt idx="1956">
                  <c:v>8月
2023</c:v>
                </c:pt>
                <c:pt idx="1957">
                  <c:v>8月
2023</c:v>
                </c:pt>
                <c:pt idx="1958">
                  <c:v>8月
2023</c:v>
                </c:pt>
                <c:pt idx="1959">
                  <c:v>8月
2023</c:v>
                </c:pt>
                <c:pt idx="1960">
                  <c:v>8月
2023</c:v>
                </c:pt>
                <c:pt idx="1961">
                  <c:v>8月
2023</c:v>
                </c:pt>
                <c:pt idx="1962">
                  <c:v>8月
2023</c:v>
                </c:pt>
                <c:pt idx="1963">
                  <c:v>8月
2023</c:v>
                </c:pt>
                <c:pt idx="1964">
                  <c:v>8月
2023</c:v>
                </c:pt>
                <c:pt idx="1965">
                  <c:v>8月
2023</c:v>
                </c:pt>
                <c:pt idx="1966">
                  <c:v>8月
2023</c:v>
                </c:pt>
                <c:pt idx="1967">
                  <c:v>8月
2023</c:v>
                </c:pt>
                <c:pt idx="1968">
                  <c:v>8月
2023</c:v>
                </c:pt>
                <c:pt idx="1969">
                  <c:v>9月
2023</c:v>
                </c:pt>
                <c:pt idx="1970">
                  <c:v>9月
2023</c:v>
                </c:pt>
                <c:pt idx="1971">
                  <c:v>9月
2023</c:v>
                </c:pt>
                <c:pt idx="1972">
                  <c:v>9月
2023</c:v>
                </c:pt>
                <c:pt idx="1973">
                  <c:v>9月
2023</c:v>
                </c:pt>
                <c:pt idx="1974">
                  <c:v>9月
2023</c:v>
                </c:pt>
                <c:pt idx="1975">
                  <c:v>9月
2023</c:v>
                </c:pt>
                <c:pt idx="1976">
                  <c:v>9月
2023</c:v>
                </c:pt>
                <c:pt idx="1977">
                  <c:v>9月
2023</c:v>
                </c:pt>
                <c:pt idx="1978">
                  <c:v>9月
2023</c:v>
                </c:pt>
                <c:pt idx="1979">
                  <c:v>9月
2023</c:v>
                </c:pt>
                <c:pt idx="1980">
                  <c:v>9月
2023</c:v>
                </c:pt>
                <c:pt idx="1981">
                  <c:v>9月
2023</c:v>
                </c:pt>
                <c:pt idx="1982">
                  <c:v>9月
2023</c:v>
                </c:pt>
                <c:pt idx="1983">
                  <c:v>9月
2023</c:v>
                </c:pt>
                <c:pt idx="1984">
                  <c:v>9月
2023</c:v>
                </c:pt>
                <c:pt idx="1985">
                  <c:v>9月
2023</c:v>
                </c:pt>
                <c:pt idx="1986">
                  <c:v>9月
2023</c:v>
                </c:pt>
                <c:pt idx="1987">
                  <c:v>9月
2023</c:v>
                </c:pt>
                <c:pt idx="1988">
                  <c:v>9月
2023</c:v>
                </c:pt>
                <c:pt idx="1989">
                  <c:v>9月
2023</c:v>
                </c:pt>
                <c:pt idx="1990">
                  <c:v>9月
2023</c:v>
                </c:pt>
                <c:pt idx="1991">
                  <c:v>9月
2023</c:v>
                </c:pt>
                <c:pt idx="1992">
                  <c:v>9月
2023</c:v>
                </c:pt>
                <c:pt idx="1993">
                  <c:v>9月
2023</c:v>
                </c:pt>
                <c:pt idx="1994">
                  <c:v>9月
2023</c:v>
                </c:pt>
                <c:pt idx="1995">
                  <c:v>9月
2023</c:v>
                </c:pt>
                <c:pt idx="1996">
                  <c:v>9月
2023</c:v>
                </c:pt>
                <c:pt idx="1997">
                  <c:v>9月
2023</c:v>
                </c:pt>
                <c:pt idx="1998">
                  <c:v>9月
2023</c:v>
                </c:pt>
                <c:pt idx="1999">
                  <c:v>10月
2023</c:v>
                </c:pt>
                <c:pt idx="2000">
                  <c:v>10月
2023</c:v>
                </c:pt>
                <c:pt idx="2001">
                  <c:v>10月
2023</c:v>
                </c:pt>
                <c:pt idx="2002">
                  <c:v>10月
2023</c:v>
                </c:pt>
                <c:pt idx="2003">
                  <c:v>10月
2023</c:v>
                </c:pt>
                <c:pt idx="2004">
                  <c:v>10月
2023</c:v>
                </c:pt>
                <c:pt idx="2005">
                  <c:v>10月
2023</c:v>
                </c:pt>
                <c:pt idx="2006">
                  <c:v>10月
2023</c:v>
                </c:pt>
                <c:pt idx="2007">
                  <c:v>10月
2023</c:v>
                </c:pt>
                <c:pt idx="2008">
                  <c:v>10月
2023</c:v>
                </c:pt>
                <c:pt idx="2009">
                  <c:v>10月
2023</c:v>
                </c:pt>
                <c:pt idx="2010">
                  <c:v>10月
2023</c:v>
                </c:pt>
                <c:pt idx="2011">
                  <c:v>10月
2023</c:v>
                </c:pt>
                <c:pt idx="2012">
                  <c:v>10月
2023</c:v>
                </c:pt>
                <c:pt idx="2013">
                  <c:v>10月
2023</c:v>
                </c:pt>
                <c:pt idx="2014">
                  <c:v>10月
2023</c:v>
                </c:pt>
                <c:pt idx="2015">
                  <c:v>10月
2023</c:v>
                </c:pt>
                <c:pt idx="2016">
                  <c:v>10月
2023</c:v>
                </c:pt>
                <c:pt idx="2017">
                  <c:v>10月
2023</c:v>
                </c:pt>
                <c:pt idx="2018">
                  <c:v>10月
2023</c:v>
                </c:pt>
                <c:pt idx="2019">
                  <c:v>10月
2023</c:v>
                </c:pt>
                <c:pt idx="2020">
                  <c:v>10月
2023</c:v>
                </c:pt>
                <c:pt idx="2021">
                  <c:v>10月
2023</c:v>
                </c:pt>
                <c:pt idx="2022">
                  <c:v>10月
2023</c:v>
                </c:pt>
                <c:pt idx="2023">
                  <c:v>10月
2023</c:v>
                </c:pt>
                <c:pt idx="2024">
                  <c:v>10月
2023</c:v>
                </c:pt>
                <c:pt idx="2025">
                  <c:v>10月
2023</c:v>
                </c:pt>
                <c:pt idx="2026">
                  <c:v>10月
2023</c:v>
                </c:pt>
                <c:pt idx="2027">
                  <c:v>10月
2023</c:v>
                </c:pt>
                <c:pt idx="2028">
                  <c:v>10月
2023</c:v>
                </c:pt>
                <c:pt idx="2029">
                  <c:v>10月
2023</c:v>
                </c:pt>
                <c:pt idx="2030">
                  <c:v>11月
2023</c:v>
                </c:pt>
                <c:pt idx="2031">
                  <c:v>11月
2023</c:v>
                </c:pt>
                <c:pt idx="2032">
                  <c:v>11月
2023</c:v>
                </c:pt>
                <c:pt idx="2033">
                  <c:v>11月
2023</c:v>
                </c:pt>
                <c:pt idx="2034">
                  <c:v>11月
2023</c:v>
                </c:pt>
                <c:pt idx="2035">
                  <c:v>11月
2023</c:v>
                </c:pt>
                <c:pt idx="2036">
                  <c:v>11月
2023</c:v>
                </c:pt>
                <c:pt idx="2037">
                  <c:v>11月
2023</c:v>
                </c:pt>
                <c:pt idx="2038">
                  <c:v>11月
2023</c:v>
                </c:pt>
                <c:pt idx="2039">
                  <c:v>11月
2023</c:v>
                </c:pt>
                <c:pt idx="2040">
                  <c:v>11月
2023</c:v>
                </c:pt>
                <c:pt idx="2041">
                  <c:v>11月
2023</c:v>
                </c:pt>
                <c:pt idx="2042">
                  <c:v>11月
2023</c:v>
                </c:pt>
                <c:pt idx="2043">
                  <c:v>11月
2023</c:v>
                </c:pt>
                <c:pt idx="2044">
                  <c:v>11月
2023</c:v>
                </c:pt>
                <c:pt idx="2045">
                  <c:v>11月
2023</c:v>
                </c:pt>
                <c:pt idx="2046">
                  <c:v>11月
2023</c:v>
                </c:pt>
                <c:pt idx="2047">
                  <c:v>11月
2023</c:v>
                </c:pt>
                <c:pt idx="2048">
                  <c:v>11月
2023</c:v>
                </c:pt>
                <c:pt idx="2049">
                  <c:v>11月
2023</c:v>
                </c:pt>
                <c:pt idx="2050">
                  <c:v>11月
2023</c:v>
                </c:pt>
                <c:pt idx="2051">
                  <c:v>11月
2023</c:v>
                </c:pt>
                <c:pt idx="2052">
                  <c:v>11月
2023</c:v>
                </c:pt>
                <c:pt idx="2053">
                  <c:v>11月
2023</c:v>
                </c:pt>
                <c:pt idx="2054">
                  <c:v>11月
2023</c:v>
                </c:pt>
                <c:pt idx="2055">
                  <c:v>11月
2023</c:v>
                </c:pt>
                <c:pt idx="2056">
                  <c:v>11月
2023</c:v>
                </c:pt>
                <c:pt idx="2057">
                  <c:v>11月
2023</c:v>
                </c:pt>
                <c:pt idx="2058">
                  <c:v>11月
2023</c:v>
                </c:pt>
                <c:pt idx="2059">
                  <c:v>11月
2023</c:v>
                </c:pt>
                <c:pt idx="2060">
                  <c:v>12月
2023</c:v>
                </c:pt>
                <c:pt idx="2061">
                  <c:v>12月
2023</c:v>
                </c:pt>
                <c:pt idx="2062">
                  <c:v>12月
2023</c:v>
                </c:pt>
                <c:pt idx="2063">
                  <c:v>12月
2023</c:v>
                </c:pt>
                <c:pt idx="2064">
                  <c:v>12月
2023</c:v>
                </c:pt>
                <c:pt idx="2065">
                  <c:v>12月
2023</c:v>
                </c:pt>
                <c:pt idx="2066">
                  <c:v>12月
2023</c:v>
                </c:pt>
                <c:pt idx="2067">
                  <c:v>12月
2023</c:v>
                </c:pt>
                <c:pt idx="2068">
                  <c:v>12月
2023</c:v>
                </c:pt>
                <c:pt idx="2069">
                  <c:v>12月
2023</c:v>
                </c:pt>
                <c:pt idx="2070">
                  <c:v>12月
2023</c:v>
                </c:pt>
                <c:pt idx="2071">
                  <c:v>12月
2023</c:v>
                </c:pt>
                <c:pt idx="2072">
                  <c:v>12月
2023</c:v>
                </c:pt>
                <c:pt idx="2073">
                  <c:v>12月
2023</c:v>
                </c:pt>
                <c:pt idx="2074">
                  <c:v>12月
2023</c:v>
                </c:pt>
                <c:pt idx="2075">
                  <c:v>12月
2023</c:v>
                </c:pt>
                <c:pt idx="2076">
                  <c:v>12月
2023</c:v>
                </c:pt>
                <c:pt idx="2077">
                  <c:v>12月
2023</c:v>
                </c:pt>
                <c:pt idx="2078">
                  <c:v>12月
2023</c:v>
                </c:pt>
                <c:pt idx="2079">
                  <c:v>12月
2023</c:v>
                </c:pt>
                <c:pt idx="2080">
                  <c:v>12月
2023</c:v>
                </c:pt>
                <c:pt idx="2081">
                  <c:v>12月
2023</c:v>
                </c:pt>
                <c:pt idx="2082">
                  <c:v>12月
2023</c:v>
                </c:pt>
                <c:pt idx="2083">
                  <c:v>12月
2023</c:v>
                </c:pt>
                <c:pt idx="2084">
                  <c:v>12月
2023</c:v>
                </c:pt>
                <c:pt idx="2085">
                  <c:v>12月
2023</c:v>
                </c:pt>
                <c:pt idx="2086">
                  <c:v>12月
2023</c:v>
                </c:pt>
                <c:pt idx="2087">
                  <c:v>12月
2023</c:v>
                </c:pt>
                <c:pt idx="2088">
                  <c:v>12月
2023</c:v>
                </c:pt>
                <c:pt idx="2089">
                  <c:v>12月
2023</c:v>
                </c:pt>
                <c:pt idx="2090">
                  <c:v>12月
2023</c:v>
                </c:pt>
                <c:pt idx="2091">
                  <c:v>1月
2024</c:v>
                </c:pt>
                <c:pt idx="2092">
                  <c:v>1月
2024</c:v>
                </c:pt>
                <c:pt idx="2093">
                  <c:v>1月
2024</c:v>
                </c:pt>
                <c:pt idx="2094">
                  <c:v>1月
2024</c:v>
                </c:pt>
                <c:pt idx="2095">
                  <c:v>1月
2024</c:v>
                </c:pt>
                <c:pt idx="2096">
                  <c:v>1月
2024</c:v>
                </c:pt>
                <c:pt idx="2097">
                  <c:v>1月
2024</c:v>
                </c:pt>
                <c:pt idx="2098">
                  <c:v>1月
2024</c:v>
                </c:pt>
                <c:pt idx="2099">
                  <c:v>1月
2024</c:v>
                </c:pt>
                <c:pt idx="2100">
                  <c:v>1月
2024</c:v>
                </c:pt>
                <c:pt idx="2101">
                  <c:v>1月
2024</c:v>
                </c:pt>
                <c:pt idx="2102">
                  <c:v>1月
2024</c:v>
                </c:pt>
                <c:pt idx="2103">
                  <c:v>1月
2024</c:v>
                </c:pt>
                <c:pt idx="2104">
                  <c:v>1月
2024</c:v>
                </c:pt>
                <c:pt idx="2105">
                  <c:v>1月
2024</c:v>
                </c:pt>
                <c:pt idx="2106">
                  <c:v>1月
2024</c:v>
                </c:pt>
                <c:pt idx="2107">
                  <c:v>1月
2024</c:v>
                </c:pt>
                <c:pt idx="2108">
                  <c:v>1月
2024</c:v>
                </c:pt>
                <c:pt idx="2109">
                  <c:v>1月
2024</c:v>
                </c:pt>
                <c:pt idx="2110">
                  <c:v>1月
2024</c:v>
                </c:pt>
                <c:pt idx="2111">
                  <c:v>1月
2024</c:v>
                </c:pt>
                <c:pt idx="2112">
                  <c:v>1月
2024</c:v>
                </c:pt>
                <c:pt idx="2113">
                  <c:v>1月
2024</c:v>
                </c:pt>
                <c:pt idx="2114">
                  <c:v>1月
2024</c:v>
                </c:pt>
                <c:pt idx="2115">
                  <c:v>1月
2024</c:v>
                </c:pt>
                <c:pt idx="2116">
                  <c:v>1月
2024</c:v>
                </c:pt>
                <c:pt idx="2117">
                  <c:v>1月
2024</c:v>
                </c:pt>
                <c:pt idx="2118">
                  <c:v>1月
2024</c:v>
                </c:pt>
                <c:pt idx="2119">
                  <c:v>1月
2024</c:v>
                </c:pt>
                <c:pt idx="2120">
                  <c:v>1月
2024</c:v>
                </c:pt>
                <c:pt idx="2121">
                  <c:v>1月
2024</c:v>
                </c:pt>
                <c:pt idx="2122">
                  <c:v>2月
2024</c:v>
                </c:pt>
                <c:pt idx="2123">
                  <c:v>2月
2024</c:v>
                </c:pt>
                <c:pt idx="2124">
                  <c:v>2月
2024</c:v>
                </c:pt>
                <c:pt idx="2125">
                  <c:v>2月
2024</c:v>
                </c:pt>
                <c:pt idx="2126">
                  <c:v>2月
2024</c:v>
                </c:pt>
                <c:pt idx="2127">
                  <c:v>2月
2024</c:v>
                </c:pt>
                <c:pt idx="2128">
                  <c:v>2月
2024</c:v>
                </c:pt>
                <c:pt idx="2129">
                  <c:v>2月
2024</c:v>
                </c:pt>
                <c:pt idx="2130">
                  <c:v>2月
2024</c:v>
                </c:pt>
                <c:pt idx="2131">
                  <c:v>2月
2024</c:v>
                </c:pt>
                <c:pt idx="2132">
                  <c:v>2月
2024</c:v>
                </c:pt>
                <c:pt idx="2133">
                  <c:v>2月
2024</c:v>
                </c:pt>
                <c:pt idx="2134">
                  <c:v>2月
2024</c:v>
                </c:pt>
                <c:pt idx="2135">
                  <c:v>2月
2024</c:v>
                </c:pt>
                <c:pt idx="2136">
                  <c:v>2月
2024</c:v>
                </c:pt>
                <c:pt idx="2137">
                  <c:v>2月
2024</c:v>
                </c:pt>
                <c:pt idx="2138">
                  <c:v>2月
2024</c:v>
                </c:pt>
                <c:pt idx="2139">
                  <c:v>2月
2024</c:v>
                </c:pt>
                <c:pt idx="2140">
                  <c:v>2月
2024</c:v>
                </c:pt>
                <c:pt idx="2141">
                  <c:v>2月
2024</c:v>
                </c:pt>
                <c:pt idx="2142">
                  <c:v>2月
2024</c:v>
                </c:pt>
                <c:pt idx="2143">
                  <c:v>2月
2024</c:v>
                </c:pt>
                <c:pt idx="2144">
                  <c:v>2月
2024</c:v>
                </c:pt>
                <c:pt idx="2145">
                  <c:v>2月
2024</c:v>
                </c:pt>
                <c:pt idx="2146">
                  <c:v>2月
2024</c:v>
                </c:pt>
                <c:pt idx="2147">
                  <c:v>2月
2024</c:v>
                </c:pt>
                <c:pt idx="2148">
                  <c:v>2月
2024</c:v>
                </c:pt>
                <c:pt idx="2149">
                  <c:v>2月
2024</c:v>
                </c:pt>
                <c:pt idx="2150">
                  <c:v>2月
2024</c:v>
                </c:pt>
                <c:pt idx="2151">
                  <c:v>3月
2024</c:v>
                </c:pt>
                <c:pt idx="2152">
                  <c:v>3月
2024</c:v>
                </c:pt>
                <c:pt idx="2153">
                  <c:v>3月
2024</c:v>
                </c:pt>
                <c:pt idx="2154">
                  <c:v>3月
2024</c:v>
                </c:pt>
                <c:pt idx="2155">
                  <c:v>3月
2024</c:v>
                </c:pt>
                <c:pt idx="2156">
                  <c:v>3月
2024</c:v>
                </c:pt>
                <c:pt idx="2157">
                  <c:v>3月
2024</c:v>
                </c:pt>
                <c:pt idx="2158">
                  <c:v>3月
2024</c:v>
                </c:pt>
                <c:pt idx="2159">
                  <c:v>3月
2024</c:v>
                </c:pt>
                <c:pt idx="2160">
                  <c:v>3月
2024</c:v>
                </c:pt>
                <c:pt idx="2161">
                  <c:v>3月
2024</c:v>
                </c:pt>
                <c:pt idx="2162">
                  <c:v>3月
2024</c:v>
                </c:pt>
                <c:pt idx="2163">
                  <c:v>3月
2024</c:v>
                </c:pt>
                <c:pt idx="2164">
                  <c:v>3月
2024</c:v>
                </c:pt>
                <c:pt idx="2165">
                  <c:v>3月
2024</c:v>
                </c:pt>
                <c:pt idx="2166">
                  <c:v>3月
2024</c:v>
                </c:pt>
                <c:pt idx="2167">
                  <c:v>3月
2024</c:v>
                </c:pt>
                <c:pt idx="2168">
                  <c:v>3月
2024</c:v>
                </c:pt>
                <c:pt idx="2169">
                  <c:v>3月
2024</c:v>
                </c:pt>
                <c:pt idx="2170">
                  <c:v>3月
2024</c:v>
                </c:pt>
                <c:pt idx="2171">
                  <c:v>3月
2024</c:v>
                </c:pt>
                <c:pt idx="2172">
                  <c:v>3月
2024</c:v>
                </c:pt>
                <c:pt idx="2173">
                  <c:v>3月
2024</c:v>
                </c:pt>
                <c:pt idx="2174">
                  <c:v>3月
2024</c:v>
                </c:pt>
                <c:pt idx="2175">
                  <c:v>3月
2024</c:v>
                </c:pt>
                <c:pt idx="2176">
                  <c:v>3月
2024</c:v>
                </c:pt>
                <c:pt idx="2177">
                  <c:v>3月
2024</c:v>
                </c:pt>
                <c:pt idx="2178">
                  <c:v>3月
2024</c:v>
                </c:pt>
                <c:pt idx="2179">
                  <c:v>3月
2024</c:v>
                </c:pt>
                <c:pt idx="2180">
                  <c:v>3月
2024</c:v>
                </c:pt>
                <c:pt idx="2181">
                  <c:v>3月
2024</c:v>
                </c:pt>
              </c:strCache>
            </c:strRef>
          </c:cat>
          <c:val>
            <c:numRef>
              <c:f>'3大现货价格'!$D$3000:$D$5561</c:f>
              <c:numCache>
                <c:formatCode>#,##0.00_ </c:formatCode>
                <c:ptCount val="2562"/>
                <c:pt idx="0">
                  <c:v>68.290000000000006</c:v>
                </c:pt>
                <c:pt idx="1">
                  <c:v>68.739999999999995</c:v>
                </c:pt>
                <c:pt idx="2">
                  <c:v>69.290000000000006</c:v>
                </c:pt>
                <c:pt idx="3">
                  <c:v>69.290000000000006</c:v>
                </c:pt>
                <c:pt idx="4">
                  <c:v>69.290000000000006</c:v>
                </c:pt>
                <c:pt idx="5">
                  <c:v>68.41</c:v>
                </c:pt>
                <c:pt idx="6">
                  <c:v>68.36</c:v>
                </c:pt>
                <c:pt idx="7">
                  <c:v>69.39</c:v>
                </c:pt>
                <c:pt idx="8">
                  <c:v>70.959999999999994</c:v>
                </c:pt>
                <c:pt idx="9">
                  <c:v>70.37</c:v>
                </c:pt>
                <c:pt idx="10">
                  <c:v>70.37</c:v>
                </c:pt>
                <c:pt idx="11">
                  <c:v>70.37</c:v>
                </c:pt>
                <c:pt idx="12">
                  <c:v>70.510000000000005</c:v>
                </c:pt>
                <c:pt idx="13">
                  <c:v>71.349999999999994</c:v>
                </c:pt>
                <c:pt idx="14">
                  <c:v>70.5</c:v>
                </c:pt>
                <c:pt idx="15">
                  <c:v>71</c:v>
                </c:pt>
                <c:pt idx="16">
                  <c:v>71.239999999999995</c:v>
                </c:pt>
                <c:pt idx="17">
                  <c:v>71.239999999999995</c:v>
                </c:pt>
                <c:pt idx="18">
                  <c:v>71.239999999999995</c:v>
                </c:pt>
                <c:pt idx="19">
                  <c:v>71.02</c:v>
                </c:pt>
                <c:pt idx="20">
                  <c:v>70.569999999999993</c:v>
                </c:pt>
                <c:pt idx="21">
                  <c:v>70.459999999999994</c:v>
                </c:pt>
                <c:pt idx="22">
                  <c:v>70.64</c:v>
                </c:pt>
                <c:pt idx="23">
                  <c:v>70.98</c:v>
                </c:pt>
                <c:pt idx="24">
                  <c:v>70.98</c:v>
                </c:pt>
                <c:pt idx="25">
                  <c:v>70.98</c:v>
                </c:pt>
                <c:pt idx="26">
                  <c:v>72.44</c:v>
                </c:pt>
                <c:pt idx="27">
                  <c:v>72.099999999999994</c:v>
                </c:pt>
                <c:pt idx="28">
                  <c:v>73.95</c:v>
                </c:pt>
                <c:pt idx="29">
                  <c:v>74.45</c:v>
                </c:pt>
                <c:pt idx="30">
                  <c:v>74.41</c:v>
                </c:pt>
                <c:pt idx="31">
                  <c:v>74.41</c:v>
                </c:pt>
                <c:pt idx="32">
                  <c:v>74.41</c:v>
                </c:pt>
                <c:pt idx="33">
                  <c:v>74.2</c:v>
                </c:pt>
                <c:pt idx="34">
                  <c:v>75.47</c:v>
                </c:pt>
                <c:pt idx="35">
                  <c:v>75.180000000000007</c:v>
                </c:pt>
                <c:pt idx="36">
                  <c:v>76.760000000000005</c:v>
                </c:pt>
                <c:pt idx="37">
                  <c:v>76.47</c:v>
                </c:pt>
                <c:pt idx="38">
                  <c:v>76.47</c:v>
                </c:pt>
                <c:pt idx="39">
                  <c:v>76.47</c:v>
                </c:pt>
                <c:pt idx="40">
                  <c:v>76.22</c:v>
                </c:pt>
                <c:pt idx="41">
                  <c:v>77.19</c:v>
                </c:pt>
                <c:pt idx="42">
                  <c:v>76.430000000000007</c:v>
                </c:pt>
                <c:pt idx="43">
                  <c:v>76.62</c:v>
                </c:pt>
                <c:pt idx="44">
                  <c:v>74.87</c:v>
                </c:pt>
                <c:pt idx="45">
                  <c:v>74.87</c:v>
                </c:pt>
                <c:pt idx="46">
                  <c:v>74.87</c:v>
                </c:pt>
                <c:pt idx="47">
                  <c:v>73.37</c:v>
                </c:pt>
                <c:pt idx="48">
                  <c:v>72.91</c:v>
                </c:pt>
                <c:pt idx="49">
                  <c:v>73.73</c:v>
                </c:pt>
                <c:pt idx="50">
                  <c:v>75.180000000000007</c:v>
                </c:pt>
                <c:pt idx="51">
                  <c:v>74.25</c:v>
                </c:pt>
                <c:pt idx="52">
                  <c:v>74.25</c:v>
                </c:pt>
                <c:pt idx="53">
                  <c:v>74.25</c:v>
                </c:pt>
                <c:pt idx="54">
                  <c:v>73.569999999999993</c:v>
                </c:pt>
                <c:pt idx="55">
                  <c:v>72.8</c:v>
                </c:pt>
                <c:pt idx="56">
                  <c:v>73.069999999999993</c:v>
                </c:pt>
                <c:pt idx="57">
                  <c:v>73.63</c:v>
                </c:pt>
                <c:pt idx="58">
                  <c:v>74.23</c:v>
                </c:pt>
                <c:pt idx="59">
                  <c:v>74.23</c:v>
                </c:pt>
                <c:pt idx="60">
                  <c:v>74.23</c:v>
                </c:pt>
                <c:pt idx="61">
                  <c:v>73.97</c:v>
                </c:pt>
                <c:pt idx="62">
                  <c:v>74.12</c:v>
                </c:pt>
                <c:pt idx="63">
                  <c:v>73.36</c:v>
                </c:pt>
                <c:pt idx="64">
                  <c:v>73.81</c:v>
                </c:pt>
                <c:pt idx="65">
                  <c:v>72.8</c:v>
                </c:pt>
                <c:pt idx="66">
                  <c:v>72.8</c:v>
                </c:pt>
                <c:pt idx="67">
                  <c:v>72.8</c:v>
                </c:pt>
                <c:pt idx="68">
                  <c:v>71.099999999999994</c:v>
                </c:pt>
                <c:pt idx="69">
                  <c:v>71.88</c:v>
                </c:pt>
                <c:pt idx="70">
                  <c:v>72.489999999999995</c:v>
                </c:pt>
                <c:pt idx="71">
                  <c:v>70.959999999999994</c:v>
                </c:pt>
                <c:pt idx="72">
                  <c:v>71.89</c:v>
                </c:pt>
                <c:pt idx="73">
                  <c:v>71.89</c:v>
                </c:pt>
                <c:pt idx="74">
                  <c:v>71.89</c:v>
                </c:pt>
                <c:pt idx="75">
                  <c:v>72.16</c:v>
                </c:pt>
                <c:pt idx="76">
                  <c:v>72.69</c:v>
                </c:pt>
                <c:pt idx="77">
                  <c:v>74.31</c:v>
                </c:pt>
                <c:pt idx="78">
                  <c:v>74.86</c:v>
                </c:pt>
                <c:pt idx="79">
                  <c:v>75.680000000000007</c:v>
                </c:pt>
                <c:pt idx="80">
                  <c:v>75.680000000000007</c:v>
                </c:pt>
                <c:pt idx="81">
                  <c:v>75.680000000000007</c:v>
                </c:pt>
                <c:pt idx="82">
                  <c:v>75.61</c:v>
                </c:pt>
                <c:pt idx="83">
                  <c:v>74.959999999999994</c:v>
                </c:pt>
                <c:pt idx="84">
                  <c:v>75.38</c:v>
                </c:pt>
                <c:pt idx="85">
                  <c:v>75.209999999999994</c:v>
                </c:pt>
                <c:pt idx="86">
                  <c:v>74.5</c:v>
                </c:pt>
                <c:pt idx="87">
                  <c:v>74.5</c:v>
                </c:pt>
                <c:pt idx="88">
                  <c:v>74.5</c:v>
                </c:pt>
                <c:pt idx="89">
                  <c:v>75.23</c:v>
                </c:pt>
                <c:pt idx="90">
                  <c:v>76.34</c:v>
                </c:pt>
                <c:pt idx="91">
                  <c:v>74.400000000000006</c:v>
                </c:pt>
                <c:pt idx="92">
                  <c:v>72.150000000000006</c:v>
                </c:pt>
                <c:pt idx="93">
                  <c:v>72.150000000000006</c:v>
                </c:pt>
                <c:pt idx="94">
                  <c:v>72.150000000000006</c:v>
                </c:pt>
                <c:pt idx="95">
                  <c:v>72.150000000000006</c:v>
                </c:pt>
                <c:pt idx="96">
                  <c:v>71.900000000000006</c:v>
                </c:pt>
                <c:pt idx="97">
                  <c:v>70.38</c:v>
                </c:pt>
                <c:pt idx="98">
                  <c:v>69.98</c:v>
                </c:pt>
                <c:pt idx="99">
                  <c:v>70.91</c:v>
                </c:pt>
                <c:pt idx="100">
                  <c:v>71.569999999999993</c:v>
                </c:pt>
                <c:pt idx="101">
                  <c:v>71.569999999999993</c:v>
                </c:pt>
                <c:pt idx="102">
                  <c:v>71.569999999999993</c:v>
                </c:pt>
                <c:pt idx="103">
                  <c:v>71.849999999999994</c:v>
                </c:pt>
                <c:pt idx="104">
                  <c:v>72.010000000000005</c:v>
                </c:pt>
                <c:pt idx="105">
                  <c:v>72.87</c:v>
                </c:pt>
                <c:pt idx="106">
                  <c:v>73.62</c:v>
                </c:pt>
                <c:pt idx="107">
                  <c:v>73.69</c:v>
                </c:pt>
                <c:pt idx="108">
                  <c:v>73.69</c:v>
                </c:pt>
                <c:pt idx="109">
                  <c:v>73.69</c:v>
                </c:pt>
                <c:pt idx="110">
                  <c:v>73.53</c:v>
                </c:pt>
                <c:pt idx="111">
                  <c:v>73.62</c:v>
                </c:pt>
                <c:pt idx="112">
                  <c:v>72</c:v>
                </c:pt>
                <c:pt idx="113">
                  <c:v>71.52</c:v>
                </c:pt>
                <c:pt idx="114">
                  <c:v>71.98</c:v>
                </c:pt>
                <c:pt idx="115">
                  <c:v>71.98</c:v>
                </c:pt>
                <c:pt idx="116">
                  <c:v>71.98</c:v>
                </c:pt>
                <c:pt idx="117">
                  <c:v>72.180000000000007</c:v>
                </c:pt>
                <c:pt idx="118">
                  <c:v>72.489999999999995</c:v>
                </c:pt>
                <c:pt idx="119">
                  <c:v>72.099999999999994</c:v>
                </c:pt>
                <c:pt idx="120">
                  <c:v>72.03</c:v>
                </c:pt>
                <c:pt idx="121">
                  <c:v>70.599999999999994</c:v>
                </c:pt>
                <c:pt idx="122">
                  <c:v>70.599999999999994</c:v>
                </c:pt>
                <c:pt idx="123">
                  <c:v>70.599999999999994</c:v>
                </c:pt>
                <c:pt idx="124">
                  <c:v>70.97</c:v>
                </c:pt>
                <c:pt idx="125">
                  <c:v>71.33</c:v>
                </c:pt>
                <c:pt idx="126">
                  <c:v>69.77</c:v>
                </c:pt>
                <c:pt idx="127">
                  <c:v>69.47</c:v>
                </c:pt>
                <c:pt idx="128">
                  <c:v>70.27</c:v>
                </c:pt>
                <c:pt idx="129">
                  <c:v>70.27</c:v>
                </c:pt>
                <c:pt idx="130">
                  <c:v>70.27</c:v>
                </c:pt>
                <c:pt idx="131">
                  <c:v>70.64</c:v>
                </c:pt>
                <c:pt idx="132">
                  <c:v>71.010000000000005</c:v>
                </c:pt>
                <c:pt idx="133">
                  <c:v>71.75</c:v>
                </c:pt>
                <c:pt idx="134">
                  <c:v>73.010000000000005</c:v>
                </c:pt>
                <c:pt idx="135">
                  <c:v>74.02</c:v>
                </c:pt>
                <c:pt idx="136">
                  <c:v>74.02</c:v>
                </c:pt>
                <c:pt idx="137">
                  <c:v>74.02</c:v>
                </c:pt>
                <c:pt idx="138">
                  <c:v>74.09</c:v>
                </c:pt>
                <c:pt idx="139">
                  <c:v>74.75</c:v>
                </c:pt>
                <c:pt idx="140">
                  <c:v>74.48</c:v>
                </c:pt>
                <c:pt idx="141">
                  <c:v>75.72</c:v>
                </c:pt>
                <c:pt idx="142">
                  <c:v>75.739999999999995</c:v>
                </c:pt>
                <c:pt idx="143">
                  <c:v>75.739999999999995</c:v>
                </c:pt>
                <c:pt idx="144">
                  <c:v>75.739999999999995</c:v>
                </c:pt>
                <c:pt idx="145">
                  <c:v>75.77</c:v>
                </c:pt>
                <c:pt idx="146">
                  <c:v>76.319999999999993</c:v>
                </c:pt>
                <c:pt idx="147">
                  <c:v>75.180000000000007</c:v>
                </c:pt>
                <c:pt idx="148">
                  <c:v>74.510000000000005</c:v>
                </c:pt>
                <c:pt idx="149">
                  <c:v>74.17</c:v>
                </c:pt>
                <c:pt idx="150">
                  <c:v>74.17</c:v>
                </c:pt>
                <c:pt idx="151">
                  <c:v>74.17</c:v>
                </c:pt>
                <c:pt idx="152">
                  <c:v>75.2</c:v>
                </c:pt>
                <c:pt idx="153">
                  <c:v>76.02</c:v>
                </c:pt>
                <c:pt idx="154">
                  <c:v>77.16</c:v>
                </c:pt>
                <c:pt idx="155">
                  <c:v>76.459999999999994</c:v>
                </c:pt>
                <c:pt idx="156">
                  <c:v>76.05</c:v>
                </c:pt>
                <c:pt idx="157">
                  <c:v>76.05</c:v>
                </c:pt>
                <c:pt idx="158">
                  <c:v>76.05</c:v>
                </c:pt>
                <c:pt idx="159">
                  <c:v>76.19</c:v>
                </c:pt>
                <c:pt idx="160">
                  <c:v>76.09</c:v>
                </c:pt>
                <c:pt idx="161">
                  <c:v>77.06</c:v>
                </c:pt>
                <c:pt idx="162">
                  <c:v>77.13</c:v>
                </c:pt>
                <c:pt idx="163">
                  <c:v>77.08</c:v>
                </c:pt>
                <c:pt idx="164">
                  <c:v>77.08</c:v>
                </c:pt>
                <c:pt idx="165">
                  <c:v>77.08</c:v>
                </c:pt>
                <c:pt idx="166">
                  <c:v>78.81</c:v>
                </c:pt>
                <c:pt idx="167">
                  <c:v>80.44</c:v>
                </c:pt>
                <c:pt idx="168">
                  <c:v>81.58</c:v>
                </c:pt>
                <c:pt idx="169">
                  <c:v>80.88</c:v>
                </c:pt>
                <c:pt idx="170">
                  <c:v>81.48</c:v>
                </c:pt>
                <c:pt idx="171">
                  <c:v>81.48</c:v>
                </c:pt>
                <c:pt idx="172">
                  <c:v>81.48</c:v>
                </c:pt>
                <c:pt idx="173">
                  <c:v>81.58</c:v>
                </c:pt>
                <c:pt idx="174">
                  <c:v>83.28</c:v>
                </c:pt>
                <c:pt idx="175">
                  <c:v>83.64</c:v>
                </c:pt>
                <c:pt idx="176">
                  <c:v>84.09</c:v>
                </c:pt>
                <c:pt idx="177">
                  <c:v>83.24</c:v>
                </c:pt>
                <c:pt idx="178">
                  <c:v>83.24</c:v>
                </c:pt>
                <c:pt idx="179">
                  <c:v>83.24</c:v>
                </c:pt>
                <c:pt idx="180">
                  <c:v>81.88</c:v>
                </c:pt>
                <c:pt idx="181">
                  <c:v>83.17</c:v>
                </c:pt>
                <c:pt idx="182">
                  <c:v>82.6</c:v>
                </c:pt>
                <c:pt idx="183">
                  <c:v>80.14</c:v>
                </c:pt>
                <c:pt idx="184">
                  <c:v>79.36</c:v>
                </c:pt>
                <c:pt idx="185">
                  <c:v>79.36</c:v>
                </c:pt>
                <c:pt idx="186">
                  <c:v>79.36</c:v>
                </c:pt>
                <c:pt idx="187">
                  <c:v>79.31</c:v>
                </c:pt>
                <c:pt idx="188">
                  <c:v>79.02</c:v>
                </c:pt>
                <c:pt idx="189">
                  <c:v>79.5</c:v>
                </c:pt>
                <c:pt idx="190">
                  <c:v>78.25</c:v>
                </c:pt>
                <c:pt idx="191">
                  <c:v>78.150000000000006</c:v>
                </c:pt>
                <c:pt idx="192">
                  <c:v>78.150000000000006</c:v>
                </c:pt>
                <c:pt idx="193">
                  <c:v>78.150000000000006</c:v>
                </c:pt>
                <c:pt idx="194">
                  <c:v>78.680000000000007</c:v>
                </c:pt>
                <c:pt idx="195">
                  <c:v>77.11</c:v>
                </c:pt>
                <c:pt idx="196">
                  <c:v>75.040000000000006</c:v>
                </c:pt>
                <c:pt idx="197">
                  <c:v>75.33</c:v>
                </c:pt>
                <c:pt idx="198">
                  <c:v>75.709999999999994</c:v>
                </c:pt>
                <c:pt idx="199">
                  <c:v>75.709999999999994</c:v>
                </c:pt>
                <c:pt idx="200">
                  <c:v>75.709999999999994</c:v>
                </c:pt>
                <c:pt idx="201">
                  <c:v>76.069999999999993</c:v>
                </c:pt>
                <c:pt idx="202">
                  <c:v>75.510000000000005</c:v>
                </c:pt>
                <c:pt idx="203">
                  <c:v>75.239999999999995</c:v>
                </c:pt>
                <c:pt idx="204">
                  <c:v>72.64</c:v>
                </c:pt>
                <c:pt idx="205">
                  <c:v>71.349999999999994</c:v>
                </c:pt>
                <c:pt idx="206">
                  <c:v>71.349999999999994</c:v>
                </c:pt>
                <c:pt idx="207">
                  <c:v>71.349999999999994</c:v>
                </c:pt>
                <c:pt idx="208">
                  <c:v>71.45</c:v>
                </c:pt>
                <c:pt idx="209">
                  <c:v>70.88</c:v>
                </c:pt>
                <c:pt idx="210">
                  <c:v>70.63</c:v>
                </c:pt>
                <c:pt idx="211">
                  <c:v>70.680000000000007</c:v>
                </c:pt>
                <c:pt idx="212">
                  <c:v>68.89</c:v>
                </c:pt>
                <c:pt idx="213">
                  <c:v>68.89</c:v>
                </c:pt>
                <c:pt idx="214">
                  <c:v>68.89</c:v>
                </c:pt>
                <c:pt idx="215">
                  <c:v>69.819999999999993</c:v>
                </c:pt>
                <c:pt idx="216">
                  <c:v>67.010000000000005</c:v>
                </c:pt>
                <c:pt idx="217">
                  <c:v>64.510000000000005</c:v>
                </c:pt>
                <c:pt idx="218">
                  <c:v>65.28</c:v>
                </c:pt>
                <c:pt idx="219">
                  <c:v>66</c:v>
                </c:pt>
                <c:pt idx="220">
                  <c:v>66</c:v>
                </c:pt>
                <c:pt idx="221">
                  <c:v>66</c:v>
                </c:pt>
                <c:pt idx="222">
                  <c:v>65.459999999999994</c:v>
                </c:pt>
                <c:pt idx="223">
                  <c:v>64.02</c:v>
                </c:pt>
                <c:pt idx="224">
                  <c:v>62.33</c:v>
                </c:pt>
                <c:pt idx="225">
                  <c:v>62.08</c:v>
                </c:pt>
                <c:pt idx="226">
                  <c:v>60.27</c:v>
                </c:pt>
                <c:pt idx="227">
                  <c:v>60.27</c:v>
                </c:pt>
                <c:pt idx="228">
                  <c:v>60.27</c:v>
                </c:pt>
                <c:pt idx="229">
                  <c:v>59.29</c:v>
                </c:pt>
                <c:pt idx="230">
                  <c:v>59.05</c:v>
                </c:pt>
                <c:pt idx="231">
                  <c:v>59.25</c:v>
                </c:pt>
                <c:pt idx="232">
                  <c:v>58.09</c:v>
                </c:pt>
                <c:pt idx="233">
                  <c:v>58.33</c:v>
                </c:pt>
                <c:pt idx="234">
                  <c:v>58.33</c:v>
                </c:pt>
                <c:pt idx="235">
                  <c:v>58.33</c:v>
                </c:pt>
                <c:pt idx="236">
                  <c:v>60.57</c:v>
                </c:pt>
                <c:pt idx="237">
                  <c:v>61.09</c:v>
                </c:pt>
                <c:pt idx="238">
                  <c:v>60.08</c:v>
                </c:pt>
                <c:pt idx="239">
                  <c:v>58.79</c:v>
                </c:pt>
                <c:pt idx="240">
                  <c:v>59.2</c:v>
                </c:pt>
                <c:pt idx="241">
                  <c:v>59.2</c:v>
                </c:pt>
                <c:pt idx="242">
                  <c:v>59.2</c:v>
                </c:pt>
                <c:pt idx="243">
                  <c:v>59.72</c:v>
                </c:pt>
                <c:pt idx="244">
                  <c:v>58.57</c:v>
                </c:pt>
                <c:pt idx="245">
                  <c:v>59.2</c:v>
                </c:pt>
                <c:pt idx="246">
                  <c:v>58.67</c:v>
                </c:pt>
                <c:pt idx="247">
                  <c:v>59.07</c:v>
                </c:pt>
                <c:pt idx="248">
                  <c:v>59.07</c:v>
                </c:pt>
                <c:pt idx="249">
                  <c:v>59.07</c:v>
                </c:pt>
                <c:pt idx="250">
                  <c:v>58.24</c:v>
                </c:pt>
                <c:pt idx="251">
                  <c:v>56.08</c:v>
                </c:pt>
                <c:pt idx="252">
                  <c:v>55.13</c:v>
                </c:pt>
                <c:pt idx="253">
                  <c:v>53.92</c:v>
                </c:pt>
                <c:pt idx="254">
                  <c:v>52.64</c:v>
                </c:pt>
                <c:pt idx="255">
                  <c:v>52.64</c:v>
                </c:pt>
                <c:pt idx="256">
                  <c:v>52.64</c:v>
                </c:pt>
                <c:pt idx="257">
                  <c:v>52.64</c:v>
                </c:pt>
                <c:pt idx="258">
                  <c:v>52.64</c:v>
                </c:pt>
                <c:pt idx="259">
                  <c:v>50.11</c:v>
                </c:pt>
                <c:pt idx="260">
                  <c:v>52.35</c:v>
                </c:pt>
                <c:pt idx="261">
                  <c:v>51.55</c:v>
                </c:pt>
                <c:pt idx="262">
                  <c:v>51.55</c:v>
                </c:pt>
                <c:pt idx="263">
                  <c:v>51.55</c:v>
                </c:pt>
                <c:pt idx="264">
                  <c:v>51.55</c:v>
                </c:pt>
                <c:pt idx="265">
                  <c:v>51.55</c:v>
                </c:pt>
                <c:pt idx="266">
                  <c:v>52.14</c:v>
                </c:pt>
                <c:pt idx="267">
                  <c:v>52.93</c:v>
                </c:pt>
                <c:pt idx="268">
                  <c:v>55.13</c:v>
                </c:pt>
                <c:pt idx="269">
                  <c:v>55.13</c:v>
                </c:pt>
                <c:pt idx="270">
                  <c:v>55.13</c:v>
                </c:pt>
                <c:pt idx="271">
                  <c:v>56.42</c:v>
                </c:pt>
                <c:pt idx="272">
                  <c:v>56.09</c:v>
                </c:pt>
                <c:pt idx="273">
                  <c:v>58.22</c:v>
                </c:pt>
                <c:pt idx="274">
                  <c:v>59.46</c:v>
                </c:pt>
                <c:pt idx="275">
                  <c:v>60</c:v>
                </c:pt>
                <c:pt idx="276">
                  <c:v>60</c:v>
                </c:pt>
                <c:pt idx="277">
                  <c:v>60</c:v>
                </c:pt>
                <c:pt idx="278">
                  <c:v>58.39</c:v>
                </c:pt>
                <c:pt idx="279">
                  <c:v>58.24</c:v>
                </c:pt>
                <c:pt idx="280">
                  <c:v>59.52</c:v>
                </c:pt>
                <c:pt idx="281">
                  <c:v>59.63</c:v>
                </c:pt>
                <c:pt idx="282">
                  <c:v>60.9</c:v>
                </c:pt>
                <c:pt idx="283">
                  <c:v>60.9</c:v>
                </c:pt>
                <c:pt idx="284">
                  <c:v>60.9</c:v>
                </c:pt>
                <c:pt idx="285">
                  <c:v>61.49</c:v>
                </c:pt>
                <c:pt idx="286">
                  <c:v>60.66</c:v>
                </c:pt>
                <c:pt idx="287">
                  <c:v>60.52</c:v>
                </c:pt>
                <c:pt idx="288">
                  <c:v>60.22</c:v>
                </c:pt>
                <c:pt idx="289">
                  <c:v>60.9</c:v>
                </c:pt>
                <c:pt idx="290">
                  <c:v>60.9</c:v>
                </c:pt>
                <c:pt idx="291">
                  <c:v>60.9</c:v>
                </c:pt>
                <c:pt idx="292">
                  <c:v>59.57</c:v>
                </c:pt>
                <c:pt idx="293">
                  <c:v>59.71</c:v>
                </c:pt>
                <c:pt idx="294">
                  <c:v>60.93</c:v>
                </c:pt>
                <c:pt idx="295">
                  <c:v>61.19</c:v>
                </c:pt>
                <c:pt idx="296">
                  <c:v>60.96</c:v>
                </c:pt>
                <c:pt idx="297">
                  <c:v>60.96</c:v>
                </c:pt>
                <c:pt idx="298">
                  <c:v>60.96</c:v>
                </c:pt>
                <c:pt idx="299">
                  <c:v>62.33</c:v>
                </c:pt>
                <c:pt idx="300">
                  <c:v>62.07</c:v>
                </c:pt>
                <c:pt idx="301">
                  <c:v>62.3</c:v>
                </c:pt>
                <c:pt idx="302">
                  <c:v>61.57</c:v>
                </c:pt>
                <c:pt idx="303">
                  <c:v>61.37</c:v>
                </c:pt>
                <c:pt idx="304">
                  <c:v>61.37</c:v>
                </c:pt>
                <c:pt idx="305">
                  <c:v>61.37</c:v>
                </c:pt>
                <c:pt idx="306">
                  <c:v>61.4</c:v>
                </c:pt>
                <c:pt idx="307">
                  <c:v>61.88</c:v>
                </c:pt>
                <c:pt idx="308">
                  <c:v>62.94</c:v>
                </c:pt>
                <c:pt idx="309">
                  <c:v>64.28</c:v>
                </c:pt>
                <c:pt idx="310">
                  <c:v>64.87</c:v>
                </c:pt>
                <c:pt idx="311">
                  <c:v>64.87</c:v>
                </c:pt>
                <c:pt idx="312">
                  <c:v>64.87</c:v>
                </c:pt>
                <c:pt idx="313">
                  <c:v>66.03</c:v>
                </c:pt>
                <c:pt idx="314">
                  <c:v>65.790000000000006</c:v>
                </c:pt>
                <c:pt idx="315">
                  <c:v>65.97</c:v>
                </c:pt>
                <c:pt idx="316">
                  <c:v>66.5</c:v>
                </c:pt>
                <c:pt idx="317">
                  <c:v>66.56</c:v>
                </c:pt>
                <c:pt idx="318">
                  <c:v>66.56</c:v>
                </c:pt>
                <c:pt idx="319">
                  <c:v>66.56</c:v>
                </c:pt>
                <c:pt idx="320">
                  <c:v>65.36</c:v>
                </c:pt>
                <c:pt idx="321">
                  <c:v>64.08</c:v>
                </c:pt>
                <c:pt idx="322">
                  <c:v>64.97</c:v>
                </c:pt>
                <c:pt idx="323">
                  <c:v>65.28</c:v>
                </c:pt>
                <c:pt idx="324">
                  <c:v>65.319999999999993</c:v>
                </c:pt>
                <c:pt idx="325">
                  <c:v>65.319999999999993</c:v>
                </c:pt>
                <c:pt idx="326">
                  <c:v>65.319999999999993</c:v>
                </c:pt>
                <c:pt idx="327">
                  <c:v>64.86</c:v>
                </c:pt>
                <c:pt idx="328">
                  <c:v>64.98</c:v>
                </c:pt>
                <c:pt idx="329">
                  <c:v>65.040000000000006</c:v>
                </c:pt>
                <c:pt idx="330">
                  <c:v>65.569999999999993</c:v>
                </c:pt>
                <c:pt idx="331">
                  <c:v>64.78</c:v>
                </c:pt>
                <c:pt idx="332">
                  <c:v>64.78</c:v>
                </c:pt>
                <c:pt idx="333">
                  <c:v>64.78</c:v>
                </c:pt>
                <c:pt idx="334">
                  <c:v>66.010000000000005</c:v>
                </c:pt>
                <c:pt idx="335">
                  <c:v>66.3</c:v>
                </c:pt>
                <c:pt idx="336">
                  <c:v>66.599999999999994</c:v>
                </c:pt>
                <c:pt idx="337">
                  <c:v>67.290000000000006</c:v>
                </c:pt>
                <c:pt idx="338">
                  <c:v>66.91</c:v>
                </c:pt>
                <c:pt idx="339">
                  <c:v>66.91</c:v>
                </c:pt>
                <c:pt idx="340">
                  <c:v>66.91</c:v>
                </c:pt>
                <c:pt idx="341">
                  <c:v>66.87</c:v>
                </c:pt>
                <c:pt idx="342">
                  <c:v>67.25</c:v>
                </c:pt>
                <c:pt idx="343">
                  <c:v>67.540000000000006</c:v>
                </c:pt>
                <c:pt idx="344">
                  <c:v>67.78</c:v>
                </c:pt>
                <c:pt idx="345">
                  <c:v>66.67</c:v>
                </c:pt>
                <c:pt idx="346">
                  <c:v>66.67</c:v>
                </c:pt>
                <c:pt idx="347">
                  <c:v>66.67</c:v>
                </c:pt>
                <c:pt idx="348">
                  <c:v>66.19</c:v>
                </c:pt>
                <c:pt idx="349">
                  <c:v>67.03</c:v>
                </c:pt>
                <c:pt idx="350">
                  <c:v>67.150000000000006</c:v>
                </c:pt>
                <c:pt idx="351">
                  <c:v>66.38</c:v>
                </c:pt>
                <c:pt idx="352">
                  <c:v>67.23</c:v>
                </c:pt>
                <c:pt idx="353">
                  <c:v>67.23</c:v>
                </c:pt>
                <c:pt idx="354">
                  <c:v>67.23</c:v>
                </c:pt>
                <c:pt idx="355">
                  <c:v>68.31</c:v>
                </c:pt>
                <c:pt idx="356">
                  <c:v>68.83</c:v>
                </c:pt>
                <c:pt idx="357">
                  <c:v>69.12</c:v>
                </c:pt>
                <c:pt idx="358">
                  <c:v>68.760000000000005</c:v>
                </c:pt>
                <c:pt idx="359">
                  <c:v>69.02</c:v>
                </c:pt>
                <c:pt idx="360">
                  <c:v>69.02</c:v>
                </c:pt>
                <c:pt idx="361">
                  <c:v>69.02</c:v>
                </c:pt>
                <c:pt idx="362">
                  <c:v>70.33</c:v>
                </c:pt>
                <c:pt idx="363">
                  <c:v>70.349999999999994</c:v>
                </c:pt>
                <c:pt idx="364">
                  <c:v>70.31</c:v>
                </c:pt>
                <c:pt idx="365">
                  <c:v>70.41</c:v>
                </c:pt>
                <c:pt idx="366">
                  <c:v>70.44</c:v>
                </c:pt>
                <c:pt idx="367">
                  <c:v>70.44</c:v>
                </c:pt>
                <c:pt idx="368">
                  <c:v>70.44</c:v>
                </c:pt>
                <c:pt idx="369">
                  <c:v>70.209999999999994</c:v>
                </c:pt>
                <c:pt idx="370">
                  <c:v>70.11</c:v>
                </c:pt>
                <c:pt idx="371">
                  <c:v>70.81</c:v>
                </c:pt>
                <c:pt idx="372">
                  <c:v>70.83</c:v>
                </c:pt>
                <c:pt idx="373">
                  <c:v>70.83</c:v>
                </c:pt>
                <c:pt idx="374">
                  <c:v>70.83</c:v>
                </c:pt>
                <c:pt idx="375">
                  <c:v>70.83</c:v>
                </c:pt>
                <c:pt idx="376">
                  <c:v>72.44</c:v>
                </c:pt>
                <c:pt idx="377">
                  <c:v>73.37</c:v>
                </c:pt>
                <c:pt idx="378">
                  <c:v>73.430000000000007</c:v>
                </c:pt>
                <c:pt idx="379">
                  <c:v>74.040000000000006</c:v>
                </c:pt>
                <c:pt idx="380">
                  <c:v>72.38</c:v>
                </c:pt>
                <c:pt idx="381">
                  <c:v>72.38</c:v>
                </c:pt>
                <c:pt idx="382">
                  <c:v>72.38</c:v>
                </c:pt>
                <c:pt idx="383">
                  <c:v>71.069999999999993</c:v>
                </c:pt>
                <c:pt idx="384">
                  <c:v>71.91</c:v>
                </c:pt>
                <c:pt idx="385">
                  <c:v>72</c:v>
                </c:pt>
                <c:pt idx="386">
                  <c:v>70.98</c:v>
                </c:pt>
                <c:pt idx="387">
                  <c:v>70.61</c:v>
                </c:pt>
                <c:pt idx="388">
                  <c:v>70.61</c:v>
                </c:pt>
                <c:pt idx="389">
                  <c:v>70.61</c:v>
                </c:pt>
                <c:pt idx="390">
                  <c:v>70.23</c:v>
                </c:pt>
                <c:pt idx="391">
                  <c:v>70.45</c:v>
                </c:pt>
                <c:pt idx="392">
                  <c:v>69.88</c:v>
                </c:pt>
                <c:pt idx="393">
                  <c:v>69.66</c:v>
                </c:pt>
                <c:pt idx="394">
                  <c:v>70.66</c:v>
                </c:pt>
                <c:pt idx="395">
                  <c:v>70.66</c:v>
                </c:pt>
                <c:pt idx="396">
                  <c:v>70.66</c:v>
                </c:pt>
                <c:pt idx="397">
                  <c:v>71.209999999999994</c:v>
                </c:pt>
                <c:pt idx="398">
                  <c:v>70.66</c:v>
                </c:pt>
                <c:pt idx="399">
                  <c:v>71.260000000000005</c:v>
                </c:pt>
                <c:pt idx="400">
                  <c:v>72.61</c:v>
                </c:pt>
                <c:pt idx="401">
                  <c:v>72.569999999999993</c:v>
                </c:pt>
                <c:pt idx="402">
                  <c:v>72.569999999999993</c:v>
                </c:pt>
                <c:pt idx="403">
                  <c:v>72.569999999999993</c:v>
                </c:pt>
                <c:pt idx="404">
                  <c:v>72.47</c:v>
                </c:pt>
                <c:pt idx="405">
                  <c:v>71.709999999999994</c:v>
                </c:pt>
                <c:pt idx="406">
                  <c:v>71.03</c:v>
                </c:pt>
                <c:pt idx="407">
                  <c:v>68.56</c:v>
                </c:pt>
                <c:pt idx="408">
                  <c:v>67.400000000000006</c:v>
                </c:pt>
                <c:pt idx="409">
                  <c:v>67.400000000000006</c:v>
                </c:pt>
                <c:pt idx="410">
                  <c:v>67.400000000000006</c:v>
                </c:pt>
                <c:pt idx="411">
                  <c:v>67.42</c:v>
                </c:pt>
                <c:pt idx="412">
                  <c:v>68.84</c:v>
                </c:pt>
                <c:pt idx="413">
                  <c:v>67.75</c:v>
                </c:pt>
                <c:pt idx="414">
                  <c:v>67.099999999999994</c:v>
                </c:pt>
                <c:pt idx="415">
                  <c:v>64.150000000000006</c:v>
                </c:pt>
                <c:pt idx="416">
                  <c:v>64.150000000000006</c:v>
                </c:pt>
                <c:pt idx="417">
                  <c:v>64.150000000000006</c:v>
                </c:pt>
                <c:pt idx="418">
                  <c:v>61.61</c:v>
                </c:pt>
                <c:pt idx="419">
                  <c:v>61.63</c:v>
                </c:pt>
                <c:pt idx="420">
                  <c:v>61.04</c:v>
                </c:pt>
                <c:pt idx="421">
                  <c:v>60.88</c:v>
                </c:pt>
                <c:pt idx="422">
                  <c:v>62.71</c:v>
                </c:pt>
                <c:pt idx="423">
                  <c:v>62.71</c:v>
                </c:pt>
                <c:pt idx="424">
                  <c:v>62.71</c:v>
                </c:pt>
                <c:pt idx="425">
                  <c:v>63.01</c:v>
                </c:pt>
                <c:pt idx="426">
                  <c:v>62.56</c:v>
                </c:pt>
                <c:pt idx="427">
                  <c:v>61.01</c:v>
                </c:pt>
                <c:pt idx="428">
                  <c:v>61.51</c:v>
                </c:pt>
                <c:pt idx="429">
                  <c:v>61.25</c:v>
                </c:pt>
                <c:pt idx="430">
                  <c:v>61.25</c:v>
                </c:pt>
                <c:pt idx="431">
                  <c:v>61.25</c:v>
                </c:pt>
                <c:pt idx="432">
                  <c:v>61.6</c:v>
                </c:pt>
                <c:pt idx="433">
                  <c:v>61.43</c:v>
                </c:pt>
                <c:pt idx="434">
                  <c:v>62.21</c:v>
                </c:pt>
                <c:pt idx="435">
                  <c:v>63.95</c:v>
                </c:pt>
                <c:pt idx="436">
                  <c:v>65.290000000000006</c:v>
                </c:pt>
                <c:pt idx="437">
                  <c:v>65.290000000000006</c:v>
                </c:pt>
                <c:pt idx="438">
                  <c:v>65.290000000000006</c:v>
                </c:pt>
                <c:pt idx="439">
                  <c:v>65.05</c:v>
                </c:pt>
                <c:pt idx="440">
                  <c:v>64.790000000000006</c:v>
                </c:pt>
                <c:pt idx="441">
                  <c:v>65.599999999999994</c:v>
                </c:pt>
                <c:pt idx="442">
                  <c:v>65.61</c:v>
                </c:pt>
                <c:pt idx="443">
                  <c:v>65.599999999999994</c:v>
                </c:pt>
                <c:pt idx="444">
                  <c:v>65.599999999999994</c:v>
                </c:pt>
                <c:pt idx="445">
                  <c:v>65.599999999999994</c:v>
                </c:pt>
                <c:pt idx="446">
                  <c:v>65.709999999999994</c:v>
                </c:pt>
                <c:pt idx="447">
                  <c:v>63.95</c:v>
                </c:pt>
                <c:pt idx="448">
                  <c:v>62.69</c:v>
                </c:pt>
                <c:pt idx="449">
                  <c:v>63.43</c:v>
                </c:pt>
                <c:pt idx="450">
                  <c:v>63.55</c:v>
                </c:pt>
                <c:pt idx="451">
                  <c:v>63.55</c:v>
                </c:pt>
                <c:pt idx="452">
                  <c:v>63.55</c:v>
                </c:pt>
                <c:pt idx="453">
                  <c:v>64.72</c:v>
                </c:pt>
                <c:pt idx="454">
                  <c:v>64.349999999999994</c:v>
                </c:pt>
                <c:pt idx="455">
                  <c:v>66.099999999999994</c:v>
                </c:pt>
                <c:pt idx="456">
                  <c:v>67.569999999999993</c:v>
                </c:pt>
                <c:pt idx="457">
                  <c:v>67.36</c:v>
                </c:pt>
                <c:pt idx="458">
                  <c:v>67.36</c:v>
                </c:pt>
                <c:pt idx="459">
                  <c:v>67.36</c:v>
                </c:pt>
                <c:pt idx="460">
                  <c:v>66.790000000000006</c:v>
                </c:pt>
                <c:pt idx="461">
                  <c:v>66.13</c:v>
                </c:pt>
                <c:pt idx="462">
                  <c:v>64.599999999999994</c:v>
                </c:pt>
                <c:pt idx="463">
                  <c:v>63.1</c:v>
                </c:pt>
                <c:pt idx="464">
                  <c:v>62.93</c:v>
                </c:pt>
                <c:pt idx="465">
                  <c:v>62.93</c:v>
                </c:pt>
                <c:pt idx="466">
                  <c:v>62.93</c:v>
                </c:pt>
                <c:pt idx="467">
                  <c:v>64.27</c:v>
                </c:pt>
                <c:pt idx="468">
                  <c:v>63.92</c:v>
                </c:pt>
                <c:pt idx="469">
                  <c:v>64.58</c:v>
                </c:pt>
                <c:pt idx="470">
                  <c:v>64.55</c:v>
                </c:pt>
                <c:pt idx="471">
                  <c:v>64.02</c:v>
                </c:pt>
                <c:pt idx="472">
                  <c:v>64.02</c:v>
                </c:pt>
                <c:pt idx="473">
                  <c:v>64.02</c:v>
                </c:pt>
                <c:pt idx="474">
                  <c:v>63.79</c:v>
                </c:pt>
                <c:pt idx="475">
                  <c:v>64.62</c:v>
                </c:pt>
                <c:pt idx="476">
                  <c:v>65.53</c:v>
                </c:pt>
                <c:pt idx="477">
                  <c:v>63.37</c:v>
                </c:pt>
                <c:pt idx="478">
                  <c:v>61.55</c:v>
                </c:pt>
                <c:pt idx="479">
                  <c:v>61.55</c:v>
                </c:pt>
                <c:pt idx="480">
                  <c:v>61.55</c:v>
                </c:pt>
                <c:pt idx="481">
                  <c:v>60.41</c:v>
                </c:pt>
                <c:pt idx="482">
                  <c:v>59.59</c:v>
                </c:pt>
                <c:pt idx="483">
                  <c:v>57.7</c:v>
                </c:pt>
                <c:pt idx="484">
                  <c:v>57.38</c:v>
                </c:pt>
                <c:pt idx="485">
                  <c:v>57.88</c:v>
                </c:pt>
                <c:pt idx="486">
                  <c:v>57.88</c:v>
                </c:pt>
                <c:pt idx="487">
                  <c:v>57.88</c:v>
                </c:pt>
                <c:pt idx="488">
                  <c:v>57.84</c:v>
                </c:pt>
                <c:pt idx="489">
                  <c:v>59.34</c:v>
                </c:pt>
                <c:pt idx="490">
                  <c:v>59.88</c:v>
                </c:pt>
                <c:pt idx="491">
                  <c:v>58.77</c:v>
                </c:pt>
                <c:pt idx="492">
                  <c:v>59.03</c:v>
                </c:pt>
                <c:pt idx="493">
                  <c:v>59.03</c:v>
                </c:pt>
                <c:pt idx="494">
                  <c:v>59.03</c:v>
                </c:pt>
                <c:pt idx="495">
                  <c:v>59.46</c:v>
                </c:pt>
                <c:pt idx="496">
                  <c:v>59.94</c:v>
                </c:pt>
                <c:pt idx="497">
                  <c:v>60.66</c:v>
                </c:pt>
                <c:pt idx="498">
                  <c:v>60.5</c:v>
                </c:pt>
                <c:pt idx="499">
                  <c:v>59.67</c:v>
                </c:pt>
                <c:pt idx="500">
                  <c:v>59.67</c:v>
                </c:pt>
                <c:pt idx="501">
                  <c:v>59.67</c:v>
                </c:pt>
                <c:pt idx="502">
                  <c:v>59.18</c:v>
                </c:pt>
                <c:pt idx="503">
                  <c:v>58.98</c:v>
                </c:pt>
                <c:pt idx="504">
                  <c:v>60.16</c:v>
                </c:pt>
                <c:pt idx="505">
                  <c:v>60.24</c:v>
                </c:pt>
                <c:pt idx="506">
                  <c:v>60.11</c:v>
                </c:pt>
                <c:pt idx="507">
                  <c:v>60.11</c:v>
                </c:pt>
                <c:pt idx="508">
                  <c:v>60.11</c:v>
                </c:pt>
                <c:pt idx="509">
                  <c:v>58.76</c:v>
                </c:pt>
                <c:pt idx="510">
                  <c:v>57.81</c:v>
                </c:pt>
                <c:pt idx="511">
                  <c:v>58.97</c:v>
                </c:pt>
                <c:pt idx="512">
                  <c:v>60.58</c:v>
                </c:pt>
                <c:pt idx="513">
                  <c:v>60.75</c:v>
                </c:pt>
                <c:pt idx="514">
                  <c:v>60.75</c:v>
                </c:pt>
                <c:pt idx="515">
                  <c:v>60.75</c:v>
                </c:pt>
                <c:pt idx="516">
                  <c:v>62</c:v>
                </c:pt>
                <c:pt idx="517">
                  <c:v>62.74</c:v>
                </c:pt>
                <c:pt idx="518">
                  <c:v>62.08</c:v>
                </c:pt>
                <c:pt idx="519">
                  <c:v>60.51</c:v>
                </c:pt>
                <c:pt idx="520">
                  <c:v>60.02</c:v>
                </c:pt>
                <c:pt idx="521">
                  <c:v>60.02</c:v>
                </c:pt>
                <c:pt idx="522">
                  <c:v>60.02</c:v>
                </c:pt>
                <c:pt idx="523">
                  <c:v>66.430000000000007</c:v>
                </c:pt>
                <c:pt idx="524">
                  <c:v>67.88</c:v>
                </c:pt>
                <c:pt idx="525">
                  <c:v>64.569999999999993</c:v>
                </c:pt>
                <c:pt idx="526">
                  <c:v>64.39</c:v>
                </c:pt>
                <c:pt idx="527">
                  <c:v>65.3</c:v>
                </c:pt>
                <c:pt idx="528">
                  <c:v>65.3</c:v>
                </c:pt>
                <c:pt idx="529">
                  <c:v>65.3</c:v>
                </c:pt>
                <c:pt idx="530">
                  <c:v>64.510000000000005</c:v>
                </c:pt>
                <c:pt idx="531">
                  <c:v>63.93</c:v>
                </c:pt>
                <c:pt idx="532">
                  <c:v>62.35</c:v>
                </c:pt>
                <c:pt idx="533">
                  <c:v>62.31</c:v>
                </c:pt>
                <c:pt idx="534">
                  <c:v>62.51</c:v>
                </c:pt>
                <c:pt idx="535">
                  <c:v>62.51</c:v>
                </c:pt>
                <c:pt idx="536">
                  <c:v>62.51</c:v>
                </c:pt>
                <c:pt idx="537">
                  <c:v>61.09</c:v>
                </c:pt>
                <c:pt idx="538">
                  <c:v>59.68</c:v>
                </c:pt>
                <c:pt idx="539">
                  <c:v>58.75</c:v>
                </c:pt>
                <c:pt idx="540">
                  <c:v>57.99</c:v>
                </c:pt>
                <c:pt idx="541">
                  <c:v>58.62</c:v>
                </c:pt>
                <c:pt idx="542">
                  <c:v>58.62</c:v>
                </c:pt>
                <c:pt idx="543">
                  <c:v>58.62</c:v>
                </c:pt>
                <c:pt idx="544">
                  <c:v>59.12</c:v>
                </c:pt>
                <c:pt idx="545">
                  <c:v>58.56</c:v>
                </c:pt>
                <c:pt idx="546">
                  <c:v>58.68</c:v>
                </c:pt>
                <c:pt idx="547">
                  <c:v>58.74</c:v>
                </c:pt>
                <c:pt idx="548">
                  <c:v>60.97</c:v>
                </c:pt>
                <c:pt idx="549">
                  <c:v>60.97</c:v>
                </c:pt>
                <c:pt idx="550">
                  <c:v>60.97</c:v>
                </c:pt>
                <c:pt idx="551">
                  <c:v>59.95</c:v>
                </c:pt>
                <c:pt idx="552">
                  <c:v>59.62</c:v>
                </c:pt>
                <c:pt idx="553">
                  <c:v>59.28</c:v>
                </c:pt>
                <c:pt idx="554">
                  <c:v>59.54</c:v>
                </c:pt>
                <c:pt idx="555">
                  <c:v>60.06</c:v>
                </c:pt>
                <c:pt idx="556">
                  <c:v>60.06</c:v>
                </c:pt>
                <c:pt idx="557">
                  <c:v>60.06</c:v>
                </c:pt>
                <c:pt idx="558">
                  <c:v>59.5</c:v>
                </c:pt>
                <c:pt idx="559">
                  <c:v>59.78</c:v>
                </c:pt>
                <c:pt idx="560">
                  <c:v>60.42</c:v>
                </c:pt>
                <c:pt idx="561">
                  <c:v>61.63</c:v>
                </c:pt>
                <c:pt idx="562">
                  <c:v>62.16</c:v>
                </c:pt>
                <c:pt idx="563">
                  <c:v>62.16</c:v>
                </c:pt>
                <c:pt idx="564">
                  <c:v>62.16</c:v>
                </c:pt>
                <c:pt idx="565">
                  <c:v>61.65</c:v>
                </c:pt>
                <c:pt idx="566">
                  <c:v>61.44</c:v>
                </c:pt>
                <c:pt idx="567">
                  <c:v>61.24</c:v>
                </c:pt>
                <c:pt idx="568">
                  <c:v>60.52</c:v>
                </c:pt>
                <c:pt idx="569">
                  <c:v>60.19</c:v>
                </c:pt>
                <c:pt idx="570">
                  <c:v>60.19</c:v>
                </c:pt>
                <c:pt idx="571">
                  <c:v>60.19</c:v>
                </c:pt>
                <c:pt idx="572">
                  <c:v>62</c:v>
                </c:pt>
                <c:pt idx="573">
                  <c:v>62.57</c:v>
                </c:pt>
                <c:pt idx="574">
                  <c:v>62.39</c:v>
                </c:pt>
                <c:pt idx="575">
                  <c:v>62.32</c:v>
                </c:pt>
                <c:pt idx="576">
                  <c:v>61.98</c:v>
                </c:pt>
                <c:pt idx="577">
                  <c:v>61.98</c:v>
                </c:pt>
                <c:pt idx="578">
                  <c:v>61.98</c:v>
                </c:pt>
                <c:pt idx="579">
                  <c:v>62.26</c:v>
                </c:pt>
                <c:pt idx="580">
                  <c:v>62.82</c:v>
                </c:pt>
                <c:pt idx="581">
                  <c:v>62.48</c:v>
                </c:pt>
                <c:pt idx="582">
                  <c:v>63</c:v>
                </c:pt>
                <c:pt idx="583">
                  <c:v>63.12</c:v>
                </c:pt>
                <c:pt idx="584">
                  <c:v>63.12</c:v>
                </c:pt>
                <c:pt idx="585">
                  <c:v>63.12</c:v>
                </c:pt>
                <c:pt idx="586">
                  <c:v>63.44</c:v>
                </c:pt>
                <c:pt idx="587">
                  <c:v>62.51</c:v>
                </c:pt>
                <c:pt idx="588">
                  <c:v>62.22</c:v>
                </c:pt>
                <c:pt idx="589">
                  <c:v>63.68</c:v>
                </c:pt>
                <c:pt idx="590">
                  <c:v>64.56</c:v>
                </c:pt>
                <c:pt idx="591">
                  <c:v>64.56</c:v>
                </c:pt>
                <c:pt idx="592">
                  <c:v>64.56</c:v>
                </c:pt>
                <c:pt idx="593">
                  <c:v>64.209999999999994</c:v>
                </c:pt>
                <c:pt idx="594">
                  <c:v>63.92</c:v>
                </c:pt>
                <c:pt idx="595">
                  <c:v>64.400000000000006</c:v>
                </c:pt>
                <c:pt idx="596">
                  <c:v>63.94</c:v>
                </c:pt>
                <c:pt idx="597">
                  <c:v>63.83</c:v>
                </c:pt>
                <c:pt idx="598">
                  <c:v>63.83</c:v>
                </c:pt>
                <c:pt idx="599">
                  <c:v>63.83</c:v>
                </c:pt>
                <c:pt idx="600">
                  <c:v>62.5</c:v>
                </c:pt>
                <c:pt idx="601">
                  <c:v>62.57</c:v>
                </c:pt>
                <c:pt idx="602">
                  <c:v>63.39</c:v>
                </c:pt>
                <c:pt idx="603">
                  <c:v>64.81</c:v>
                </c:pt>
                <c:pt idx="604">
                  <c:v>65.239999999999995</c:v>
                </c:pt>
                <c:pt idx="605">
                  <c:v>65.239999999999995</c:v>
                </c:pt>
                <c:pt idx="606">
                  <c:v>65.239999999999995</c:v>
                </c:pt>
                <c:pt idx="607">
                  <c:v>65.569999999999993</c:v>
                </c:pt>
                <c:pt idx="608">
                  <c:v>65.66</c:v>
                </c:pt>
                <c:pt idx="609">
                  <c:v>65.38</c:v>
                </c:pt>
                <c:pt idx="610">
                  <c:v>65.81</c:v>
                </c:pt>
                <c:pt idx="611">
                  <c:v>66.760000000000005</c:v>
                </c:pt>
                <c:pt idx="612">
                  <c:v>66.760000000000005</c:v>
                </c:pt>
                <c:pt idx="613">
                  <c:v>66.760000000000005</c:v>
                </c:pt>
                <c:pt idx="614">
                  <c:v>67.22</c:v>
                </c:pt>
                <c:pt idx="615">
                  <c:v>67.48</c:v>
                </c:pt>
                <c:pt idx="616">
                  <c:v>67.77</c:v>
                </c:pt>
                <c:pt idx="617">
                  <c:v>67.930000000000007</c:v>
                </c:pt>
                <c:pt idx="618">
                  <c:v>68</c:v>
                </c:pt>
                <c:pt idx="619">
                  <c:v>68</c:v>
                </c:pt>
                <c:pt idx="620">
                  <c:v>68</c:v>
                </c:pt>
                <c:pt idx="621">
                  <c:v>67.58</c:v>
                </c:pt>
                <c:pt idx="622">
                  <c:v>67.989999999999995</c:v>
                </c:pt>
                <c:pt idx="623">
                  <c:v>67.989999999999995</c:v>
                </c:pt>
                <c:pt idx="624">
                  <c:v>68.48</c:v>
                </c:pt>
                <c:pt idx="625">
                  <c:v>69.069999999999993</c:v>
                </c:pt>
                <c:pt idx="626">
                  <c:v>69.069999999999993</c:v>
                </c:pt>
                <c:pt idx="627">
                  <c:v>69.069999999999993</c:v>
                </c:pt>
                <c:pt idx="628">
                  <c:v>68.89</c:v>
                </c:pt>
                <c:pt idx="629">
                  <c:v>67.959999999999994</c:v>
                </c:pt>
                <c:pt idx="630">
                  <c:v>67.959999999999994</c:v>
                </c:pt>
                <c:pt idx="631">
                  <c:v>67.12</c:v>
                </c:pt>
                <c:pt idx="632">
                  <c:v>69.38</c:v>
                </c:pt>
                <c:pt idx="633">
                  <c:v>69.38</c:v>
                </c:pt>
                <c:pt idx="634">
                  <c:v>69.38</c:v>
                </c:pt>
                <c:pt idx="635">
                  <c:v>70.87</c:v>
                </c:pt>
                <c:pt idx="636">
                  <c:v>69.599999999999994</c:v>
                </c:pt>
                <c:pt idx="637">
                  <c:v>69.58</c:v>
                </c:pt>
                <c:pt idx="638">
                  <c:v>67.239999999999995</c:v>
                </c:pt>
                <c:pt idx="639">
                  <c:v>67.02</c:v>
                </c:pt>
                <c:pt idx="640">
                  <c:v>67.02</c:v>
                </c:pt>
                <c:pt idx="641">
                  <c:v>67.02</c:v>
                </c:pt>
                <c:pt idx="642">
                  <c:v>66.069999999999993</c:v>
                </c:pt>
                <c:pt idx="643">
                  <c:v>65.63</c:v>
                </c:pt>
                <c:pt idx="644">
                  <c:v>65.319999999999993</c:v>
                </c:pt>
                <c:pt idx="645">
                  <c:v>65.62</c:v>
                </c:pt>
                <c:pt idx="646">
                  <c:v>65.58</c:v>
                </c:pt>
                <c:pt idx="647">
                  <c:v>65.58</c:v>
                </c:pt>
                <c:pt idx="648">
                  <c:v>65.58</c:v>
                </c:pt>
                <c:pt idx="649">
                  <c:v>66.11</c:v>
                </c:pt>
                <c:pt idx="650">
                  <c:v>65.260000000000005</c:v>
                </c:pt>
                <c:pt idx="651">
                  <c:v>64.66</c:v>
                </c:pt>
                <c:pt idx="652">
                  <c:v>63.26</c:v>
                </c:pt>
                <c:pt idx="653">
                  <c:v>62.52</c:v>
                </c:pt>
                <c:pt idx="654">
                  <c:v>62.52</c:v>
                </c:pt>
                <c:pt idx="655">
                  <c:v>62.52</c:v>
                </c:pt>
                <c:pt idx="656">
                  <c:v>61.98</c:v>
                </c:pt>
                <c:pt idx="657">
                  <c:v>60.67</c:v>
                </c:pt>
                <c:pt idx="658">
                  <c:v>61.04</c:v>
                </c:pt>
                <c:pt idx="659">
                  <c:v>58.8</c:v>
                </c:pt>
                <c:pt idx="660">
                  <c:v>58.94</c:v>
                </c:pt>
                <c:pt idx="661">
                  <c:v>58.94</c:v>
                </c:pt>
                <c:pt idx="662">
                  <c:v>58.94</c:v>
                </c:pt>
                <c:pt idx="663">
                  <c:v>55.53</c:v>
                </c:pt>
                <c:pt idx="664">
                  <c:v>54.68</c:v>
                </c:pt>
                <c:pt idx="665">
                  <c:v>55.01</c:v>
                </c:pt>
                <c:pt idx="666">
                  <c:v>55.74</c:v>
                </c:pt>
                <c:pt idx="667">
                  <c:v>55.13</c:v>
                </c:pt>
                <c:pt idx="668">
                  <c:v>55.13</c:v>
                </c:pt>
                <c:pt idx="669">
                  <c:v>55.13</c:v>
                </c:pt>
                <c:pt idx="670">
                  <c:v>54.21</c:v>
                </c:pt>
                <c:pt idx="671">
                  <c:v>54.2</c:v>
                </c:pt>
                <c:pt idx="672">
                  <c:v>55.59</c:v>
                </c:pt>
                <c:pt idx="673">
                  <c:v>55.9</c:v>
                </c:pt>
                <c:pt idx="674">
                  <c:v>56.77</c:v>
                </c:pt>
                <c:pt idx="675">
                  <c:v>56.77</c:v>
                </c:pt>
                <c:pt idx="676">
                  <c:v>56.77</c:v>
                </c:pt>
                <c:pt idx="677">
                  <c:v>57.28</c:v>
                </c:pt>
                <c:pt idx="678">
                  <c:v>56.72</c:v>
                </c:pt>
                <c:pt idx="679">
                  <c:v>58.39</c:v>
                </c:pt>
                <c:pt idx="680">
                  <c:v>58.98</c:v>
                </c:pt>
                <c:pt idx="681">
                  <c:v>58.21</c:v>
                </c:pt>
                <c:pt idx="682">
                  <c:v>58.21</c:v>
                </c:pt>
                <c:pt idx="683">
                  <c:v>58.21</c:v>
                </c:pt>
                <c:pt idx="684">
                  <c:v>56.14</c:v>
                </c:pt>
                <c:pt idx="685">
                  <c:v>55.91</c:v>
                </c:pt>
                <c:pt idx="686">
                  <c:v>54.04</c:v>
                </c:pt>
                <c:pt idx="687">
                  <c:v>51.92</c:v>
                </c:pt>
                <c:pt idx="688">
                  <c:v>50.19</c:v>
                </c:pt>
                <c:pt idx="689">
                  <c:v>50.19</c:v>
                </c:pt>
                <c:pt idx="690">
                  <c:v>50.19</c:v>
                </c:pt>
                <c:pt idx="691">
                  <c:v>51.68</c:v>
                </c:pt>
                <c:pt idx="692">
                  <c:v>52.66</c:v>
                </c:pt>
                <c:pt idx="693">
                  <c:v>52.01</c:v>
                </c:pt>
                <c:pt idx="694">
                  <c:v>51.75</c:v>
                </c:pt>
                <c:pt idx="695">
                  <c:v>48.35</c:v>
                </c:pt>
                <c:pt idx="696">
                  <c:v>48.35</c:v>
                </c:pt>
                <c:pt idx="697">
                  <c:v>48.35</c:v>
                </c:pt>
                <c:pt idx="698">
                  <c:v>34.72</c:v>
                </c:pt>
                <c:pt idx="699">
                  <c:v>35.729999999999997</c:v>
                </c:pt>
                <c:pt idx="700">
                  <c:v>35.56</c:v>
                </c:pt>
                <c:pt idx="701">
                  <c:v>33.270000000000003</c:v>
                </c:pt>
                <c:pt idx="702">
                  <c:v>34.14</c:v>
                </c:pt>
                <c:pt idx="703">
                  <c:v>34.14</c:v>
                </c:pt>
                <c:pt idx="704">
                  <c:v>34.14</c:v>
                </c:pt>
                <c:pt idx="705">
                  <c:v>30.63</c:v>
                </c:pt>
                <c:pt idx="706">
                  <c:v>30.36</c:v>
                </c:pt>
                <c:pt idx="707">
                  <c:v>27.31</c:v>
                </c:pt>
                <c:pt idx="708">
                  <c:v>26.73</c:v>
                </c:pt>
                <c:pt idx="709">
                  <c:v>28.57</c:v>
                </c:pt>
                <c:pt idx="710">
                  <c:v>28.57</c:v>
                </c:pt>
                <c:pt idx="711">
                  <c:v>28.57</c:v>
                </c:pt>
                <c:pt idx="712">
                  <c:v>24.72</c:v>
                </c:pt>
                <c:pt idx="713">
                  <c:v>26.53</c:v>
                </c:pt>
                <c:pt idx="714">
                  <c:v>26.94</c:v>
                </c:pt>
                <c:pt idx="715">
                  <c:v>26.04</c:v>
                </c:pt>
                <c:pt idx="716">
                  <c:v>24.26</c:v>
                </c:pt>
                <c:pt idx="717">
                  <c:v>24.26</c:v>
                </c:pt>
                <c:pt idx="718">
                  <c:v>24.26</c:v>
                </c:pt>
                <c:pt idx="719">
                  <c:v>21.66</c:v>
                </c:pt>
                <c:pt idx="720">
                  <c:v>22.61</c:v>
                </c:pt>
                <c:pt idx="721">
                  <c:v>16.850000000000001</c:v>
                </c:pt>
                <c:pt idx="722">
                  <c:v>18.91</c:v>
                </c:pt>
                <c:pt idx="723">
                  <c:v>23.01</c:v>
                </c:pt>
                <c:pt idx="724">
                  <c:v>23.01</c:v>
                </c:pt>
                <c:pt idx="725">
                  <c:v>23.01</c:v>
                </c:pt>
                <c:pt idx="726">
                  <c:v>23.48</c:v>
                </c:pt>
                <c:pt idx="727">
                  <c:v>22.67</c:v>
                </c:pt>
                <c:pt idx="728">
                  <c:v>21.19</c:v>
                </c:pt>
                <c:pt idx="729">
                  <c:v>21.77</c:v>
                </c:pt>
                <c:pt idx="730">
                  <c:v>21.77</c:v>
                </c:pt>
                <c:pt idx="731">
                  <c:v>21.77</c:v>
                </c:pt>
                <c:pt idx="732">
                  <c:v>21.77</c:v>
                </c:pt>
                <c:pt idx="733">
                  <c:v>21.18</c:v>
                </c:pt>
                <c:pt idx="734">
                  <c:v>19.7</c:v>
                </c:pt>
                <c:pt idx="735">
                  <c:v>17.510000000000002</c:v>
                </c:pt>
                <c:pt idx="736">
                  <c:v>17.73</c:v>
                </c:pt>
                <c:pt idx="737">
                  <c:v>18.170000000000002</c:v>
                </c:pt>
                <c:pt idx="738">
                  <c:v>18.170000000000002</c:v>
                </c:pt>
                <c:pt idx="739">
                  <c:v>18.170000000000002</c:v>
                </c:pt>
                <c:pt idx="740">
                  <c:v>14.19</c:v>
                </c:pt>
                <c:pt idx="741">
                  <c:v>14.63</c:v>
                </c:pt>
                <c:pt idx="742">
                  <c:v>12.22</c:v>
                </c:pt>
                <c:pt idx="743">
                  <c:v>15.23</c:v>
                </c:pt>
                <c:pt idx="744">
                  <c:v>14.31</c:v>
                </c:pt>
                <c:pt idx="745">
                  <c:v>14.31</c:v>
                </c:pt>
                <c:pt idx="746">
                  <c:v>14.31</c:v>
                </c:pt>
                <c:pt idx="747">
                  <c:v>13.3</c:v>
                </c:pt>
                <c:pt idx="748">
                  <c:v>12.41</c:v>
                </c:pt>
                <c:pt idx="749">
                  <c:v>14.36</c:v>
                </c:pt>
                <c:pt idx="750">
                  <c:v>18.05</c:v>
                </c:pt>
                <c:pt idx="751">
                  <c:v>16.52</c:v>
                </c:pt>
                <c:pt idx="752">
                  <c:v>16.52</c:v>
                </c:pt>
                <c:pt idx="753">
                  <c:v>16.52</c:v>
                </c:pt>
                <c:pt idx="754">
                  <c:v>18.36</c:v>
                </c:pt>
                <c:pt idx="755">
                  <c:v>21.43</c:v>
                </c:pt>
                <c:pt idx="756">
                  <c:v>22.4</c:v>
                </c:pt>
                <c:pt idx="757">
                  <c:v>22.91</c:v>
                </c:pt>
                <c:pt idx="758">
                  <c:v>22.21</c:v>
                </c:pt>
                <c:pt idx="759">
                  <c:v>22.21</c:v>
                </c:pt>
                <c:pt idx="760">
                  <c:v>22.21</c:v>
                </c:pt>
                <c:pt idx="761">
                  <c:v>22.71</c:v>
                </c:pt>
                <c:pt idx="762">
                  <c:v>22.83</c:v>
                </c:pt>
                <c:pt idx="763">
                  <c:v>23.25</c:v>
                </c:pt>
                <c:pt idx="764">
                  <c:v>24.93</c:v>
                </c:pt>
                <c:pt idx="765">
                  <c:v>26.54</c:v>
                </c:pt>
                <c:pt idx="766">
                  <c:v>26.54</c:v>
                </c:pt>
                <c:pt idx="767">
                  <c:v>26.54</c:v>
                </c:pt>
                <c:pt idx="768">
                  <c:v>28.21</c:v>
                </c:pt>
                <c:pt idx="769">
                  <c:v>28.43</c:v>
                </c:pt>
                <c:pt idx="770">
                  <c:v>28.68</c:v>
                </c:pt>
                <c:pt idx="771">
                  <c:v>29.7</c:v>
                </c:pt>
                <c:pt idx="772">
                  <c:v>28.06</c:v>
                </c:pt>
                <c:pt idx="773">
                  <c:v>28.06</c:v>
                </c:pt>
                <c:pt idx="774">
                  <c:v>28.06</c:v>
                </c:pt>
                <c:pt idx="775">
                  <c:v>28.06</c:v>
                </c:pt>
                <c:pt idx="776">
                  <c:v>29.75</c:v>
                </c:pt>
                <c:pt idx="777">
                  <c:v>29.03</c:v>
                </c:pt>
                <c:pt idx="778">
                  <c:v>28.45</c:v>
                </c:pt>
                <c:pt idx="779">
                  <c:v>29.01</c:v>
                </c:pt>
                <c:pt idx="780">
                  <c:v>29.01</c:v>
                </c:pt>
                <c:pt idx="781">
                  <c:v>29.01</c:v>
                </c:pt>
                <c:pt idx="782">
                  <c:v>33.69</c:v>
                </c:pt>
                <c:pt idx="783">
                  <c:v>34.96</c:v>
                </c:pt>
                <c:pt idx="784">
                  <c:v>35.47</c:v>
                </c:pt>
                <c:pt idx="785">
                  <c:v>34.85</c:v>
                </c:pt>
                <c:pt idx="786">
                  <c:v>36.840000000000003</c:v>
                </c:pt>
                <c:pt idx="787">
                  <c:v>36.840000000000003</c:v>
                </c:pt>
                <c:pt idx="788">
                  <c:v>36.840000000000003</c:v>
                </c:pt>
                <c:pt idx="789">
                  <c:v>38.89</c:v>
                </c:pt>
                <c:pt idx="790">
                  <c:v>37.1</c:v>
                </c:pt>
                <c:pt idx="791">
                  <c:v>37.46</c:v>
                </c:pt>
                <c:pt idx="792">
                  <c:v>36.56</c:v>
                </c:pt>
                <c:pt idx="793">
                  <c:v>35.06</c:v>
                </c:pt>
                <c:pt idx="794">
                  <c:v>35.06</c:v>
                </c:pt>
                <c:pt idx="795">
                  <c:v>35.06</c:v>
                </c:pt>
                <c:pt idx="796">
                  <c:v>35.090000000000003</c:v>
                </c:pt>
                <c:pt idx="797">
                  <c:v>36.75</c:v>
                </c:pt>
                <c:pt idx="798">
                  <c:v>37.590000000000003</c:v>
                </c:pt>
                <c:pt idx="799">
                  <c:v>37.700000000000003</c:v>
                </c:pt>
                <c:pt idx="800">
                  <c:v>39.450000000000003</c:v>
                </c:pt>
                <c:pt idx="801">
                  <c:v>39.450000000000003</c:v>
                </c:pt>
                <c:pt idx="802">
                  <c:v>39.450000000000003</c:v>
                </c:pt>
                <c:pt idx="803">
                  <c:v>38.96</c:v>
                </c:pt>
                <c:pt idx="804">
                  <c:v>39.85</c:v>
                </c:pt>
                <c:pt idx="805">
                  <c:v>38.17</c:v>
                </c:pt>
                <c:pt idx="806">
                  <c:v>37.18</c:v>
                </c:pt>
                <c:pt idx="807">
                  <c:v>37.99</c:v>
                </c:pt>
                <c:pt idx="808">
                  <c:v>37.99</c:v>
                </c:pt>
                <c:pt idx="809">
                  <c:v>37.99</c:v>
                </c:pt>
                <c:pt idx="810">
                  <c:v>37.340000000000003</c:v>
                </c:pt>
                <c:pt idx="811">
                  <c:v>38.22</c:v>
                </c:pt>
                <c:pt idx="812">
                  <c:v>42.69</c:v>
                </c:pt>
                <c:pt idx="813">
                  <c:v>42.93</c:v>
                </c:pt>
                <c:pt idx="814">
                  <c:v>42.96</c:v>
                </c:pt>
                <c:pt idx="815">
                  <c:v>42.96</c:v>
                </c:pt>
                <c:pt idx="816">
                  <c:v>42.96</c:v>
                </c:pt>
                <c:pt idx="817">
                  <c:v>43.57</c:v>
                </c:pt>
                <c:pt idx="818">
                  <c:v>43.15</c:v>
                </c:pt>
                <c:pt idx="819">
                  <c:v>43.44</c:v>
                </c:pt>
                <c:pt idx="820">
                  <c:v>43.31</c:v>
                </c:pt>
                <c:pt idx="821">
                  <c:v>43.47</c:v>
                </c:pt>
                <c:pt idx="822">
                  <c:v>43.47</c:v>
                </c:pt>
                <c:pt idx="823">
                  <c:v>43.47</c:v>
                </c:pt>
                <c:pt idx="824">
                  <c:v>43.38</c:v>
                </c:pt>
                <c:pt idx="825">
                  <c:v>43.02</c:v>
                </c:pt>
                <c:pt idx="826">
                  <c:v>44.12</c:v>
                </c:pt>
                <c:pt idx="827">
                  <c:v>43.8</c:v>
                </c:pt>
                <c:pt idx="828">
                  <c:v>43.22</c:v>
                </c:pt>
                <c:pt idx="829">
                  <c:v>43.22</c:v>
                </c:pt>
                <c:pt idx="830">
                  <c:v>43.22</c:v>
                </c:pt>
                <c:pt idx="831">
                  <c:v>43.03</c:v>
                </c:pt>
                <c:pt idx="832">
                  <c:v>44.29</c:v>
                </c:pt>
                <c:pt idx="833">
                  <c:v>44.24</c:v>
                </c:pt>
                <c:pt idx="834">
                  <c:v>44.62</c:v>
                </c:pt>
                <c:pt idx="835">
                  <c:v>43.38</c:v>
                </c:pt>
                <c:pt idx="836">
                  <c:v>43.38</c:v>
                </c:pt>
                <c:pt idx="837">
                  <c:v>43.38</c:v>
                </c:pt>
                <c:pt idx="838">
                  <c:v>43.14</c:v>
                </c:pt>
                <c:pt idx="839">
                  <c:v>43.4</c:v>
                </c:pt>
                <c:pt idx="840">
                  <c:v>43.59</c:v>
                </c:pt>
                <c:pt idx="841">
                  <c:v>42.99</c:v>
                </c:pt>
                <c:pt idx="842">
                  <c:v>43.02</c:v>
                </c:pt>
                <c:pt idx="843">
                  <c:v>43.02</c:v>
                </c:pt>
                <c:pt idx="844">
                  <c:v>43.02</c:v>
                </c:pt>
                <c:pt idx="845">
                  <c:v>44.02</c:v>
                </c:pt>
                <c:pt idx="846">
                  <c:v>44.27</c:v>
                </c:pt>
                <c:pt idx="847">
                  <c:v>45.34</c:v>
                </c:pt>
                <c:pt idx="848">
                  <c:v>45.17</c:v>
                </c:pt>
                <c:pt idx="849">
                  <c:v>44.87</c:v>
                </c:pt>
                <c:pt idx="850">
                  <c:v>44.87</c:v>
                </c:pt>
                <c:pt idx="851">
                  <c:v>44.87</c:v>
                </c:pt>
                <c:pt idx="852">
                  <c:v>45.01</c:v>
                </c:pt>
                <c:pt idx="853">
                  <c:v>45.21</c:v>
                </c:pt>
                <c:pt idx="854">
                  <c:v>45.08</c:v>
                </c:pt>
                <c:pt idx="855">
                  <c:v>45.34</c:v>
                </c:pt>
                <c:pt idx="856">
                  <c:v>44.62</c:v>
                </c:pt>
                <c:pt idx="857">
                  <c:v>44.62</c:v>
                </c:pt>
                <c:pt idx="858">
                  <c:v>44.62</c:v>
                </c:pt>
                <c:pt idx="859">
                  <c:v>44.94</c:v>
                </c:pt>
                <c:pt idx="860">
                  <c:v>45.49</c:v>
                </c:pt>
                <c:pt idx="861">
                  <c:v>45.19</c:v>
                </c:pt>
                <c:pt idx="862">
                  <c:v>45.05</c:v>
                </c:pt>
                <c:pt idx="863">
                  <c:v>44.92</c:v>
                </c:pt>
                <c:pt idx="864">
                  <c:v>44.92</c:v>
                </c:pt>
                <c:pt idx="865">
                  <c:v>44.92</c:v>
                </c:pt>
                <c:pt idx="866">
                  <c:v>45.19</c:v>
                </c:pt>
                <c:pt idx="867">
                  <c:v>45.87</c:v>
                </c:pt>
                <c:pt idx="868">
                  <c:v>46.05</c:v>
                </c:pt>
                <c:pt idx="869">
                  <c:v>45.81</c:v>
                </c:pt>
                <c:pt idx="870">
                  <c:v>45.33</c:v>
                </c:pt>
                <c:pt idx="871">
                  <c:v>45.33</c:v>
                </c:pt>
                <c:pt idx="872">
                  <c:v>45.33</c:v>
                </c:pt>
                <c:pt idx="873">
                  <c:v>46.27</c:v>
                </c:pt>
                <c:pt idx="874">
                  <c:v>45.3</c:v>
                </c:pt>
                <c:pt idx="875">
                  <c:v>45.02</c:v>
                </c:pt>
                <c:pt idx="876">
                  <c:v>43.36</c:v>
                </c:pt>
                <c:pt idx="877">
                  <c:v>43.42</c:v>
                </c:pt>
                <c:pt idx="878">
                  <c:v>43.42</c:v>
                </c:pt>
                <c:pt idx="879">
                  <c:v>43.42</c:v>
                </c:pt>
                <c:pt idx="880">
                  <c:v>41.64</c:v>
                </c:pt>
                <c:pt idx="881">
                  <c:v>40.29</c:v>
                </c:pt>
                <c:pt idx="882">
                  <c:v>39.82</c:v>
                </c:pt>
                <c:pt idx="883">
                  <c:v>39.83</c:v>
                </c:pt>
                <c:pt idx="884">
                  <c:v>39.369999999999997</c:v>
                </c:pt>
                <c:pt idx="885">
                  <c:v>39.369999999999997</c:v>
                </c:pt>
                <c:pt idx="886">
                  <c:v>39.369999999999997</c:v>
                </c:pt>
                <c:pt idx="887">
                  <c:v>38.96</c:v>
                </c:pt>
                <c:pt idx="888">
                  <c:v>39.35</c:v>
                </c:pt>
                <c:pt idx="889">
                  <c:v>41.29</c:v>
                </c:pt>
                <c:pt idx="890">
                  <c:v>42.07</c:v>
                </c:pt>
                <c:pt idx="891">
                  <c:v>42.98</c:v>
                </c:pt>
                <c:pt idx="892">
                  <c:v>42.98</c:v>
                </c:pt>
                <c:pt idx="893">
                  <c:v>42.98</c:v>
                </c:pt>
                <c:pt idx="894">
                  <c:v>41.49</c:v>
                </c:pt>
                <c:pt idx="895">
                  <c:v>41.32</c:v>
                </c:pt>
                <c:pt idx="896">
                  <c:v>41.4</c:v>
                </c:pt>
                <c:pt idx="897">
                  <c:v>41.22</c:v>
                </c:pt>
                <c:pt idx="898">
                  <c:v>41.93</c:v>
                </c:pt>
                <c:pt idx="899">
                  <c:v>41.93</c:v>
                </c:pt>
                <c:pt idx="900">
                  <c:v>41.93</c:v>
                </c:pt>
                <c:pt idx="901">
                  <c:v>41.61</c:v>
                </c:pt>
                <c:pt idx="902">
                  <c:v>41.46</c:v>
                </c:pt>
                <c:pt idx="903">
                  <c:v>40.65</c:v>
                </c:pt>
                <c:pt idx="904">
                  <c:v>39.94</c:v>
                </c:pt>
                <c:pt idx="905">
                  <c:v>38.090000000000003</c:v>
                </c:pt>
                <c:pt idx="906">
                  <c:v>38.090000000000003</c:v>
                </c:pt>
                <c:pt idx="907">
                  <c:v>38.090000000000003</c:v>
                </c:pt>
                <c:pt idx="908">
                  <c:v>39.07</c:v>
                </c:pt>
                <c:pt idx="909">
                  <c:v>40.33</c:v>
                </c:pt>
                <c:pt idx="910">
                  <c:v>40.450000000000003</c:v>
                </c:pt>
                <c:pt idx="911">
                  <c:v>41.06</c:v>
                </c:pt>
                <c:pt idx="912">
                  <c:v>41.61</c:v>
                </c:pt>
                <c:pt idx="913">
                  <c:v>41.61</c:v>
                </c:pt>
                <c:pt idx="914">
                  <c:v>41.61</c:v>
                </c:pt>
                <c:pt idx="915">
                  <c:v>40.57</c:v>
                </c:pt>
                <c:pt idx="916">
                  <c:v>40.68</c:v>
                </c:pt>
                <c:pt idx="917">
                  <c:v>41.2</c:v>
                </c:pt>
                <c:pt idx="918">
                  <c:v>41.29</c:v>
                </c:pt>
                <c:pt idx="919">
                  <c:v>41.37</c:v>
                </c:pt>
                <c:pt idx="920">
                  <c:v>41.37</c:v>
                </c:pt>
                <c:pt idx="921">
                  <c:v>41.37</c:v>
                </c:pt>
                <c:pt idx="922">
                  <c:v>41.38</c:v>
                </c:pt>
                <c:pt idx="923">
                  <c:v>41.04</c:v>
                </c:pt>
                <c:pt idx="924">
                  <c:v>40.880000000000003</c:v>
                </c:pt>
                <c:pt idx="925">
                  <c:v>40.909999999999997</c:v>
                </c:pt>
                <c:pt idx="926">
                  <c:v>41.05</c:v>
                </c:pt>
                <c:pt idx="927">
                  <c:v>41.05</c:v>
                </c:pt>
                <c:pt idx="928">
                  <c:v>41.05</c:v>
                </c:pt>
                <c:pt idx="929">
                  <c:v>39.22</c:v>
                </c:pt>
                <c:pt idx="930">
                  <c:v>39.53</c:v>
                </c:pt>
                <c:pt idx="931">
                  <c:v>38.42</c:v>
                </c:pt>
                <c:pt idx="932">
                  <c:v>37.119999999999997</c:v>
                </c:pt>
                <c:pt idx="933">
                  <c:v>36.5</c:v>
                </c:pt>
                <c:pt idx="934">
                  <c:v>36.5</c:v>
                </c:pt>
                <c:pt idx="935">
                  <c:v>36.5</c:v>
                </c:pt>
                <c:pt idx="936">
                  <c:v>35.89</c:v>
                </c:pt>
                <c:pt idx="937">
                  <c:v>38.44</c:v>
                </c:pt>
                <c:pt idx="938">
                  <c:v>39.090000000000003</c:v>
                </c:pt>
                <c:pt idx="939">
                  <c:v>39.79</c:v>
                </c:pt>
                <c:pt idx="940">
                  <c:v>39.22</c:v>
                </c:pt>
                <c:pt idx="941">
                  <c:v>39.22</c:v>
                </c:pt>
                <c:pt idx="942">
                  <c:v>39.22</c:v>
                </c:pt>
                <c:pt idx="943">
                  <c:v>39.97</c:v>
                </c:pt>
                <c:pt idx="944">
                  <c:v>41.72</c:v>
                </c:pt>
                <c:pt idx="945">
                  <c:v>43.42</c:v>
                </c:pt>
                <c:pt idx="946">
                  <c:v>42.97</c:v>
                </c:pt>
                <c:pt idx="947">
                  <c:v>42.05</c:v>
                </c:pt>
                <c:pt idx="948">
                  <c:v>42.05</c:v>
                </c:pt>
                <c:pt idx="949">
                  <c:v>42.05</c:v>
                </c:pt>
                <c:pt idx="950">
                  <c:v>42.93</c:v>
                </c:pt>
                <c:pt idx="951">
                  <c:v>42.76</c:v>
                </c:pt>
                <c:pt idx="952">
                  <c:v>43.05</c:v>
                </c:pt>
                <c:pt idx="953">
                  <c:v>43.12</c:v>
                </c:pt>
                <c:pt idx="954">
                  <c:v>43.38</c:v>
                </c:pt>
                <c:pt idx="955">
                  <c:v>43.38</c:v>
                </c:pt>
                <c:pt idx="956">
                  <c:v>43.38</c:v>
                </c:pt>
                <c:pt idx="957">
                  <c:v>44.75</c:v>
                </c:pt>
                <c:pt idx="958">
                  <c:v>45.51</c:v>
                </c:pt>
                <c:pt idx="959">
                  <c:v>46.91</c:v>
                </c:pt>
                <c:pt idx="960">
                  <c:v>46.66</c:v>
                </c:pt>
                <c:pt idx="961">
                  <c:v>46.79</c:v>
                </c:pt>
                <c:pt idx="962">
                  <c:v>46.79</c:v>
                </c:pt>
                <c:pt idx="963">
                  <c:v>46.79</c:v>
                </c:pt>
                <c:pt idx="964">
                  <c:v>46.43</c:v>
                </c:pt>
                <c:pt idx="965">
                  <c:v>46.73</c:v>
                </c:pt>
                <c:pt idx="966">
                  <c:v>46.69</c:v>
                </c:pt>
                <c:pt idx="967">
                  <c:v>47.46</c:v>
                </c:pt>
                <c:pt idx="968">
                  <c:v>48.35</c:v>
                </c:pt>
                <c:pt idx="969">
                  <c:v>48.35</c:v>
                </c:pt>
                <c:pt idx="970">
                  <c:v>48.35</c:v>
                </c:pt>
                <c:pt idx="971">
                  <c:v>47.77</c:v>
                </c:pt>
                <c:pt idx="972">
                  <c:v>47.79</c:v>
                </c:pt>
                <c:pt idx="973">
                  <c:v>48.31</c:v>
                </c:pt>
                <c:pt idx="974">
                  <c:v>48.87</c:v>
                </c:pt>
                <c:pt idx="975">
                  <c:v>49.58</c:v>
                </c:pt>
                <c:pt idx="976">
                  <c:v>49.58</c:v>
                </c:pt>
                <c:pt idx="977">
                  <c:v>49.58</c:v>
                </c:pt>
                <c:pt idx="978">
                  <c:v>49.65</c:v>
                </c:pt>
                <c:pt idx="979">
                  <c:v>49.61</c:v>
                </c:pt>
                <c:pt idx="980">
                  <c:v>50.12</c:v>
                </c:pt>
                <c:pt idx="981">
                  <c:v>50.78</c:v>
                </c:pt>
                <c:pt idx="982">
                  <c:v>50.69</c:v>
                </c:pt>
                <c:pt idx="983">
                  <c:v>50.69</c:v>
                </c:pt>
                <c:pt idx="984">
                  <c:v>50.69</c:v>
                </c:pt>
                <c:pt idx="985">
                  <c:v>49.57</c:v>
                </c:pt>
                <c:pt idx="986">
                  <c:v>49.22</c:v>
                </c:pt>
                <c:pt idx="987">
                  <c:v>49.46</c:v>
                </c:pt>
                <c:pt idx="988">
                  <c:v>50.31</c:v>
                </c:pt>
                <c:pt idx="989">
                  <c:v>50.31</c:v>
                </c:pt>
                <c:pt idx="990">
                  <c:v>50.31</c:v>
                </c:pt>
                <c:pt idx="991">
                  <c:v>50.31</c:v>
                </c:pt>
                <c:pt idx="992">
                  <c:v>50.1</c:v>
                </c:pt>
                <c:pt idx="993">
                  <c:v>50.16</c:v>
                </c:pt>
                <c:pt idx="994">
                  <c:v>50.22</c:v>
                </c:pt>
                <c:pt idx="995">
                  <c:v>50.24</c:v>
                </c:pt>
                <c:pt idx="996">
                  <c:v>50.24</c:v>
                </c:pt>
                <c:pt idx="997">
                  <c:v>50.24</c:v>
                </c:pt>
                <c:pt idx="998">
                  <c:v>50.24</c:v>
                </c:pt>
                <c:pt idx="999">
                  <c:v>51.35</c:v>
                </c:pt>
                <c:pt idx="1000">
                  <c:v>50.75</c:v>
                </c:pt>
                <c:pt idx="1001">
                  <c:v>53.29</c:v>
                </c:pt>
                <c:pt idx="1002">
                  <c:v>53.84</c:v>
                </c:pt>
                <c:pt idx="1003">
                  <c:v>54.39</c:v>
                </c:pt>
                <c:pt idx="1004">
                  <c:v>54.39</c:v>
                </c:pt>
                <c:pt idx="1005">
                  <c:v>54.39</c:v>
                </c:pt>
                <c:pt idx="1006">
                  <c:v>54.76</c:v>
                </c:pt>
                <c:pt idx="1007">
                  <c:v>55.41</c:v>
                </c:pt>
                <c:pt idx="1008">
                  <c:v>55.81</c:v>
                </c:pt>
                <c:pt idx="1009">
                  <c:v>55.19</c:v>
                </c:pt>
                <c:pt idx="1010">
                  <c:v>54.68</c:v>
                </c:pt>
                <c:pt idx="1011">
                  <c:v>54.68</c:v>
                </c:pt>
                <c:pt idx="1012">
                  <c:v>54.68</c:v>
                </c:pt>
                <c:pt idx="1013">
                  <c:v>53.92</c:v>
                </c:pt>
                <c:pt idx="1014">
                  <c:v>54.85</c:v>
                </c:pt>
                <c:pt idx="1015">
                  <c:v>55.75</c:v>
                </c:pt>
                <c:pt idx="1016">
                  <c:v>55.14</c:v>
                </c:pt>
                <c:pt idx="1017">
                  <c:v>54.69</c:v>
                </c:pt>
                <c:pt idx="1018">
                  <c:v>54.69</c:v>
                </c:pt>
                <c:pt idx="1019">
                  <c:v>54.69</c:v>
                </c:pt>
                <c:pt idx="1020">
                  <c:v>54.85</c:v>
                </c:pt>
                <c:pt idx="1021">
                  <c:v>54.87</c:v>
                </c:pt>
                <c:pt idx="1022">
                  <c:v>55.31</c:v>
                </c:pt>
                <c:pt idx="1023">
                  <c:v>54.36</c:v>
                </c:pt>
                <c:pt idx="1024">
                  <c:v>54.41</c:v>
                </c:pt>
                <c:pt idx="1025">
                  <c:v>54.41</c:v>
                </c:pt>
                <c:pt idx="1026">
                  <c:v>54.41</c:v>
                </c:pt>
                <c:pt idx="1027">
                  <c:v>55.14</c:v>
                </c:pt>
                <c:pt idx="1028">
                  <c:v>56.82</c:v>
                </c:pt>
                <c:pt idx="1029">
                  <c:v>57.74</c:v>
                </c:pt>
                <c:pt idx="1030">
                  <c:v>58.26</c:v>
                </c:pt>
                <c:pt idx="1031">
                  <c:v>58.94</c:v>
                </c:pt>
                <c:pt idx="1032">
                  <c:v>58.94</c:v>
                </c:pt>
                <c:pt idx="1033">
                  <c:v>58.94</c:v>
                </c:pt>
                <c:pt idx="1034">
                  <c:v>59.59</c:v>
                </c:pt>
                <c:pt idx="1035">
                  <c:v>60.3</c:v>
                </c:pt>
                <c:pt idx="1036">
                  <c:v>60.47</c:v>
                </c:pt>
                <c:pt idx="1037">
                  <c:v>60.55</c:v>
                </c:pt>
                <c:pt idx="1038">
                  <c:v>60.79</c:v>
                </c:pt>
                <c:pt idx="1039">
                  <c:v>60.79</c:v>
                </c:pt>
                <c:pt idx="1040">
                  <c:v>60.79</c:v>
                </c:pt>
                <c:pt idx="1041">
                  <c:v>62.61</c:v>
                </c:pt>
                <c:pt idx="1042">
                  <c:v>62.49</c:v>
                </c:pt>
                <c:pt idx="1043">
                  <c:v>63.06</c:v>
                </c:pt>
                <c:pt idx="1044">
                  <c:v>63.44</c:v>
                </c:pt>
                <c:pt idx="1045">
                  <c:v>61.32</c:v>
                </c:pt>
                <c:pt idx="1046">
                  <c:v>61.32</c:v>
                </c:pt>
                <c:pt idx="1047">
                  <c:v>61.32</c:v>
                </c:pt>
                <c:pt idx="1048">
                  <c:v>62.01</c:v>
                </c:pt>
                <c:pt idx="1049">
                  <c:v>63.73</c:v>
                </c:pt>
                <c:pt idx="1050">
                  <c:v>64</c:v>
                </c:pt>
                <c:pt idx="1051">
                  <c:v>65.42</c:v>
                </c:pt>
                <c:pt idx="1052">
                  <c:v>64.37</c:v>
                </c:pt>
                <c:pt idx="1053">
                  <c:v>64.37</c:v>
                </c:pt>
                <c:pt idx="1054">
                  <c:v>64.37</c:v>
                </c:pt>
                <c:pt idx="1055">
                  <c:v>64.209999999999994</c:v>
                </c:pt>
                <c:pt idx="1056">
                  <c:v>61.94</c:v>
                </c:pt>
                <c:pt idx="1057">
                  <c:v>62.12</c:v>
                </c:pt>
                <c:pt idx="1058">
                  <c:v>64.23</c:v>
                </c:pt>
                <c:pt idx="1059">
                  <c:v>67.03</c:v>
                </c:pt>
                <c:pt idx="1060">
                  <c:v>67.03</c:v>
                </c:pt>
                <c:pt idx="1061">
                  <c:v>67.03</c:v>
                </c:pt>
                <c:pt idx="1062">
                  <c:v>68.17</c:v>
                </c:pt>
                <c:pt idx="1063">
                  <c:v>66.38</c:v>
                </c:pt>
                <c:pt idx="1064">
                  <c:v>65.599999999999994</c:v>
                </c:pt>
                <c:pt idx="1065">
                  <c:v>67.39</c:v>
                </c:pt>
                <c:pt idx="1066">
                  <c:v>68.14</c:v>
                </c:pt>
                <c:pt idx="1067">
                  <c:v>68.14</c:v>
                </c:pt>
                <c:pt idx="1068">
                  <c:v>68.14</c:v>
                </c:pt>
                <c:pt idx="1069">
                  <c:v>68.180000000000007</c:v>
                </c:pt>
                <c:pt idx="1070">
                  <c:v>66.89</c:v>
                </c:pt>
                <c:pt idx="1071">
                  <c:v>66.760000000000005</c:v>
                </c:pt>
                <c:pt idx="1072">
                  <c:v>64.790000000000006</c:v>
                </c:pt>
                <c:pt idx="1073">
                  <c:v>62.47</c:v>
                </c:pt>
                <c:pt idx="1074">
                  <c:v>62.47</c:v>
                </c:pt>
                <c:pt idx="1075">
                  <c:v>62.47</c:v>
                </c:pt>
                <c:pt idx="1076">
                  <c:v>63.22</c:v>
                </c:pt>
                <c:pt idx="1077">
                  <c:v>62.27</c:v>
                </c:pt>
                <c:pt idx="1078">
                  <c:v>61.61</c:v>
                </c:pt>
                <c:pt idx="1079">
                  <c:v>61.63</c:v>
                </c:pt>
                <c:pt idx="1080">
                  <c:v>62.56</c:v>
                </c:pt>
                <c:pt idx="1081">
                  <c:v>62.56</c:v>
                </c:pt>
                <c:pt idx="1082">
                  <c:v>62.56</c:v>
                </c:pt>
                <c:pt idx="1083">
                  <c:v>62.86</c:v>
                </c:pt>
                <c:pt idx="1084">
                  <c:v>63.37</c:v>
                </c:pt>
                <c:pt idx="1085">
                  <c:v>63.07</c:v>
                </c:pt>
                <c:pt idx="1086">
                  <c:v>61.75</c:v>
                </c:pt>
                <c:pt idx="1087">
                  <c:v>61.75</c:v>
                </c:pt>
                <c:pt idx="1088">
                  <c:v>61.75</c:v>
                </c:pt>
                <c:pt idx="1089">
                  <c:v>61.75</c:v>
                </c:pt>
                <c:pt idx="1090">
                  <c:v>61.68</c:v>
                </c:pt>
                <c:pt idx="1091">
                  <c:v>61.31</c:v>
                </c:pt>
                <c:pt idx="1092">
                  <c:v>60.67</c:v>
                </c:pt>
                <c:pt idx="1093">
                  <c:v>61.2</c:v>
                </c:pt>
                <c:pt idx="1094">
                  <c:v>61.12</c:v>
                </c:pt>
                <c:pt idx="1095">
                  <c:v>61.12</c:v>
                </c:pt>
                <c:pt idx="1096">
                  <c:v>61.12</c:v>
                </c:pt>
                <c:pt idx="1097">
                  <c:v>61.44</c:v>
                </c:pt>
                <c:pt idx="1098">
                  <c:v>61.85</c:v>
                </c:pt>
                <c:pt idx="1099">
                  <c:v>63.39</c:v>
                </c:pt>
                <c:pt idx="1100">
                  <c:v>64.48</c:v>
                </c:pt>
                <c:pt idx="1101">
                  <c:v>65.209999999999994</c:v>
                </c:pt>
                <c:pt idx="1102">
                  <c:v>65.209999999999994</c:v>
                </c:pt>
                <c:pt idx="1103">
                  <c:v>65.209999999999994</c:v>
                </c:pt>
                <c:pt idx="1104">
                  <c:v>65.099999999999994</c:v>
                </c:pt>
                <c:pt idx="1105">
                  <c:v>65.36</c:v>
                </c:pt>
                <c:pt idx="1106">
                  <c:v>64.02</c:v>
                </c:pt>
                <c:pt idx="1107">
                  <c:v>63.06</c:v>
                </c:pt>
                <c:pt idx="1108">
                  <c:v>63.63</c:v>
                </c:pt>
                <c:pt idx="1109">
                  <c:v>63.63</c:v>
                </c:pt>
                <c:pt idx="1110">
                  <c:v>63.63</c:v>
                </c:pt>
                <c:pt idx="1111">
                  <c:v>63.22</c:v>
                </c:pt>
                <c:pt idx="1112">
                  <c:v>63.91</c:v>
                </c:pt>
                <c:pt idx="1113">
                  <c:v>64.53</c:v>
                </c:pt>
                <c:pt idx="1114">
                  <c:v>65.709999999999994</c:v>
                </c:pt>
                <c:pt idx="1115">
                  <c:v>65.42</c:v>
                </c:pt>
                <c:pt idx="1116">
                  <c:v>65.42</c:v>
                </c:pt>
                <c:pt idx="1117">
                  <c:v>65.42</c:v>
                </c:pt>
                <c:pt idx="1118">
                  <c:v>65.09</c:v>
                </c:pt>
                <c:pt idx="1119">
                  <c:v>66.67</c:v>
                </c:pt>
                <c:pt idx="1120">
                  <c:v>68.2</c:v>
                </c:pt>
                <c:pt idx="1121">
                  <c:v>67.489999999999995</c:v>
                </c:pt>
                <c:pt idx="1122">
                  <c:v>66.569999999999993</c:v>
                </c:pt>
                <c:pt idx="1123">
                  <c:v>66.569999999999993</c:v>
                </c:pt>
                <c:pt idx="1124">
                  <c:v>66.569999999999993</c:v>
                </c:pt>
                <c:pt idx="1125">
                  <c:v>67.099999999999994</c:v>
                </c:pt>
                <c:pt idx="1126">
                  <c:v>66.39</c:v>
                </c:pt>
                <c:pt idx="1127">
                  <c:v>67.459999999999994</c:v>
                </c:pt>
                <c:pt idx="1128">
                  <c:v>66.78</c:v>
                </c:pt>
                <c:pt idx="1129">
                  <c:v>66.16</c:v>
                </c:pt>
                <c:pt idx="1130">
                  <c:v>66.16</c:v>
                </c:pt>
                <c:pt idx="1131">
                  <c:v>66.16</c:v>
                </c:pt>
                <c:pt idx="1132">
                  <c:v>67.52</c:v>
                </c:pt>
                <c:pt idx="1133">
                  <c:v>68.39</c:v>
                </c:pt>
                <c:pt idx="1134">
                  <c:v>65.95</c:v>
                </c:pt>
                <c:pt idx="1135">
                  <c:v>65.290000000000006</c:v>
                </c:pt>
                <c:pt idx="1136">
                  <c:v>64.180000000000007</c:v>
                </c:pt>
                <c:pt idx="1137">
                  <c:v>64.180000000000007</c:v>
                </c:pt>
                <c:pt idx="1138">
                  <c:v>64.180000000000007</c:v>
                </c:pt>
                <c:pt idx="1139">
                  <c:v>66.930000000000007</c:v>
                </c:pt>
                <c:pt idx="1140">
                  <c:v>67.41</c:v>
                </c:pt>
                <c:pt idx="1141">
                  <c:v>67.47</c:v>
                </c:pt>
                <c:pt idx="1142">
                  <c:v>67.319999999999993</c:v>
                </c:pt>
                <c:pt idx="1143">
                  <c:v>68.2</c:v>
                </c:pt>
                <c:pt idx="1144">
                  <c:v>68.2</c:v>
                </c:pt>
                <c:pt idx="1145">
                  <c:v>68.2</c:v>
                </c:pt>
                <c:pt idx="1146">
                  <c:v>68.53</c:v>
                </c:pt>
                <c:pt idx="1147">
                  <c:v>69.03</c:v>
                </c:pt>
                <c:pt idx="1148">
                  <c:v>69.39</c:v>
                </c:pt>
                <c:pt idx="1149">
                  <c:v>69.91</c:v>
                </c:pt>
                <c:pt idx="1150">
                  <c:v>70.23</c:v>
                </c:pt>
                <c:pt idx="1151">
                  <c:v>70.23</c:v>
                </c:pt>
                <c:pt idx="1152">
                  <c:v>70.23</c:v>
                </c:pt>
                <c:pt idx="1153">
                  <c:v>70.150000000000006</c:v>
                </c:pt>
                <c:pt idx="1154">
                  <c:v>69.83</c:v>
                </c:pt>
                <c:pt idx="1155">
                  <c:v>71.209999999999994</c:v>
                </c:pt>
                <c:pt idx="1156">
                  <c:v>70.900000000000006</c:v>
                </c:pt>
                <c:pt idx="1157">
                  <c:v>71.31</c:v>
                </c:pt>
                <c:pt idx="1158">
                  <c:v>71.31</c:v>
                </c:pt>
                <c:pt idx="1159">
                  <c:v>71.31</c:v>
                </c:pt>
                <c:pt idx="1160">
                  <c:v>71.989999999999995</c:v>
                </c:pt>
                <c:pt idx="1161">
                  <c:v>72.05</c:v>
                </c:pt>
                <c:pt idx="1162">
                  <c:v>73.16</c:v>
                </c:pt>
                <c:pt idx="1163">
                  <c:v>72.290000000000006</c:v>
                </c:pt>
                <c:pt idx="1164">
                  <c:v>71.56</c:v>
                </c:pt>
                <c:pt idx="1165">
                  <c:v>71.56</c:v>
                </c:pt>
                <c:pt idx="1166">
                  <c:v>71.56</c:v>
                </c:pt>
                <c:pt idx="1167">
                  <c:v>72.45</c:v>
                </c:pt>
                <c:pt idx="1168">
                  <c:v>73.13</c:v>
                </c:pt>
                <c:pt idx="1169">
                  <c:v>74.010000000000005</c:v>
                </c:pt>
                <c:pt idx="1170">
                  <c:v>74.09</c:v>
                </c:pt>
                <c:pt idx="1171">
                  <c:v>74.19</c:v>
                </c:pt>
                <c:pt idx="1172">
                  <c:v>74.19</c:v>
                </c:pt>
                <c:pt idx="1173">
                  <c:v>74.19</c:v>
                </c:pt>
                <c:pt idx="1174">
                  <c:v>73.84</c:v>
                </c:pt>
                <c:pt idx="1175">
                  <c:v>73.34</c:v>
                </c:pt>
                <c:pt idx="1176">
                  <c:v>73.599999999999994</c:v>
                </c:pt>
                <c:pt idx="1177">
                  <c:v>74.87</c:v>
                </c:pt>
                <c:pt idx="1178">
                  <c:v>75.209999999999994</c:v>
                </c:pt>
                <c:pt idx="1179">
                  <c:v>75.209999999999994</c:v>
                </c:pt>
                <c:pt idx="1180">
                  <c:v>75.209999999999994</c:v>
                </c:pt>
                <c:pt idx="1181">
                  <c:v>75.709999999999994</c:v>
                </c:pt>
                <c:pt idx="1182">
                  <c:v>75.94</c:v>
                </c:pt>
                <c:pt idx="1183">
                  <c:v>73.58</c:v>
                </c:pt>
                <c:pt idx="1184">
                  <c:v>71.97</c:v>
                </c:pt>
                <c:pt idx="1185">
                  <c:v>74.180000000000007</c:v>
                </c:pt>
                <c:pt idx="1186">
                  <c:v>74.180000000000007</c:v>
                </c:pt>
                <c:pt idx="1187">
                  <c:v>74.180000000000007</c:v>
                </c:pt>
                <c:pt idx="1188">
                  <c:v>74.33</c:v>
                </c:pt>
                <c:pt idx="1189">
                  <c:v>75.13</c:v>
                </c:pt>
                <c:pt idx="1190">
                  <c:v>75.290000000000006</c:v>
                </c:pt>
                <c:pt idx="1191">
                  <c:v>73.150000000000006</c:v>
                </c:pt>
                <c:pt idx="1192">
                  <c:v>72.84</c:v>
                </c:pt>
                <c:pt idx="1193">
                  <c:v>72.84</c:v>
                </c:pt>
                <c:pt idx="1194">
                  <c:v>72.84</c:v>
                </c:pt>
                <c:pt idx="1195">
                  <c:v>70.540000000000006</c:v>
                </c:pt>
                <c:pt idx="1196">
                  <c:v>70.5</c:v>
                </c:pt>
                <c:pt idx="1197">
                  <c:v>69.930000000000007</c:v>
                </c:pt>
                <c:pt idx="1198">
                  <c:v>72.09</c:v>
                </c:pt>
                <c:pt idx="1199">
                  <c:v>73.03</c:v>
                </c:pt>
                <c:pt idx="1200">
                  <c:v>73.03</c:v>
                </c:pt>
                <c:pt idx="1201">
                  <c:v>73.03</c:v>
                </c:pt>
                <c:pt idx="1202">
                  <c:v>72.680000000000007</c:v>
                </c:pt>
                <c:pt idx="1203">
                  <c:v>73.62</c:v>
                </c:pt>
                <c:pt idx="1204">
                  <c:v>73.569999999999993</c:v>
                </c:pt>
                <c:pt idx="1205">
                  <c:v>74.42</c:v>
                </c:pt>
                <c:pt idx="1206">
                  <c:v>74.98</c:v>
                </c:pt>
                <c:pt idx="1207">
                  <c:v>74.98</c:v>
                </c:pt>
                <c:pt idx="1208">
                  <c:v>74.98</c:v>
                </c:pt>
                <c:pt idx="1209">
                  <c:v>73.89</c:v>
                </c:pt>
                <c:pt idx="1210">
                  <c:v>72.709999999999994</c:v>
                </c:pt>
                <c:pt idx="1211">
                  <c:v>71.83</c:v>
                </c:pt>
                <c:pt idx="1212">
                  <c:v>70.34</c:v>
                </c:pt>
                <c:pt idx="1213">
                  <c:v>71.3</c:v>
                </c:pt>
                <c:pt idx="1214">
                  <c:v>71.3</c:v>
                </c:pt>
                <c:pt idx="1215">
                  <c:v>71.3</c:v>
                </c:pt>
                <c:pt idx="1216">
                  <c:v>70.66</c:v>
                </c:pt>
                <c:pt idx="1217">
                  <c:v>70.13</c:v>
                </c:pt>
                <c:pt idx="1218">
                  <c:v>70.52</c:v>
                </c:pt>
                <c:pt idx="1219">
                  <c:v>71.319999999999993</c:v>
                </c:pt>
                <c:pt idx="1220">
                  <c:v>70.900000000000006</c:v>
                </c:pt>
                <c:pt idx="1221">
                  <c:v>70.900000000000006</c:v>
                </c:pt>
                <c:pt idx="1222">
                  <c:v>70.900000000000006</c:v>
                </c:pt>
                <c:pt idx="1223">
                  <c:v>69.650000000000006</c:v>
                </c:pt>
                <c:pt idx="1224">
                  <c:v>69.400000000000006</c:v>
                </c:pt>
                <c:pt idx="1225">
                  <c:v>69.319999999999993</c:v>
                </c:pt>
                <c:pt idx="1226">
                  <c:v>66.08</c:v>
                </c:pt>
                <c:pt idx="1227">
                  <c:v>66.13</c:v>
                </c:pt>
                <c:pt idx="1228">
                  <c:v>66.13</c:v>
                </c:pt>
                <c:pt idx="1229">
                  <c:v>66.13</c:v>
                </c:pt>
                <c:pt idx="1230">
                  <c:v>67.33</c:v>
                </c:pt>
                <c:pt idx="1231">
                  <c:v>69.709999999999994</c:v>
                </c:pt>
                <c:pt idx="1232">
                  <c:v>70.59</c:v>
                </c:pt>
                <c:pt idx="1233">
                  <c:v>70.75</c:v>
                </c:pt>
                <c:pt idx="1234">
                  <c:v>71.48</c:v>
                </c:pt>
                <c:pt idx="1235">
                  <c:v>71.48</c:v>
                </c:pt>
                <c:pt idx="1236">
                  <c:v>71.48</c:v>
                </c:pt>
                <c:pt idx="1237">
                  <c:v>71.88</c:v>
                </c:pt>
                <c:pt idx="1238">
                  <c:v>71.430000000000007</c:v>
                </c:pt>
                <c:pt idx="1239">
                  <c:v>71.25</c:v>
                </c:pt>
                <c:pt idx="1240">
                  <c:v>71.63</c:v>
                </c:pt>
                <c:pt idx="1241">
                  <c:v>72.56</c:v>
                </c:pt>
                <c:pt idx="1242">
                  <c:v>72.56</c:v>
                </c:pt>
                <c:pt idx="1243">
                  <c:v>72.56</c:v>
                </c:pt>
                <c:pt idx="1244">
                  <c:v>71.290000000000006</c:v>
                </c:pt>
                <c:pt idx="1245">
                  <c:v>71.34</c:v>
                </c:pt>
                <c:pt idx="1246">
                  <c:v>71.17</c:v>
                </c:pt>
                <c:pt idx="1247">
                  <c:v>71.819999999999993</c:v>
                </c:pt>
                <c:pt idx="1248">
                  <c:v>71.98</c:v>
                </c:pt>
                <c:pt idx="1249">
                  <c:v>71.98</c:v>
                </c:pt>
                <c:pt idx="1250">
                  <c:v>71.98</c:v>
                </c:pt>
                <c:pt idx="1251">
                  <c:v>72.77</c:v>
                </c:pt>
                <c:pt idx="1252">
                  <c:v>73.290000000000006</c:v>
                </c:pt>
                <c:pt idx="1253">
                  <c:v>73.78</c:v>
                </c:pt>
                <c:pt idx="1254">
                  <c:v>74.17</c:v>
                </c:pt>
                <c:pt idx="1255">
                  <c:v>74.14</c:v>
                </c:pt>
                <c:pt idx="1256">
                  <c:v>74.14</c:v>
                </c:pt>
                <c:pt idx="1257">
                  <c:v>74.14</c:v>
                </c:pt>
                <c:pt idx="1258">
                  <c:v>73.47</c:v>
                </c:pt>
                <c:pt idx="1259">
                  <c:v>73.680000000000007</c:v>
                </c:pt>
                <c:pt idx="1260">
                  <c:v>74.459999999999994</c:v>
                </c:pt>
                <c:pt idx="1261">
                  <c:v>75.44</c:v>
                </c:pt>
                <c:pt idx="1262">
                  <c:v>76.209999999999994</c:v>
                </c:pt>
                <c:pt idx="1263">
                  <c:v>76.209999999999994</c:v>
                </c:pt>
                <c:pt idx="1264">
                  <c:v>76.209999999999994</c:v>
                </c:pt>
                <c:pt idx="1265">
                  <c:v>77.73</c:v>
                </c:pt>
                <c:pt idx="1266">
                  <c:v>78.37</c:v>
                </c:pt>
                <c:pt idx="1267">
                  <c:v>77.13</c:v>
                </c:pt>
                <c:pt idx="1268">
                  <c:v>77.72</c:v>
                </c:pt>
                <c:pt idx="1269">
                  <c:v>76.36</c:v>
                </c:pt>
                <c:pt idx="1270">
                  <c:v>76.36</c:v>
                </c:pt>
                <c:pt idx="1271">
                  <c:v>76.36</c:v>
                </c:pt>
                <c:pt idx="1272">
                  <c:v>78.260000000000005</c:v>
                </c:pt>
                <c:pt idx="1273">
                  <c:v>80.44</c:v>
                </c:pt>
                <c:pt idx="1274">
                  <c:v>80.63</c:v>
                </c:pt>
                <c:pt idx="1275">
                  <c:v>78.58</c:v>
                </c:pt>
                <c:pt idx="1276">
                  <c:v>81.540000000000006</c:v>
                </c:pt>
                <c:pt idx="1277">
                  <c:v>81.540000000000006</c:v>
                </c:pt>
                <c:pt idx="1278">
                  <c:v>81.540000000000006</c:v>
                </c:pt>
                <c:pt idx="1279">
                  <c:v>82.53</c:v>
                </c:pt>
                <c:pt idx="1280">
                  <c:v>82.37</c:v>
                </c:pt>
                <c:pt idx="1281">
                  <c:v>81.790000000000006</c:v>
                </c:pt>
                <c:pt idx="1282">
                  <c:v>82.5</c:v>
                </c:pt>
                <c:pt idx="1283">
                  <c:v>83.54</c:v>
                </c:pt>
                <c:pt idx="1284">
                  <c:v>83.54</c:v>
                </c:pt>
                <c:pt idx="1285">
                  <c:v>83.54</c:v>
                </c:pt>
                <c:pt idx="1286">
                  <c:v>84.04</c:v>
                </c:pt>
                <c:pt idx="1287">
                  <c:v>83.48</c:v>
                </c:pt>
                <c:pt idx="1288">
                  <c:v>83.3</c:v>
                </c:pt>
                <c:pt idx="1289">
                  <c:v>83.36</c:v>
                </c:pt>
                <c:pt idx="1290">
                  <c:v>83.4</c:v>
                </c:pt>
                <c:pt idx="1291">
                  <c:v>83.4</c:v>
                </c:pt>
                <c:pt idx="1292">
                  <c:v>83.4</c:v>
                </c:pt>
                <c:pt idx="1293">
                  <c:v>84.66</c:v>
                </c:pt>
                <c:pt idx="1294">
                  <c:v>84.52</c:v>
                </c:pt>
                <c:pt idx="1295">
                  <c:v>83.72</c:v>
                </c:pt>
                <c:pt idx="1296">
                  <c:v>82.41</c:v>
                </c:pt>
                <c:pt idx="1297">
                  <c:v>82.87</c:v>
                </c:pt>
                <c:pt idx="1298">
                  <c:v>82.87</c:v>
                </c:pt>
                <c:pt idx="1299">
                  <c:v>82.87</c:v>
                </c:pt>
                <c:pt idx="1300">
                  <c:v>82.55</c:v>
                </c:pt>
                <c:pt idx="1301">
                  <c:v>83.43</c:v>
                </c:pt>
                <c:pt idx="1302">
                  <c:v>81.64</c:v>
                </c:pt>
                <c:pt idx="1303">
                  <c:v>81.48</c:v>
                </c:pt>
                <c:pt idx="1304">
                  <c:v>80.16</c:v>
                </c:pt>
                <c:pt idx="1305">
                  <c:v>80.16</c:v>
                </c:pt>
                <c:pt idx="1306">
                  <c:v>80.16</c:v>
                </c:pt>
                <c:pt idx="1307">
                  <c:v>82.39</c:v>
                </c:pt>
                <c:pt idx="1308">
                  <c:v>82.7</c:v>
                </c:pt>
                <c:pt idx="1309">
                  <c:v>83.75</c:v>
                </c:pt>
                <c:pt idx="1310">
                  <c:v>81.99</c:v>
                </c:pt>
                <c:pt idx="1311">
                  <c:v>81.7</c:v>
                </c:pt>
                <c:pt idx="1312">
                  <c:v>81.7</c:v>
                </c:pt>
                <c:pt idx="1313">
                  <c:v>81.7</c:v>
                </c:pt>
                <c:pt idx="1314">
                  <c:v>80.900000000000006</c:v>
                </c:pt>
                <c:pt idx="1315">
                  <c:v>82.01</c:v>
                </c:pt>
                <c:pt idx="1316">
                  <c:v>81.099999999999994</c:v>
                </c:pt>
                <c:pt idx="1317">
                  <c:v>79.37</c:v>
                </c:pt>
                <c:pt idx="1318">
                  <c:v>80.319999999999993</c:v>
                </c:pt>
                <c:pt idx="1319">
                  <c:v>80.319999999999993</c:v>
                </c:pt>
                <c:pt idx="1320">
                  <c:v>80.319999999999993</c:v>
                </c:pt>
                <c:pt idx="1321">
                  <c:v>78.900000000000006</c:v>
                </c:pt>
                <c:pt idx="1322">
                  <c:v>79.400000000000006</c:v>
                </c:pt>
                <c:pt idx="1323">
                  <c:v>81.75</c:v>
                </c:pt>
                <c:pt idx="1324">
                  <c:v>81.31</c:v>
                </c:pt>
                <c:pt idx="1325">
                  <c:v>76.09</c:v>
                </c:pt>
                <c:pt idx="1326">
                  <c:v>76.09</c:v>
                </c:pt>
                <c:pt idx="1327">
                  <c:v>76.09</c:v>
                </c:pt>
                <c:pt idx="1328">
                  <c:v>74.2</c:v>
                </c:pt>
                <c:pt idx="1329">
                  <c:v>71.010000000000005</c:v>
                </c:pt>
                <c:pt idx="1330">
                  <c:v>71.67</c:v>
                </c:pt>
                <c:pt idx="1331">
                  <c:v>70.069999999999993</c:v>
                </c:pt>
                <c:pt idx="1332">
                  <c:v>71.650000000000006</c:v>
                </c:pt>
                <c:pt idx="1333">
                  <c:v>71.650000000000006</c:v>
                </c:pt>
                <c:pt idx="1334">
                  <c:v>71.650000000000006</c:v>
                </c:pt>
                <c:pt idx="1335">
                  <c:v>71.45</c:v>
                </c:pt>
                <c:pt idx="1336">
                  <c:v>74.650000000000006</c:v>
                </c:pt>
                <c:pt idx="1337">
                  <c:v>75.13</c:v>
                </c:pt>
                <c:pt idx="1338">
                  <c:v>75.41</c:v>
                </c:pt>
                <c:pt idx="1339">
                  <c:v>74.069999999999993</c:v>
                </c:pt>
                <c:pt idx="1340">
                  <c:v>74.069999999999993</c:v>
                </c:pt>
                <c:pt idx="1341">
                  <c:v>74.069999999999993</c:v>
                </c:pt>
                <c:pt idx="1342">
                  <c:v>75.040000000000006</c:v>
                </c:pt>
                <c:pt idx="1343">
                  <c:v>74.28</c:v>
                </c:pt>
                <c:pt idx="1344">
                  <c:v>73.12</c:v>
                </c:pt>
                <c:pt idx="1345">
                  <c:v>74.66</c:v>
                </c:pt>
                <c:pt idx="1346">
                  <c:v>74.23</c:v>
                </c:pt>
                <c:pt idx="1347">
                  <c:v>74.23</c:v>
                </c:pt>
                <c:pt idx="1348">
                  <c:v>74.23</c:v>
                </c:pt>
                <c:pt idx="1349">
                  <c:v>70.94</c:v>
                </c:pt>
                <c:pt idx="1350">
                  <c:v>72.180000000000007</c:v>
                </c:pt>
                <c:pt idx="1351">
                  <c:v>73.989999999999995</c:v>
                </c:pt>
                <c:pt idx="1352">
                  <c:v>75.16</c:v>
                </c:pt>
                <c:pt idx="1353">
                  <c:v>75.5</c:v>
                </c:pt>
                <c:pt idx="1354">
                  <c:v>75.5</c:v>
                </c:pt>
                <c:pt idx="1355">
                  <c:v>75.5</c:v>
                </c:pt>
                <c:pt idx="1356">
                  <c:v>75.63</c:v>
                </c:pt>
                <c:pt idx="1357">
                  <c:v>77.39</c:v>
                </c:pt>
                <c:pt idx="1358">
                  <c:v>78.17</c:v>
                </c:pt>
                <c:pt idx="1359">
                  <c:v>78.33</c:v>
                </c:pt>
                <c:pt idx="1360">
                  <c:v>77.97</c:v>
                </c:pt>
                <c:pt idx="1361">
                  <c:v>77.97</c:v>
                </c:pt>
                <c:pt idx="1362">
                  <c:v>77.97</c:v>
                </c:pt>
                <c:pt idx="1363">
                  <c:v>77.86</c:v>
                </c:pt>
                <c:pt idx="1364">
                  <c:v>78.78</c:v>
                </c:pt>
                <c:pt idx="1365">
                  <c:v>79.92</c:v>
                </c:pt>
                <c:pt idx="1366">
                  <c:v>80.650000000000006</c:v>
                </c:pt>
                <c:pt idx="1367">
                  <c:v>82</c:v>
                </c:pt>
                <c:pt idx="1368">
                  <c:v>82</c:v>
                </c:pt>
                <c:pt idx="1369">
                  <c:v>82</c:v>
                </c:pt>
                <c:pt idx="1370">
                  <c:v>81.599999999999994</c:v>
                </c:pt>
                <c:pt idx="1371">
                  <c:v>81.97</c:v>
                </c:pt>
                <c:pt idx="1372">
                  <c:v>84.19</c:v>
                </c:pt>
                <c:pt idx="1373">
                  <c:v>84.56</c:v>
                </c:pt>
                <c:pt idx="1374">
                  <c:v>85.3</c:v>
                </c:pt>
                <c:pt idx="1375">
                  <c:v>85.3</c:v>
                </c:pt>
                <c:pt idx="1376">
                  <c:v>85.3</c:v>
                </c:pt>
                <c:pt idx="1377">
                  <c:v>86.38</c:v>
                </c:pt>
                <c:pt idx="1378">
                  <c:v>87.93</c:v>
                </c:pt>
                <c:pt idx="1379">
                  <c:v>88.33</c:v>
                </c:pt>
                <c:pt idx="1380">
                  <c:v>88.39</c:v>
                </c:pt>
                <c:pt idx="1381">
                  <c:v>87.3</c:v>
                </c:pt>
                <c:pt idx="1382">
                  <c:v>87.3</c:v>
                </c:pt>
                <c:pt idx="1383">
                  <c:v>87.3</c:v>
                </c:pt>
                <c:pt idx="1384">
                  <c:v>87.83</c:v>
                </c:pt>
                <c:pt idx="1385">
                  <c:v>87.19</c:v>
                </c:pt>
                <c:pt idx="1386">
                  <c:v>89.18</c:v>
                </c:pt>
                <c:pt idx="1387">
                  <c:v>90.04</c:v>
                </c:pt>
                <c:pt idx="1388">
                  <c:v>89.97</c:v>
                </c:pt>
                <c:pt idx="1389">
                  <c:v>89.97</c:v>
                </c:pt>
                <c:pt idx="1390">
                  <c:v>89.97</c:v>
                </c:pt>
                <c:pt idx="1391">
                  <c:v>90.73</c:v>
                </c:pt>
                <c:pt idx="1392">
                  <c:v>90.22</c:v>
                </c:pt>
                <c:pt idx="1393">
                  <c:v>89.94</c:v>
                </c:pt>
                <c:pt idx="1394">
                  <c:v>89.73</c:v>
                </c:pt>
                <c:pt idx="1395">
                  <c:v>92.59</c:v>
                </c:pt>
                <c:pt idx="1396">
                  <c:v>92.59</c:v>
                </c:pt>
                <c:pt idx="1397">
                  <c:v>92.59</c:v>
                </c:pt>
                <c:pt idx="1398">
                  <c:v>93.18</c:v>
                </c:pt>
                <c:pt idx="1399">
                  <c:v>91.92</c:v>
                </c:pt>
                <c:pt idx="1400">
                  <c:v>91.59</c:v>
                </c:pt>
                <c:pt idx="1401">
                  <c:v>92.62</c:v>
                </c:pt>
                <c:pt idx="1402">
                  <c:v>92.61</c:v>
                </c:pt>
                <c:pt idx="1403">
                  <c:v>92.61</c:v>
                </c:pt>
                <c:pt idx="1404">
                  <c:v>92.61</c:v>
                </c:pt>
                <c:pt idx="1405">
                  <c:v>94.92</c:v>
                </c:pt>
                <c:pt idx="1406">
                  <c:v>94.48</c:v>
                </c:pt>
                <c:pt idx="1407">
                  <c:v>95.07</c:v>
                </c:pt>
                <c:pt idx="1408">
                  <c:v>93.78</c:v>
                </c:pt>
                <c:pt idx="1409">
                  <c:v>92.55</c:v>
                </c:pt>
                <c:pt idx="1410">
                  <c:v>92.55</c:v>
                </c:pt>
                <c:pt idx="1411">
                  <c:v>92.55</c:v>
                </c:pt>
                <c:pt idx="1412">
                  <c:v>94.04</c:v>
                </c:pt>
                <c:pt idx="1413">
                  <c:v>97.68</c:v>
                </c:pt>
                <c:pt idx="1414">
                  <c:v>95.84</c:v>
                </c:pt>
                <c:pt idx="1415">
                  <c:v>100.95</c:v>
                </c:pt>
                <c:pt idx="1416">
                  <c:v>96.41</c:v>
                </c:pt>
                <c:pt idx="1417">
                  <c:v>96.41</c:v>
                </c:pt>
                <c:pt idx="1418">
                  <c:v>96.41</c:v>
                </c:pt>
                <c:pt idx="1419">
                  <c:v>98.96</c:v>
                </c:pt>
                <c:pt idx="1420">
                  <c:v>103.7</c:v>
                </c:pt>
                <c:pt idx="1421">
                  <c:v>112.01</c:v>
                </c:pt>
                <c:pt idx="1422">
                  <c:v>116.87</c:v>
                </c:pt>
                <c:pt idx="1423">
                  <c:v>112.96</c:v>
                </c:pt>
                <c:pt idx="1424">
                  <c:v>112.96</c:v>
                </c:pt>
                <c:pt idx="1425">
                  <c:v>112.96</c:v>
                </c:pt>
                <c:pt idx="1426">
                  <c:v>126.32</c:v>
                </c:pt>
                <c:pt idx="1427">
                  <c:v>127.74</c:v>
                </c:pt>
                <c:pt idx="1428">
                  <c:v>128.27000000000001</c:v>
                </c:pt>
                <c:pt idx="1429">
                  <c:v>117.04</c:v>
                </c:pt>
                <c:pt idx="1430">
                  <c:v>113.1</c:v>
                </c:pt>
                <c:pt idx="1431">
                  <c:v>113.1</c:v>
                </c:pt>
                <c:pt idx="1432">
                  <c:v>113.1</c:v>
                </c:pt>
                <c:pt idx="1433">
                  <c:v>110.48</c:v>
                </c:pt>
                <c:pt idx="1434">
                  <c:v>102.67</c:v>
                </c:pt>
                <c:pt idx="1435">
                  <c:v>103.87</c:v>
                </c:pt>
                <c:pt idx="1436">
                  <c:v>104.77</c:v>
                </c:pt>
                <c:pt idx="1437">
                  <c:v>108.93</c:v>
                </c:pt>
                <c:pt idx="1438">
                  <c:v>108.93</c:v>
                </c:pt>
                <c:pt idx="1439">
                  <c:v>108.93</c:v>
                </c:pt>
                <c:pt idx="1440">
                  <c:v>113.65</c:v>
                </c:pt>
                <c:pt idx="1441">
                  <c:v>114.44</c:v>
                </c:pt>
                <c:pt idx="1442">
                  <c:v>116.79</c:v>
                </c:pt>
                <c:pt idx="1443">
                  <c:v>118.72</c:v>
                </c:pt>
                <c:pt idx="1444">
                  <c:v>115.99</c:v>
                </c:pt>
                <c:pt idx="1445">
                  <c:v>115.99</c:v>
                </c:pt>
                <c:pt idx="1446">
                  <c:v>115.99</c:v>
                </c:pt>
                <c:pt idx="1447">
                  <c:v>113.39</c:v>
                </c:pt>
                <c:pt idx="1448">
                  <c:v>110.05</c:v>
                </c:pt>
                <c:pt idx="1449">
                  <c:v>110.46</c:v>
                </c:pt>
                <c:pt idx="1450">
                  <c:v>107.74</c:v>
                </c:pt>
                <c:pt idx="1451">
                  <c:v>104.93</c:v>
                </c:pt>
                <c:pt idx="1452">
                  <c:v>104.93</c:v>
                </c:pt>
                <c:pt idx="1453">
                  <c:v>104.93</c:v>
                </c:pt>
                <c:pt idx="1454">
                  <c:v>106.26</c:v>
                </c:pt>
                <c:pt idx="1455">
                  <c:v>108.08</c:v>
                </c:pt>
                <c:pt idx="1456">
                  <c:v>106.17</c:v>
                </c:pt>
                <c:pt idx="1457">
                  <c:v>100.16</c:v>
                </c:pt>
                <c:pt idx="1458">
                  <c:v>101.06</c:v>
                </c:pt>
                <c:pt idx="1459">
                  <c:v>101.06</c:v>
                </c:pt>
                <c:pt idx="1460">
                  <c:v>101.06</c:v>
                </c:pt>
                <c:pt idx="1461">
                  <c:v>100.08</c:v>
                </c:pt>
                <c:pt idx="1462">
                  <c:v>102.41</c:v>
                </c:pt>
                <c:pt idx="1463">
                  <c:v>106.07</c:v>
                </c:pt>
                <c:pt idx="1464">
                  <c:v>108.52</c:v>
                </c:pt>
                <c:pt idx="1465">
                  <c:v>108.52</c:v>
                </c:pt>
                <c:pt idx="1466">
                  <c:v>108.52</c:v>
                </c:pt>
                <c:pt idx="1467">
                  <c:v>108.52</c:v>
                </c:pt>
                <c:pt idx="1468">
                  <c:v>110.54</c:v>
                </c:pt>
                <c:pt idx="1469">
                  <c:v>110.52</c:v>
                </c:pt>
                <c:pt idx="1470">
                  <c:v>107.97</c:v>
                </c:pt>
                <c:pt idx="1471">
                  <c:v>108.81</c:v>
                </c:pt>
                <c:pt idx="1472">
                  <c:v>107.66</c:v>
                </c:pt>
                <c:pt idx="1473">
                  <c:v>107.66</c:v>
                </c:pt>
                <c:pt idx="1474">
                  <c:v>107.66</c:v>
                </c:pt>
                <c:pt idx="1475">
                  <c:v>101.93</c:v>
                </c:pt>
                <c:pt idx="1476">
                  <c:v>102.94</c:v>
                </c:pt>
                <c:pt idx="1477">
                  <c:v>105.33</c:v>
                </c:pt>
                <c:pt idx="1478">
                  <c:v>105.3</c:v>
                </c:pt>
                <c:pt idx="1479">
                  <c:v>107.99</c:v>
                </c:pt>
                <c:pt idx="1480">
                  <c:v>107.99</c:v>
                </c:pt>
                <c:pt idx="1481">
                  <c:v>107.99</c:v>
                </c:pt>
                <c:pt idx="1482">
                  <c:v>110.09</c:v>
                </c:pt>
                <c:pt idx="1483">
                  <c:v>109.7</c:v>
                </c:pt>
                <c:pt idx="1484">
                  <c:v>110.73</c:v>
                </c:pt>
                <c:pt idx="1485">
                  <c:v>112.94</c:v>
                </c:pt>
                <c:pt idx="1486">
                  <c:v>114.27</c:v>
                </c:pt>
                <c:pt idx="1487">
                  <c:v>114.27</c:v>
                </c:pt>
                <c:pt idx="1488">
                  <c:v>114.27</c:v>
                </c:pt>
                <c:pt idx="1489">
                  <c:v>112.38</c:v>
                </c:pt>
                <c:pt idx="1490">
                  <c:v>108.08</c:v>
                </c:pt>
                <c:pt idx="1491">
                  <c:v>108.92</c:v>
                </c:pt>
                <c:pt idx="1492">
                  <c:v>109.2</c:v>
                </c:pt>
                <c:pt idx="1493">
                  <c:v>112.27</c:v>
                </c:pt>
                <c:pt idx="1494">
                  <c:v>112.27</c:v>
                </c:pt>
                <c:pt idx="1495">
                  <c:v>112.27</c:v>
                </c:pt>
                <c:pt idx="1496">
                  <c:v>112.98</c:v>
                </c:pt>
                <c:pt idx="1497">
                  <c:v>117.1</c:v>
                </c:pt>
                <c:pt idx="1498">
                  <c:v>114.84</c:v>
                </c:pt>
                <c:pt idx="1499">
                  <c:v>111.94</c:v>
                </c:pt>
                <c:pt idx="1500">
                  <c:v>114.69</c:v>
                </c:pt>
                <c:pt idx="1501">
                  <c:v>114.69</c:v>
                </c:pt>
                <c:pt idx="1502">
                  <c:v>114.69</c:v>
                </c:pt>
                <c:pt idx="1503">
                  <c:v>115.95</c:v>
                </c:pt>
                <c:pt idx="1504">
                  <c:v>114.96</c:v>
                </c:pt>
                <c:pt idx="1505">
                  <c:v>115.83</c:v>
                </c:pt>
                <c:pt idx="1506">
                  <c:v>116.5</c:v>
                </c:pt>
                <c:pt idx="1507">
                  <c:v>118.84</c:v>
                </c:pt>
                <c:pt idx="1508">
                  <c:v>118.84</c:v>
                </c:pt>
                <c:pt idx="1509">
                  <c:v>118.84</c:v>
                </c:pt>
                <c:pt idx="1510">
                  <c:v>120.01</c:v>
                </c:pt>
                <c:pt idx="1511">
                  <c:v>122.94</c:v>
                </c:pt>
                <c:pt idx="1512">
                  <c:v>117.07</c:v>
                </c:pt>
                <c:pt idx="1513">
                  <c:v>114.62</c:v>
                </c:pt>
                <c:pt idx="1514">
                  <c:v>117.15</c:v>
                </c:pt>
                <c:pt idx="1515">
                  <c:v>117.15</c:v>
                </c:pt>
                <c:pt idx="1516">
                  <c:v>117.15</c:v>
                </c:pt>
                <c:pt idx="1517">
                  <c:v>119.85</c:v>
                </c:pt>
                <c:pt idx="1518">
                  <c:v>120.16</c:v>
                </c:pt>
                <c:pt idx="1519">
                  <c:v>121.54</c:v>
                </c:pt>
                <c:pt idx="1520">
                  <c:v>123.21</c:v>
                </c:pt>
                <c:pt idx="1521">
                  <c:v>123.19</c:v>
                </c:pt>
                <c:pt idx="1522">
                  <c:v>123.19</c:v>
                </c:pt>
                <c:pt idx="1523">
                  <c:v>123.19</c:v>
                </c:pt>
                <c:pt idx="1524">
                  <c:v>120.66</c:v>
                </c:pt>
                <c:pt idx="1525">
                  <c:v>123.73</c:v>
                </c:pt>
                <c:pt idx="1526">
                  <c:v>121.07</c:v>
                </c:pt>
                <c:pt idx="1527">
                  <c:v>119.24</c:v>
                </c:pt>
                <c:pt idx="1528">
                  <c:v>118.97</c:v>
                </c:pt>
                <c:pt idx="1529">
                  <c:v>118.97</c:v>
                </c:pt>
                <c:pt idx="1530">
                  <c:v>118.97</c:v>
                </c:pt>
                <c:pt idx="1531">
                  <c:v>113.39</c:v>
                </c:pt>
                <c:pt idx="1532">
                  <c:v>115.97</c:v>
                </c:pt>
                <c:pt idx="1533">
                  <c:v>111</c:v>
                </c:pt>
                <c:pt idx="1534">
                  <c:v>111.09</c:v>
                </c:pt>
                <c:pt idx="1535">
                  <c:v>112.35</c:v>
                </c:pt>
                <c:pt idx="1536">
                  <c:v>112.35</c:v>
                </c:pt>
                <c:pt idx="1537">
                  <c:v>112.35</c:v>
                </c:pt>
                <c:pt idx="1538">
                  <c:v>114.88</c:v>
                </c:pt>
                <c:pt idx="1539">
                  <c:v>117.55</c:v>
                </c:pt>
                <c:pt idx="1540">
                  <c:v>117.63</c:v>
                </c:pt>
                <c:pt idx="1541">
                  <c:v>115.6</c:v>
                </c:pt>
                <c:pt idx="1542">
                  <c:v>113.15</c:v>
                </c:pt>
                <c:pt idx="1543">
                  <c:v>113.15</c:v>
                </c:pt>
                <c:pt idx="1544">
                  <c:v>113.15</c:v>
                </c:pt>
                <c:pt idx="1545">
                  <c:v>115.25</c:v>
                </c:pt>
                <c:pt idx="1546">
                  <c:v>114.24</c:v>
                </c:pt>
                <c:pt idx="1547">
                  <c:v>106.67</c:v>
                </c:pt>
                <c:pt idx="1548">
                  <c:v>105.25</c:v>
                </c:pt>
                <c:pt idx="1549">
                  <c:v>109.02</c:v>
                </c:pt>
                <c:pt idx="1550">
                  <c:v>109.02</c:v>
                </c:pt>
                <c:pt idx="1551">
                  <c:v>109.02</c:v>
                </c:pt>
                <c:pt idx="1552">
                  <c:v>108.8</c:v>
                </c:pt>
                <c:pt idx="1553">
                  <c:v>106.81</c:v>
                </c:pt>
                <c:pt idx="1554">
                  <c:v>104.36</c:v>
                </c:pt>
                <c:pt idx="1555">
                  <c:v>102.61</c:v>
                </c:pt>
                <c:pt idx="1556">
                  <c:v>104.33</c:v>
                </c:pt>
                <c:pt idx="1557">
                  <c:v>104.33</c:v>
                </c:pt>
                <c:pt idx="1558">
                  <c:v>104.33</c:v>
                </c:pt>
                <c:pt idx="1559">
                  <c:v>108.7</c:v>
                </c:pt>
                <c:pt idx="1560">
                  <c:v>110.22</c:v>
                </c:pt>
                <c:pt idx="1561">
                  <c:v>109.87</c:v>
                </c:pt>
                <c:pt idx="1562">
                  <c:v>107.44</c:v>
                </c:pt>
                <c:pt idx="1563">
                  <c:v>107.6</c:v>
                </c:pt>
                <c:pt idx="1564">
                  <c:v>107.6</c:v>
                </c:pt>
                <c:pt idx="1565">
                  <c:v>107.6</c:v>
                </c:pt>
                <c:pt idx="1566">
                  <c:v>106.22</c:v>
                </c:pt>
                <c:pt idx="1567">
                  <c:v>109.3</c:v>
                </c:pt>
                <c:pt idx="1568">
                  <c:v>108.05</c:v>
                </c:pt>
                <c:pt idx="1569">
                  <c:v>110.79</c:v>
                </c:pt>
                <c:pt idx="1570">
                  <c:v>110.84</c:v>
                </c:pt>
                <c:pt idx="1571">
                  <c:v>110.84</c:v>
                </c:pt>
                <c:pt idx="1572">
                  <c:v>110.84</c:v>
                </c:pt>
                <c:pt idx="1573">
                  <c:v>106.8</c:v>
                </c:pt>
                <c:pt idx="1574">
                  <c:v>104.86</c:v>
                </c:pt>
                <c:pt idx="1575">
                  <c:v>104.18</c:v>
                </c:pt>
                <c:pt idx="1576">
                  <c:v>101.19</c:v>
                </c:pt>
                <c:pt idx="1577">
                  <c:v>100.01</c:v>
                </c:pt>
                <c:pt idx="1578">
                  <c:v>100.01</c:v>
                </c:pt>
                <c:pt idx="1579">
                  <c:v>100.01</c:v>
                </c:pt>
                <c:pt idx="1580">
                  <c:v>100.78</c:v>
                </c:pt>
                <c:pt idx="1581">
                  <c:v>100.92</c:v>
                </c:pt>
                <c:pt idx="1582">
                  <c:v>101.29</c:v>
                </c:pt>
                <c:pt idx="1583">
                  <c:v>103.2</c:v>
                </c:pt>
                <c:pt idx="1584">
                  <c:v>103.83</c:v>
                </c:pt>
                <c:pt idx="1585">
                  <c:v>103.83</c:v>
                </c:pt>
                <c:pt idx="1586">
                  <c:v>103.83</c:v>
                </c:pt>
                <c:pt idx="1587">
                  <c:v>100.04</c:v>
                </c:pt>
                <c:pt idx="1588">
                  <c:v>97.44</c:v>
                </c:pt>
                <c:pt idx="1589">
                  <c:v>95.73</c:v>
                </c:pt>
                <c:pt idx="1590">
                  <c:v>98.22</c:v>
                </c:pt>
                <c:pt idx="1591">
                  <c:v>99.66</c:v>
                </c:pt>
                <c:pt idx="1592">
                  <c:v>99.66</c:v>
                </c:pt>
                <c:pt idx="1593">
                  <c:v>99.66</c:v>
                </c:pt>
                <c:pt idx="1594">
                  <c:v>98.72</c:v>
                </c:pt>
                <c:pt idx="1595">
                  <c:v>101.93</c:v>
                </c:pt>
                <c:pt idx="1596">
                  <c:v>104.05</c:v>
                </c:pt>
                <c:pt idx="1597">
                  <c:v>104.63</c:v>
                </c:pt>
                <c:pt idx="1598">
                  <c:v>103.89</c:v>
                </c:pt>
                <c:pt idx="1599">
                  <c:v>103.89</c:v>
                </c:pt>
                <c:pt idx="1600">
                  <c:v>103.89</c:v>
                </c:pt>
                <c:pt idx="1601">
                  <c:v>104.85</c:v>
                </c:pt>
                <c:pt idx="1602">
                  <c:v>106.41</c:v>
                </c:pt>
                <c:pt idx="1603">
                  <c:v>101.04</c:v>
                </c:pt>
                <c:pt idx="1604">
                  <c:v>98.19</c:v>
                </c:pt>
                <c:pt idx="1605">
                  <c:v>99.13</c:v>
                </c:pt>
                <c:pt idx="1606">
                  <c:v>99.13</c:v>
                </c:pt>
                <c:pt idx="1607">
                  <c:v>99.13</c:v>
                </c:pt>
                <c:pt idx="1608">
                  <c:v>99.76</c:v>
                </c:pt>
                <c:pt idx="1609">
                  <c:v>98.95</c:v>
                </c:pt>
                <c:pt idx="1610">
                  <c:v>95.88</c:v>
                </c:pt>
                <c:pt idx="1611">
                  <c:v>92.59</c:v>
                </c:pt>
                <c:pt idx="1612">
                  <c:v>95.2</c:v>
                </c:pt>
                <c:pt idx="1613">
                  <c:v>95.2</c:v>
                </c:pt>
                <c:pt idx="1614">
                  <c:v>95.2</c:v>
                </c:pt>
                <c:pt idx="1615">
                  <c:v>97.42</c:v>
                </c:pt>
                <c:pt idx="1616">
                  <c:v>98.38</c:v>
                </c:pt>
                <c:pt idx="1617">
                  <c:v>97.57</c:v>
                </c:pt>
                <c:pt idx="1618">
                  <c:v>97.3</c:v>
                </c:pt>
                <c:pt idx="1619">
                  <c:v>95.7</c:v>
                </c:pt>
                <c:pt idx="1620">
                  <c:v>95.7</c:v>
                </c:pt>
                <c:pt idx="1621">
                  <c:v>95.7</c:v>
                </c:pt>
                <c:pt idx="1622">
                  <c:v>95.2</c:v>
                </c:pt>
                <c:pt idx="1623">
                  <c:v>96.55</c:v>
                </c:pt>
                <c:pt idx="1624">
                  <c:v>96.31</c:v>
                </c:pt>
                <c:pt idx="1625">
                  <c:v>95.51</c:v>
                </c:pt>
                <c:pt idx="1626">
                  <c:v>92.67</c:v>
                </c:pt>
                <c:pt idx="1627">
                  <c:v>92.67</c:v>
                </c:pt>
                <c:pt idx="1628">
                  <c:v>92.67</c:v>
                </c:pt>
                <c:pt idx="1629">
                  <c:v>89.5</c:v>
                </c:pt>
                <c:pt idx="1630">
                  <c:v>89.81</c:v>
                </c:pt>
                <c:pt idx="1631">
                  <c:v>90.27</c:v>
                </c:pt>
                <c:pt idx="1632">
                  <c:v>92.76</c:v>
                </c:pt>
                <c:pt idx="1633">
                  <c:v>92.34</c:v>
                </c:pt>
                <c:pt idx="1634">
                  <c:v>92.34</c:v>
                </c:pt>
                <c:pt idx="1635">
                  <c:v>92.34</c:v>
                </c:pt>
                <c:pt idx="1636">
                  <c:v>90.69</c:v>
                </c:pt>
                <c:pt idx="1637">
                  <c:v>92.14</c:v>
                </c:pt>
                <c:pt idx="1638">
                  <c:v>94.06</c:v>
                </c:pt>
                <c:pt idx="1639">
                  <c:v>95.81</c:v>
                </c:pt>
                <c:pt idx="1640">
                  <c:v>97.44</c:v>
                </c:pt>
                <c:pt idx="1641">
                  <c:v>97.44</c:v>
                </c:pt>
                <c:pt idx="1642">
                  <c:v>97.44</c:v>
                </c:pt>
                <c:pt idx="1643">
                  <c:v>99.13</c:v>
                </c:pt>
                <c:pt idx="1644">
                  <c:v>96.03</c:v>
                </c:pt>
                <c:pt idx="1645">
                  <c:v>95.12</c:v>
                </c:pt>
                <c:pt idx="1646">
                  <c:v>93.66</c:v>
                </c:pt>
                <c:pt idx="1647">
                  <c:v>94.17</c:v>
                </c:pt>
                <c:pt idx="1648">
                  <c:v>94.17</c:v>
                </c:pt>
                <c:pt idx="1649">
                  <c:v>94.17</c:v>
                </c:pt>
                <c:pt idx="1650">
                  <c:v>92.16</c:v>
                </c:pt>
                <c:pt idx="1651">
                  <c:v>90.82</c:v>
                </c:pt>
                <c:pt idx="1652">
                  <c:v>89.29</c:v>
                </c:pt>
                <c:pt idx="1653">
                  <c:v>92.48</c:v>
                </c:pt>
                <c:pt idx="1654">
                  <c:v>92.09</c:v>
                </c:pt>
                <c:pt idx="1655">
                  <c:v>92.09</c:v>
                </c:pt>
                <c:pt idx="1656">
                  <c:v>92.09</c:v>
                </c:pt>
                <c:pt idx="1657">
                  <c:v>92.17</c:v>
                </c:pt>
                <c:pt idx="1658">
                  <c:v>92.56</c:v>
                </c:pt>
                <c:pt idx="1659">
                  <c:v>93.32</c:v>
                </c:pt>
                <c:pt idx="1660">
                  <c:v>94.73</c:v>
                </c:pt>
                <c:pt idx="1661">
                  <c:v>95.01</c:v>
                </c:pt>
                <c:pt idx="1662">
                  <c:v>95.01</c:v>
                </c:pt>
                <c:pt idx="1663">
                  <c:v>95.01</c:v>
                </c:pt>
                <c:pt idx="1664">
                  <c:v>93.17</c:v>
                </c:pt>
                <c:pt idx="1665">
                  <c:v>94.4</c:v>
                </c:pt>
                <c:pt idx="1666">
                  <c:v>94.71</c:v>
                </c:pt>
                <c:pt idx="1667">
                  <c:v>93.49</c:v>
                </c:pt>
                <c:pt idx="1668">
                  <c:v>96.12</c:v>
                </c:pt>
                <c:pt idx="1669">
                  <c:v>96.12</c:v>
                </c:pt>
                <c:pt idx="1670">
                  <c:v>96.12</c:v>
                </c:pt>
                <c:pt idx="1671">
                  <c:v>97.29</c:v>
                </c:pt>
                <c:pt idx="1672">
                  <c:v>95.96</c:v>
                </c:pt>
                <c:pt idx="1673">
                  <c:v>93.19</c:v>
                </c:pt>
                <c:pt idx="1674">
                  <c:v>91.29</c:v>
                </c:pt>
                <c:pt idx="1675">
                  <c:v>94.81</c:v>
                </c:pt>
                <c:pt idx="1676">
                  <c:v>94.81</c:v>
                </c:pt>
                <c:pt idx="1677">
                  <c:v>94.81</c:v>
                </c:pt>
                <c:pt idx="1678">
                  <c:v>94.42</c:v>
                </c:pt>
                <c:pt idx="1679">
                  <c:v>91.16</c:v>
                </c:pt>
                <c:pt idx="1680">
                  <c:v>91.72</c:v>
                </c:pt>
                <c:pt idx="1681">
                  <c:v>90.52</c:v>
                </c:pt>
                <c:pt idx="1682">
                  <c:v>87.65</c:v>
                </c:pt>
                <c:pt idx="1683">
                  <c:v>87.65</c:v>
                </c:pt>
                <c:pt idx="1684">
                  <c:v>87.65</c:v>
                </c:pt>
                <c:pt idx="1685">
                  <c:v>84.18</c:v>
                </c:pt>
                <c:pt idx="1686">
                  <c:v>86.2</c:v>
                </c:pt>
                <c:pt idx="1687">
                  <c:v>85.19</c:v>
                </c:pt>
                <c:pt idx="1688">
                  <c:v>81.52</c:v>
                </c:pt>
                <c:pt idx="1689">
                  <c:v>83.8</c:v>
                </c:pt>
                <c:pt idx="1690">
                  <c:v>83.8</c:v>
                </c:pt>
                <c:pt idx="1691">
                  <c:v>83.8</c:v>
                </c:pt>
                <c:pt idx="1692">
                  <c:v>79.930000000000007</c:v>
                </c:pt>
                <c:pt idx="1693">
                  <c:v>83.42</c:v>
                </c:pt>
                <c:pt idx="1694">
                  <c:v>83.13</c:v>
                </c:pt>
                <c:pt idx="1695">
                  <c:v>84.28</c:v>
                </c:pt>
                <c:pt idx="1696">
                  <c:v>83.85</c:v>
                </c:pt>
                <c:pt idx="1697">
                  <c:v>83.85</c:v>
                </c:pt>
                <c:pt idx="1698">
                  <c:v>83.85</c:v>
                </c:pt>
                <c:pt idx="1699">
                  <c:v>83.04</c:v>
                </c:pt>
                <c:pt idx="1700">
                  <c:v>79.66</c:v>
                </c:pt>
                <c:pt idx="1701">
                  <c:v>77.010000000000005</c:v>
                </c:pt>
                <c:pt idx="1702">
                  <c:v>75.180000000000007</c:v>
                </c:pt>
                <c:pt idx="1703">
                  <c:v>74.66</c:v>
                </c:pt>
                <c:pt idx="1704">
                  <c:v>74.66</c:v>
                </c:pt>
                <c:pt idx="1705">
                  <c:v>74.66</c:v>
                </c:pt>
                <c:pt idx="1706">
                  <c:v>74.94</c:v>
                </c:pt>
                <c:pt idx="1707">
                  <c:v>78.34</c:v>
                </c:pt>
                <c:pt idx="1708">
                  <c:v>79.97</c:v>
                </c:pt>
                <c:pt idx="1709">
                  <c:v>80.47</c:v>
                </c:pt>
                <c:pt idx="1710">
                  <c:v>78.73</c:v>
                </c:pt>
                <c:pt idx="1711">
                  <c:v>78.73</c:v>
                </c:pt>
                <c:pt idx="1712">
                  <c:v>78.73</c:v>
                </c:pt>
                <c:pt idx="1713">
                  <c:v>78.11</c:v>
                </c:pt>
                <c:pt idx="1714">
                  <c:v>78.13</c:v>
                </c:pt>
                <c:pt idx="1715">
                  <c:v>79.36</c:v>
                </c:pt>
                <c:pt idx="1716">
                  <c:v>81.14</c:v>
                </c:pt>
                <c:pt idx="1717">
                  <c:v>80.58</c:v>
                </c:pt>
                <c:pt idx="1718">
                  <c:v>80.58</c:v>
                </c:pt>
                <c:pt idx="1719">
                  <c:v>80.58</c:v>
                </c:pt>
                <c:pt idx="1720">
                  <c:v>80.58</c:v>
                </c:pt>
                <c:pt idx="1721">
                  <c:v>82.23</c:v>
                </c:pt>
                <c:pt idx="1722">
                  <c:v>81.96</c:v>
                </c:pt>
                <c:pt idx="1723">
                  <c:v>80.39</c:v>
                </c:pt>
                <c:pt idx="1724">
                  <c:v>81.290000000000006</c:v>
                </c:pt>
                <c:pt idx="1725">
                  <c:v>81.290000000000006</c:v>
                </c:pt>
                <c:pt idx="1726">
                  <c:v>81.290000000000006</c:v>
                </c:pt>
                <c:pt idx="1727">
                  <c:v>81.290000000000006</c:v>
                </c:pt>
                <c:pt idx="1728">
                  <c:v>82.05</c:v>
                </c:pt>
                <c:pt idx="1729">
                  <c:v>76.88</c:v>
                </c:pt>
                <c:pt idx="1730">
                  <c:v>75.77</c:v>
                </c:pt>
                <c:pt idx="1731">
                  <c:v>76.150000000000006</c:v>
                </c:pt>
                <c:pt idx="1732">
                  <c:v>76.150000000000006</c:v>
                </c:pt>
                <c:pt idx="1733">
                  <c:v>76.150000000000006</c:v>
                </c:pt>
                <c:pt idx="1734">
                  <c:v>77.569999999999993</c:v>
                </c:pt>
                <c:pt idx="1735">
                  <c:v>77</c:v>
                </c:pt>
                <c:pt idx="1736">
                  <c:v>78.23</c:v>
                </c:pt>
                <c:pt idx="1737">
                  <c:v>80.73</c:v>
                </c:pt>
                <c:pt idx="1738">
                  <c:v>81.86</c:v>
                </c:pt>
                <c:pt idx="1739">
                  <c:v>81.86</c:v>
                </c:pt>
                <c:pt idx="1740">
                  <c:v>81.86</c:v>
                </c:pt>
                <c:pt idx="1741">
                  <c:v>82.25</c:v>
                </c:pt>
                <c:pt idx="1742">
                  <c:v>83.3</c:v>
                </c:pt>
                <c:pt idx="1743">
                  <c:v>84.62</c:v>
                </c:pt>
                <c:pt idx="1744">
                  <c:v>82.6</c:v>
                </c:pt>
                <c:pt idx="1745">
                  <c:v>84.9</c:v>
                </c:pt>
                <c:pt idx="1746">
                  <c:v>84.9</c:v>
                </c:pt>
                <c:pt idx="1747">
                  <c:v>84.9</c:v>
                </c:pt>
                <c:pt idx="1748">
                  <c:v>85.45</c:v>
                </c:pt>
                <c:pt idx="1749">
                  <c:v>84.89</c:v>
                </c:pt>
                <c:pt idx="1750">
                  <c:v>84.59</c:v>
                </c:pt>
                <c:pt idx="1751">
                  <c:v>84.47</c:v>
                </c:pt>
                <c:pt idx="1752">
                  <c:v>85.31</c:v>
                </c:pt>
                <c:pt idx="1753">
                  <c:v>85.31</c:v>
                </c:pt>
                <c:pt idx="1754">
                  <c:v>85.31</c:v>
                </c:pt>
                <c:pt idx="1755">
                  <c:v>83.45</c:v>
                </c:pt>
                <c:pt idx="1756">
                  <c:v>81.95</c:v>
                </c:pt>
                <c:pt idx="1757">
                  <c:v>82.87</c:v>
                </c:pt>
                <c:pt idx="1758">
                  <c:v>80.48</c:v>
                </c:pt>
                <c:pt idx="1759">
                  <c:v>79.42</c:v>
                </c:pt>
                <c:pt idx="1760">
                  <c:v>79.42</c:v>
                </c:pt>
                <c:pt idx="1761">
                  <c:v>79.42</c:v>
                </c:pt>
                <c:pt idx="1762">
                  <c:v>78.25</c:v>
                </c:pt>
                <c:pt idx="1763">
                  <c:v>80.55</c:v>
                </c:pt>
                <c:pt idx="1764">
                  <c:v>81.92</c:v>
                </c:pt>
                <c:pt idx="1765">
                  <c:v>82.84</c:v>
                </c:pt>
                <c:pt idx="1766">
                  <c:v>83.62</c:v>
                </c:pt>
                <c:pt idx="1767">
                  <c:v>83.62</c:v>
                </c:pt>
                <c:pt idx="1768">
                  <c:v>83.62</c:v>
                </c:pt>
                <c:pt idx="1769">
                  <c:v>84.23</c:v>
                </c:pt>
                <c:pt idx="1770">
                  <c:v>84.37</c:v>
                </c:pt>
                <c:pt idx="1771">
                  <c:v>82.95</c:v>
                </c:pt>
                <c:pt idx="1772">
                  <c:v>83.76</c:v>
                </c:pt>
                <c:pt idx="1773">
                  <c:v>81.73</c:v>
                </c:pt>
                <c:pt idx="1774">
                  <c:v>81.73</c:v>
                </c:pt>
                <c:pt idx="1775">
                  <c:v>81.73</c:v>
                </c:pt>
                <c:pt idx="1776">
                  <c:v>82.02</c:v>
                </c:pt>
                <c:pt idx="1777">
                  <c:v>81.94</c:v>
                </c:pt>
                <c:pt idx="1778">
                  <c:v>80.52</c:v>
                </c:pt>
                <c:pt idx="1779">
                  <c:v>80.53</c:v>
                </c:pt>
                <c:pt idx="1780">
                  <c:v>82.04</c:v>
                </c:pt>
                <c:pt idx="1781">
                  <c:v>82.04</c:v>
                </c:pt>
                <c:pt idx="1782">
                  <c:v>82.04</c:v>
                </c:pt>
                <c:pt idx="1783">
                  <c:v>81.64</c:v>
                </c:pt>
                <c:pt idx="1784">
                  <c:v>81.91</c:v>
                </c:pt>
                <c:pt idx="1785">
                  <c:v>82.59</c:v>
                </c:pt>
                <c:pt idx="1786">
                  <c:v>83.22</c:v>
                </c:pt>
                <c:pt idx="1787">
                  <c:v>83.82</c:v>
                </c:pt>
                <c:pt idx="1788">
                  <c:v>83.82</c:v>
                </c:pt>
                <c:pt idx="1789">
                  <c:v>83.82</c:v>
                </c:pt>
                <c:pt idx="1790">
                  <c:v>84.59</c:v>
                </c:pt>
                <c:pt idx="1791">
                  <c:v>84.37</c:v>
                </c:pt>
                <c:pt idx="1792">
                  <c:v>82.12</c:v>
                </c:pt>
                <c:pt idx="1793">
                  <c:v>82.05</c:v>
                </c:pt>
                <c:pt idx="1794">
                  <c:v>80.72</c:v>
                </c:pt>
                <c:pt idx="1795">
                  <c:v>80.72</c:v>
                </c:pt>
                <c:pt idx="1796">
                  <c:v>80.72</c:v>
                </c:pt>
                <c:pt idx="1797">
                  <c:v>81.88</c:v>
                </c:pt>
                <c:pt idx="1798">
                  <c:v>78.92</c:v>
                </c:pt>
                <c:pt idx="1799">
                  <c:v>76.22</c:v>
                </c:pt>
                <c:pt idx="1800">
                  <c:v>73.75</c:v>
                </c:pt>
                <c:pt idx="1801">
                  <c:v>74.11</c:v>
                </c:pt>
                <c:pt idx="1802">
                  <c:v>74.11</c:v>
                </c:pt>
                <c:pt idx="1803">
                  <c:v>74.11</c:v>
                </c:pt>
                <c:pt idx="1804">
                  <c:v>70.77</c:v>
                </c:pt>
                <c:pt idx="1805">
                  <c:v>73.959999999999994</c:v>
                </c:pt>
                <c:pt idx="1806">
                  <c:v>74.75</c:v>
                </c:pt>
                <c:pt idx="1807">
                  <c:v>75.88</c:v>
                </c:pt>
                <c:pt idx="1808">
                  <c:v>74.599999999999994</c:v>
                </c:pt>
                <c:pt idx="1809">
                  <c:v>74.599999999999994</c:v>
                </c:pt>
                <c:pt idx="1810">
                  <c:v>74.599999999999994</c:v>
                </c:pt>
                <c:pt idx="1811">
                  <c:v>75.010000000000005</c:v>
                </c:pt>
                <c:pt idx="1812">
                  <c:v>77.63</c:v>
                </c:pt>
                <c:pt idx="1813">
                  <c:v>77.72</c:v>
                </c:pt>
                <c:pt idx="1814">
                  <c:v>77.53</c:v>
                </c:pt>
                <c:pt idx="1815">
                  <c:v>78.12</c:v>
                </c:pt>
                <c:pt idx="1816">
                  <c:v>78.12</c:v>
                </c:pt>
                <c:pt idx="1817">
                  <c:v>78.12</c:v>
                </c:pt>
                <c:pt idx="1818">
                  <c:v>84.84</c:v>
                </c:pt>
                <c:pt idx="1819">
                  <c:v>85.5</c:v>
                </c:pt>
                <c:pt idx="1820">
                  <c:v>85.49</c:v>
                </c:pt>
                <c:pt idx="1821">
                  <c:v>85.18</c:v>
                </c:pt>
                <c:pt idx="1822">
                  <c:v>85.18</c:v>
                </c:pt>
                <c:pt idx="1823">
                  <c:v>85.18</c:v>
                </c:pt>
                <c:pt idx="1824">
                  <c:v>85.18</c:v>
                </c:pt>
                <c:pt idx="1825">
                  <c:v>85.5</c:v>
                </c:pt>
                <c:pt idx="1826">
                  <c:v>85.42</c:v>
                </c:pt>
                <c:pt idx="1827">
                  <c:v>86.65</c:v>
                </c:pt>
                <c:pt idx="1828">
                  <c:v>87.77</c:v>
                </c:pt>
                <c:pt idx="1829">
                  <c:v>86.8</c:v>
                </c:pt>
                <c:pt idx="1830">
                  <c:v>86.8</c:v>
                </c:pt>
                <c:pt idx="1831">
                  <c:v>86.8</c:v>
                </c:pt>
                <c:pt idx="1832">
                  <c:v>86.43</c:v>
                </c:pt>
                <c:pt idx="1833">
                  <c:v>85.51</c:v>
                </c:pt>
                <c:pt idx="1834">
                  <c:v>84.41</c:v>
                </c:pt>
                <c:pt idx="1835">
                  <c:v>82.42</c:v>
                </c:pt>
                <c:pt idx="1836">
                  <c:v>81.86</c:v>
                </c:pt>
                <c:pt idx="1837">
                  <c:v>81.86</c:v>
                </c:pt>
                <c:pt idx="1838">
                  <c:v>81.86</c:v>
                </c:pt>
                <c:pt idx="1839">
                  <c:v>82.3</c:v>
                </c:pt>
                <c:pt idx="1840">
                  <c:v>82.95</c:v>
                </c:pt>
                <c:pt idx="1841">
                  <c:v>81.12</c:v>
                </c:pt>
                <c:pt idx="1842">
                  <c:v>78.400000000000006</c:v>
                </c:pt>
                <c:pt idx="1843">
                  <c:v>79.98</c:v>
                </c:pt>
                <c:pt idx="1844">
                  <c:v>79.98</c:v>
                </c:pt>
                <c:pt idx="1845">
                  <c:v>79.98</c:v>
                </c:pt>
                <c:pt idx="1846">
                  <c:v>80.099999999999994</c:v>
                </c:pt>
                <c:pt idx="1847">
                  <c:v>78.59</c:v>
                </c:pt>
                <c:pt idx="1848">
                  <c:v>73.790000000000006</c:v>
                </c:pt>
                <c:pt idx="1849">
                  <c:v>73.3</c:v>
                </c:pt>
                <c:pt idx="1850">
                  <c:v>74.31</c:v>
                </c:pt>
                <c:pt idx="1851">
                  <c:v>74.31</c:v>
                </c:pt>
                <c:pt idx="1852">
                  <c:v>74.31</c:v>
                </c:pt>
                <c:pt idx="1853">
                  <c:v>76.56</c:v>
                </c:pt>
                <c:pt idx="1854">
                  <c:v>76.319999999999993</c:v>
                </c:pt>
                <c:pt idx="1855">
                  <c:v>76.62</c:v>
                </c:pt>
                <c:pt idx="1856">
                  <c:v>76.709999999999994</c:v>
                </c:pt>
                <c:pt idx="1857">
                  <c:v>74.459999999999994</c:v>
                </c:pt>
                <c:pt idx="1858">
                  <c:v>74.459999999999994</c:v>
                </c:pt>
                <c:pt idx="1859">
                  <c:v>74.459999999999994</c:v>
                </c:pt>
                <c:pt idx="1860">
                  <c:v>74.45</c:v>
                </c:pt>
                <c:pt idx="1861">
                  <c:v>75.22</c:v>
                </c:pt>
                <c:pt idx="1862">
                  <c:v>74.599999999999994</c:v>
                </c:pt>
                <c:pt idx="1863">
                  <c:v>76.06</c:v>
                </c:pt>
                <c:pt idx="1864">
                  <c:v>75.709999999999994</c:v>
                </c:pt>
                <c:pt idx="1865">
                  <c:v>75.709999999999994</c:v>
                </c:pt>
                <c:pt idx="1866">
                  <c:v>75.709999999999994</c:v>
                </c:pt>
                <c:pt idx="1867">
                  <c:v>75.239999999999995</c:v>
                </c:pt>
                <c:pt idx="1868">
                  <c:v>75.959999999999994</c:v>
                </c:pt>
                <c:pt idx="1869">
                  <c:v>77.489999999999995</c:v>
                </c:pt>
                <c:pt idx="1870">
                  <c:v>76.94</c:v>
                </c:pt>
                <c:pt idx="1871">
                  <c:v>76.25</c:v>
                </c:pt>
                <c:pt idx="1872">
                  <c:v>76.25</c:v>
                </c:pt>
                <c:pt idx="1873">
                  <c:v>76.25</c:v>
                </c:pt>
                <c:pt idx="1874">
                  <c:v>76.88</c:v>
                </c:pt>
                <c:pt idx="1875">
                  <c:v>75.19</c:v>
                </c:pt>
                <c:pt idx="1876">
                  <c:v>73.069999999999993</c:v>
                </c:pt>
                <c:pt idx="1877">
                  <c:v>72.790000000000006</c:v>
                </c:pt>
                <c:pt idx="1878">
                  <c:v>73.33</c:v>
                </c:pt>
                <c:pt idx="1879">
                  <c:v>73.33</c:v>
                </c:pt>
                <c:pt idx="1880">
                  <c:v>73.33</c:v>
                </c:pt>
                <c:pt idx="1881">
                  <c:v>77.09</c:v>
                </c:pt>
                <c:pt idx="1882">
                  <c:v>75.459999999999994</c:v>
                </c:pt>
                <c:pt idx="1883">
                  <c:v>76.03</c:v>
                </c:pt>
                <c:pt idx="1884">
                  <c:v>76.55</c:v>
                </c:pt>
                <c:pt idx="1885">
                  <c:v>75.849999999999994</c:v>
                </c:pt>
                <c:pt idx="1886">
                  <c:v>75.849999999999994</c:v>
                </c:pt>
                <c:pt idx="1887">
                  <c:v>75.849999999999994</c:v>
                </c:pt>
                <c:pt idx="1888">
                  <c:v>72.959999999999994</c:v>
                </c:pt>
                <c:pt idx="1889">
                  <c:v>73.06</c:v>
                </c:pt>
                <c:pt idx="1890">
                  <c:v>74.84</c:v>
                </c:pt>
                <c:pt idx="1891">
                  <c:v>74.2</c:v>
                </c:pt>
                <c:pt idx="1892">
                  <c:v>75.89</c:v>
                </c:pt>
                <c:pt idx="1893">
                  <c:v>75.89</c:v>
                </c:pt>
                <c:pt idx="1894">
                  <c:v>75.89</c:v>
                </c:pt>
                <c:pt idx="1895">
                  <c:v>76.45</c:v>
                </c:pt>
                <c:pt idx="1896">
                  <c:v>76.849999999999994</c:v>
                </c:pt>
                <c:pt idx="1897">
                  <c:v>77.239999999999995</c:v>
                </c:pt>
                <c:pt idx="1898">
                  <c:v>76.83</c:v>
                </c:pt>
                <c:pt idx="1899">
                  <c:v>74.14</c:v>
                </c:pt>
                <c:pt idx="1900">
                  <c:v>74.14</c:v>
                </c:pt>
                <c:pt idx="1901">
                  <c:v>74.14</c:v>
                </c:pt>
                <c:pt idx="1902">
                  <c:v>74.650000000000006</c:v>
                </c:pt>
                <c:pt idx="1903">
                  <c:v>75.150000000000006</c:v>
                </c:pt>
                <c:pt idx="1904">
                  <c:v>74.38</c:v>
                </c:pt>
                <c:pt idx="1905">
                  <c:v>74.34</c:v>
                </c:pt>
                <c:pt idx="1906">
                  <c:v>76.14</c:v>
                </c:pt>
                <c:pt idx="1907">
                  <c:v>76.14</c:v>
                </c:pt>
                <c:pt idx="1908">
                  <c:v>76.14</c:v>
                </c:pt>
                <c:pt idx="1909">
                  <c:v>76.12</c:v>
                </c:pt>
                <c:pt idx="1910">
                  <c:v>76.180000000000007</c:v>
                </c:pt>
                <c:pt idx="1911">
                  <c:v>76.61</c:v>
                </c:pt>
                <c:pt idx="1912">
                  <c:v>77.56</c:v>
                </c:pt>
                <c:pt idx="1913">
                  <c:v>78.430000000000007</c:v>
                </c:pt>
                <c:pt idx="1914">
                  <c:v>78.430000000000007</c:v>
                </c:pt>
                <c:pt idx="1915">
                  <c:v>78.430000000000007</c:v>
                </c:pt>
                <c:pt idx="1916">
                  <c:v>79.09</c:v>
                </c:pt>
                <c:pt idx="1917">
                  <c:v>79.680000000000007</c:v>
                </c:pt>
                <c:pt idx="1918">
                  <c:v>80.64</c:v>
                </c:pt>
                <c:pt idx="1919">
                  <c:v>81.53</c:v>
                </c:pt>
                <c:pt idx="1920">
                  <c:v>82.06</c:v>
                </c:pt>
                <c:pt idx="1921">
                  <c:v>82.06</c:v>
                </c:pt>
                <c:pt idx="1922">
                  <c:v>82.06</c:v>
                </c:pt>
                <c:pt idx="1923">
                  <c:v>80.05</c:v>
                </c:pt>
                <c:pt idx="1924">
                  <c:v>80.33</c:v>
                </c:pt>
                <c:pt idx="1925">
                  <c:v>81.459999999999994</c:v>
                </c:pt>
                <c:pt idx="1926">
                  <c:v>81.28</c:v>
                </c:pt>
                <c:pt idx="1927">
                  <c:v>81.99</c:v>
                </c:pt>
                <c:pt idx="1928">
                  <c:v>81.99</c:v>
                </c:pt>
                <c:pt idx="1929">
                  <c:v>81.99</c:v>
                </c:pt>
                <c:pt idx="1930">
                  <c:v>83.19</c:v>
                </c:pt>
                <c:pt idx="1931">
                  <c:v>84.64</c:v>
                </c:pt>
                <c:pt idx="1932">
                  <c:v>84.82</c:v>
                </c:pt>
                <c:pt idx="1933">
                  <c:v>84.88</c:v>
                </c:pt>
                <c:pt idx="1934">
                  <c:v>85.37</c:v>
                </c:pt>
                <c:pt idx="1935">
                  <c:v>85.37</c:v>
                </c:pt>
                <c:pt idx="1936">
                  <c:v>85.37</c:v>
                </c:pt>
                <c:pt idx="1937">
                  <c:v>86.45</c:v>
                </c:pt>
                <c:pt idx="1938">
                  <c:v>86.63</c:v>
                </c:pt>
                <c:pt idx="1939">
                  <c:v>86.69</c:v>
                </c:pt>
                <c:pt idx="1940">
                  <c:v>85.5</c:v>
                </c:pt>
                <c:pt idx="1941">
                  <c:v>87.98</c:v>
                </c:pt>
                <c:pt idx="1942">
                  <c:v>87.98</c:v>
                </c:pt>
                <c:pt idx="1943">
                  <c:v>87.98</c:v>
                </c:pt>
                <c:pt idx="1944">
                  <c:v>88.25</c:v>
                </c:pt>
                <c:pt idx="1945">
                  <c:v>87.61</c:v>
                </c:pt>
                <c:pt idx="1946">
                  <c:v>88.2</c:v>
                </c:pt>
                <c:pt idx="1947">
                  <c:v>89.75</c:v>
                </c:pt>
                <c:pt idx="1948">
                  <c:v>88.97</c:v>
                </c:pt>
                <c:pt idx="1949">
                  <c:v>88.97</c:v>
                </c:pt>
                <c:pt idx="1950">
                  <c:v>88.97</c:v>
                </c:pt>
                <c:pt idx="1951">
                  <c:v>88.66</c:v>
                </c:pt>
                <c:pt idx="1952">
                  <c:v>87.82</c:v>
                </c:pt>
                <c:pt idx="1953">
                  <c:v>86.96</c:v>
                </c:pt>
                <c:pt idx="1954">
                  <c:v>86.17</c:v>
                </c:pt>
                <c:pt idx="1955">
                  <c:v>86.46</c:v>
                </c:pt>
                <c:pt idx="1956">
                  <c:v>86.46</c:v>
                </c:pt>
                <c:pt idx="1957">
                  <c:v>86.46</c:v>
                </c:pt>
                <c:pt idx="1958">
                  <c:v>87.58</c:v>
                </c:pt>
                <c:pt idx="1959">
                  <c:v>86.51</c:v>
                </c:pt>
                <c:pt idx="1960">
                  <c:v>85.84</c:v>
                </c:pt>
                <c:pt idx="1961">
                  <c:v>85.71</c:v>
                </c:pt>
                <c:pt idx="1962">
                  <c:v>86.89</c:v>
                </c:pt>
                <c:pt idx="1963">
                  <c:v>86.89</c:v>
                </c:pt>
                <c:pt idx="1964">
                  <c:v>86.89</c:v>
                </c:pt>
                <c:pt idx="1965">
                  <c:v>87.1</c:v>
                </c:pt>
                <c:pt idx="1966">
                  <c:v>87.09</c:v>
                </c:pt>
                <c:pt idx="1967">
                  <c:v>87.76</c:v>
                </c:pt>
                <c:pt idx="1968">
                  <c:v>88.44</c:v>
                </c:pt>
                <c:pt idx="1969">
                  <c:v>89.66</c:v>
                </c:pt>
                <c:pt idx="1970">
                  <c:v>89.66</c:v>
                </c:pt>
                <c:pt idx="1971">
                  <c:v>89.66</c:v>
                </c:pt>
                <c:pt idx="1972">
                  <c:v>91.27</c:v>
                </c:pt>
                <c:pt idx="1973">
                  <c:v>91.44</c:v>
                </c:pt>
                <c:pt idx="1974">
                  <c:v>92.3</c:v>
                </c:pt>
                <c:pt idx="1975">
                  <c:v>92.97</c:v>
                </c:pt>
                <c:pt idx="1976">
                  <c:v>92.84</c:v>
                </c:pt>
                <c:pt idx="1977">
                  <c:v>92.84</c:v>
                </c:pt>
                <c:pt idx="1978">
                  <c:v>92.84</c:v>
                </c:pt>
                <c:pt idx="1979">
                  <c:v>93.12</c:v>
                </c:pt>
                <c:pt idx="1980">
                  <c:v>94.09</c:v>
                </c:pt>
                <c:pt idx="1981">
                  <c:v>95.1</c:v>
                </c:pt>
                <c:pt idx="1982">
                  <c:v>95.7</c:v>
                </c:pt>
                <c:pt idx="1983">
                  <c:v>96.87</c:v>
                </c:pt>
                <c:pt idx="1984">
                  <c:v>96.87</c:v>
                </c:pt>
                <c:pt idx="1985">
                  <c:v>96.87</c:v>
                </c:pt>
                <c:pt idx="1986">
                  <c:v>96.93</c:v>
                </c:pt>
                <c:pt idx="1987">
                  <c:v>97</c:v>
                </c:pt>
                <c:pt idx="1988">
                  <c:v>95.82</c:v>
                </c:pt>
                <c:pt idx="1989">
                  <c:v>95.01</c:v>
                </c:pt>
                <c:pt idx="1990">
                  <c:v>95.73</c:v>
                </c:pt>
                <c:pt idx="1991">
                  <c:v>95.73</c:v>
                </c:pt>
                <c:pt idx="1992">
                  <c:v>95.73</c:v>
                </c:pt>
                <c:pt idx="1993">
                  <c:v>95.31</c:v>
                </c:pt>
                <c:pt idx="1994">
                  <c:v>94.47</c:v>
                </c:pt>
                <c:pt idx="1995">
                  <c:v>97.08</c:v>
                </c:pt>
                <c:pt idx="1996">
                  <c:v>97.48</c:v>
                </c:pt>
                <c:pt idx="1997">
                  <c:v>96.35</c:v>
                </c:pt>
                <c:pt idx="1998">
                  <c:v>96.35</c:v>
                </c:pt>
                <c:pt idx="1999">
                  <c:v>96.35</c:v>
                </c:pt>
                <c:pt idx="2000">
                  <c:v>95.02</c:v>
                </c:pt>
                <c:pt idx="2001">
                  <c:v>93.59</c:v>
                </c:pt>
                <c:pt idx="2002">
                  <c:v>92.38</c:v>
                </c:pt>
                <c:pt idx="2003">
                  <c:v>88.54</c:v>
                </c:pt>
                <c:pt idx="2004">
                  <c:v>87.33</c:v>
                </c:pt>
                <c:pt idx="2005">
                  <c:v>87.33</c:v>
                </c:pt>
                <c:pt idx="2006">
                  <c:v>87.33</c:v>
                </c:pt>
                <c:pt idx="2007">
                  <c:v>90.01</c:v>
                </c:pt>
                <c:pt idx="2008">
                  <c:v>90.8</c:v>
                </c:pt>
                <c:pt idx="2009">
                  <c:v>89.89</c:v>
                </c:pt>
                <c:pt idx="2010">
                  <c:v>89.43</c:v>
                </c:pt>
                <c:pt idx="2011">
                  <c:v>91.62</c:v>
                </c:pt>
                <c:pt idx="2012">
                  <c:v>91.62</c:v>
                </c:pt>
                <c:pt idx="2013">
                  <c:v>91.62</c:v>
                </c:pt>
                <c:pt idx="2014">
                  <c:v>93.23</c:v>
                </c:pt>
                <c:pt idx="2015">
                  <c:v>92.65</c:v>
                </c:pt>
                <c:pt idx="2016">
                  <c:v>94.46</c:v>
                </c:pt>
                <c:pt idx="2017">
                  <c:v>93.63</c:v>
                </c:pt>
                <c:pt idx="2018">
                  <c:v>95.72</c:v>
                </c:pt>
                <c:pt idx="2019">
                  <c:v>95.72</c:v>
                </c:pt>
                <c:pt idx="2020">
                  <c:v>95.72</c:v>
                </c:pt>
                <c:pt idx="2021">
                  <c:v>94.29</c:v>
                </c:pt>
                <c:pt idx="2022">
                  <c:v>91.29</c:v>
                </c:pt>
                <c:pt idx="2023">
                  <c:v>90.83</c:v>
                </c:pt>
                <c:pt idx="2024">
                  <c:v>91.68</c:v>
                </c:pt>
                <c:pt idx="2025">
                  <c:v>91.6</c:v>
                </c:pt>
                <c:pt idx="2026">
                  <c:v>91.6</c:v>
                </c:pt>
                <c:pt idx="2027">
                  <c:v>91.6</c:v>
                </c:pt>
                <c:pt idx="2028">
                  <c:v>91.1</c:v>
                </c:pt>
                <c:pt idx="2029">
                  <c:v>90.06</c:v>
                </c:pt>
                <c:pt idx="2030">
                  <c:v>88.54</c:v>
                </c:pt>
                <c:pt idx="2031">
                  <c:v>89.08</c:v>
                </c:pt>
                <c:pt idx="2032">
                  <c:v>89.78</c:v>
                </c:pt>
                <c:pt idx="2033">
                  <c:v>89.78</c:v>
                </c:pt>
                <c:pt idx="2034">
                  <c:v>89.78</c:v>
                </c:pt>
                <c:pt idx="2035">
                  <c:v>88.86</c:v>
                </c:pt>
                <c:pt idx="2036">
                  <c:v>86.5</c:v>
                </c:pt>
                <c:pt idx="2037">
                  <c:v>84.27</c:v>
                </c:pt>
                <c:pt idx="2038">
                  <c:v>83.22</c:v>
                </c:pt>
                <c:pt idx="2039">
                  <c:v>83.71</c:v>
                </c:pt>
                <c:pt idx="2040">
                  <c:v>83.71</c:v>
                </c:pt>
                <c:pt idx="2041">
                  <c:v>83.71</c:v>
                </c:pt>
                <c:pt idx="2042">
                  <c:v>84.08</c:v>
                </c:pt>
                <c:pt idx="2043">
                  <c:v>85.47</c:v>
                </c:pt>
                <c:pt idx="2044">
                  <c:v>84.82</c:v>
                </c:pt>
                <c:pt idx="2045">
                  <c:v>82.22</c:v>
                </c:pt>
                <c:pt idx="2046">
                  <c:v>81.08</c:v>
                </c:pt>
                <c:pt idx="2047">
                  <c:v>81.08</c:v>
                </c:pt>
                <c:pt idx="2048">
                  <c:v>81.08</c:v>
                </c:pt>
                <c:pt idx="2049">
                  <c:v>84.44</c:v>
                </c:pt>
                <c:pt idx="2050">
                  <c:v>84.75</c:v>
                </c:pt>
                <c:pt idx="2051">
                  <c:v>84.46</c:v>
                </c:pt>
                <c:pt idx="2052">
                  <c:v>83.78</c:v>
                </c:pt>
                <c:pt idx="2053">
                  <c:v>84.16</c:v>
                </c:pt>
                <c:pt idx="2054">
                  <c:v>84.16</c:v>
                </c:pt>
                <c:pt idx="2055">
                  <c:v>84.16</c:v>
                </c:pt>
                <c:pt idx="2056">
                  <c:v>82.75</c:v>
                </c:pt>
                <c:pt idx="2057">
                  <c:v>83.4</c:v>
                </c:pt>
                <c:pt idx="2058">
                  <c:v>83.89</c:v>
                </c:pt>
                <c:pt idx="2059">
                  <c:v>85</c:v>
                </c:pt>
                <c:pt idx="2060">
                  <c:v>82.54</c:v>
                </c:pt>
                <c:pt idx="2061">
                  <c:v>82.54</c:v>
                </c:pt>
                <c:pt idx="2062">
                  <c:v>82.54</c:v>
                </c:pt>
                <c:pt idx="2063">
                  <c:v>79.63</c:v>
                </c:pt>
                <c:pt idx="2064">
                  <c:v>79.959999999999994</c:v>
                </c:pt>
                <c:pt idx="2065">
                  <c:v>78.260000000000005</c:v>
                </c:pt>
                <c:pt idx="2066">
                  <c:v>76.37</c:v>
                </c:pt>
                <c:pt idx="2067">
                  <c:v>77.42</c:v>
                </c:pt>
                <c:pt idx="2068">
                  <c:v>77.42</c:v>
                </c:pt>
                <c:pt idx="2069">
                  <c:v>77.42</c:v>
                </c:pt>
                <c:pt idx="2070">
                  <c:v>77.930000000000007</c:v>
                </c:pt>
                <c:pt idx="2071">
                  <c:v>77.010000000000005</c:v>
                </c:pt>
                <c:pt idx="2072">
                  <c:v>73.91</c:v>
                </c:pt>
                <c:pt idx="2073">
                  <c:v>76.77</c:v>
                </c:pt>
                <c:pt idx="2074">
                  <c:v>78.03</c:v>
                </c:pt>
                <c:pt idx="2075">
                  <c:v>78.03</c:v>
                </c:pt>
                <c:pt idx="2076">
                  <c:v>78.03</c:v>
                </c:pt>
                <c:pt idx="2077">
                  <c:v>78.47</c:v>
                </c:pt>
                <c:pt idx="2078">
                  <c:v>79.19</c:v>
                </c:pt>
                <c:pt idx="2079">
                  <c:v>81.239999999999995</c:v>
                </c:pt>
                <c:pt idx="2080">
                  <c:v>80.84</c:v>
                </c:pt>
                <c:pt idx="2081">
                  <c:v>81.23</c:v>
                </c:pt>
                <c:pt idx="2082">
                  <c:v>81.23</c:v>
                </c:pt>
                <c:pt idx="2083">
                  <c:v>81.23</c:v>
                </c:pt>
                <c:pt idx="2084">
                  <c:v>81.23</c:v>
                </c:pt>
                <c:pt idx="2085">
                  <c:v>80.709999999999994</c:v>
                </c:pt>
                <c:pt idx="2086">
                  <c:v>81.819999999999993</c:v>
                </c:pt>
                <c:pt idx="2087">
                  <c:v>80.31</c:v>
                </c:pt>
                <c:pt idx="2088">
                  <c:v>78.44</c:v>
                </c:pt>
                <c:pt idx="2089">
                  <c:v>78.44</c:v>
                </c:pt>
                <c:pt idx="2090">
                  <c:v>78.44</c:v>
                </c:pt>
                <c:pt idx="2091">
                  <c:v>78.44</c:v>
                </c:pt>
                <c:pt idx="2092">
                  <c:v>78.36</c:v>
                </c:pt>
                <c:pt idx="2093">
                  <c:v>76.81</c:v>
                </c:pt>
                <c:pt idx="2094">
                  <c:v>78.88</c:v>
                </c:pt>
                <c:pt idx="2095">
                  <c:v>78.91</c:v>
                </c:pt>
                <c:pt idx="2096">
                  <c:v>78.91</c:v>
                </c:pt>
                <c:pt idx="2097">
                  <c:v>78.91</c:v>
                </c:pt>
                <c:pt idx="2098">
                  <c:v>78.260000000000005</c:v>
                </c:pt>
                <c:pt idx="2099">
                  <c:v>78.209999999999994</c:v>
                </c:pt>
                <c:pt idx="2100">
                  <c:v>78.930000000000007</c:v>
                </c:pt>
                <c:pt idx="2101">
                  <c:v>78.88</c:v>
                </c:pt>
                <c:pt idx="2102">
                  <c:v>80.180000000000007</c:v>
                </c:pt>
                <c:pt idx="2103">
                  <c:v>80.180000000000007</c:v>
                </c:pt>
                <c:pt idx="2104">
                  <c:v>80.180000000000007</c:v>
                </c:pt>
                <c:pt idx="2105">
                  <c:v>79.17</c:v>
                </c:pt>
                <c:pt idx="2106">
                  <c:v>79.16</c:v>
                </c:pt>
                <c:pt idx="2107">
                  <c:v>78.38</c:v>
                </c:pt>
                <c:pt idx="2108">
                  <c:v>79.39</c:v>
                </c:pt>
                <c:pt idx="2109">
                  <c:v>80.27</c:v>
                </c:pt>
                <c:pt idx="2110">
                  <c:v>80.27</c:v>
                </c:pt>
                <c:pt idx="2111">
                  <c:v>80.27</c:v>
                </c:pt>
                <c:pt idx="2112">
                  <c:v>79.7</c:v>
                </c:pt>
                <c:pt idx="2113">
                  <c:v>81.3</c:v>
                </c:pt>
                <c:pt idx="2114">
                  <c:v>81.05</c:v>
                </c:pt>
                <c:pt idx="2115">
                  <c:v>81.98</c:v>
                </c:pt>
                <c:pt idx="2116">
                  <c:v>83</c:v>
                </c:pt>
                <c:pt idx="2117">
                  <c:v>83</c:v>
                </c:pt>
                <c:pt idx="2118">
                  <c:v>83</c:v>
                </c:pt>
                <c:pt idx="2119">
                  <c:v>84.19</c:v>
                </c:pt>
                <c:pt idx="2120">
                  <c:v>82.94</c:v>
                </c:pt>
                <c:pt idx="2121">
                  <c:v>82.99</c:v>
                </c:pt>
                <c:pt idx="2122">
                  <c:v>80.489999999999995</c:v>
                </c:pt>
                <c:pt idx="2123">
                  <c:v>78.64</c:v>
                </c:pt>
                <c:pt idx="2124">
                  <c:v>78.64</c:v>
                </c:pt>
                <c:pt idx="2125">
                  <c:v>78.64</c:v>
                </c:pt>
                <c:pt idx="2126">
                  <c:v>77.5</c:v>
                </c:pt>
                <c:pt idx="2127">
                  <c:v>78.38</c:v>
                </c:pt>
                <c:pt idx="2128">
                  <c:v>78.88</c:v>
                </c:pt>
                <c:pt idx="2129">
                  <c:v>80.180000000000007</c:v>
                </c:pt>
                <c:pt idx="2130">
                  <c:v>81.48</c:v>
                </c:pt>
                <c:pt idx="2131">
                  <c:v>81.48</c:v>
                </c:pt>
                <c:pt idx="2132">
                  <c:v>81.48</c:v>
                </c:pt>
                <c:pt idx="2133">
                  <c:v>81.430000000000007</c:v>
                </c:pt>
                <c:pt idx="2134">
                  <c:v>82.41</c:v>
                </c:pt>
                <c:pt idx="2135">
                  <c:v>82.52</c:v>
                </c:pt>
                <c:pt idx="2136">
                  <c:v>81.36</c:v>
                </c:pt>
                <c:pt idx="2137">
                  <c:v>82.63</c:v>
                </c:pt>
                <c:pt idx="2138">
                  <c:v>82.63</c:v>
                </c:pt>
                <c:pt idx="2139">
                  <c:v>82.63</c:v>
                </c:pt>
                <c:pt idx="2140">
                  <c:v>82.89</c:v>
                </c:pt>
                <c:pt idx="2141">
                  <c:v>82.82</c:v>
                </c:pt>
                <c:pt idx="2142">
                  <c:v>81.99</c:v>
                </c:pt>
                <c:pt idx="2143">
                  <c:v>82.9</c:v>
                </c:pt>
                <c:pt idx="2144">
                  <c:v>82.23</c:v>
                </c:pt>
                <c:pt idx="2145">
                  <c:v>82.23</c:v>
                </c:pt>
                <c:pt idx="2146">
                  <c:v>82.23</c:v>
                </c:pt>
                <c:pt idx="2147">
                  <c:v>80.83</c:v>
                </c:pt>
                <c:pt idx="2148">
                  <c:v>82.22</c:v>
                </c:pt>
                <c:pt idx="2149">
                  <c:v>82.02</c:v>
                </c:pt>
                <c:pt idx="2150">
                  <c:v>82.01</c:v>
                </c:pt>
                <c:pt idx="2151">
                  <c:v>82.68</c:v>
                </c:pt>
                <c:pt idx="2152">
                  <c:v>82.68</c:v>
                </c:pt>
                <c:pt idx="2153">
                  <c:v>82.68</c:v>
                </c:pt>
                <c:pt idx="2154">
                  <c:v>83.41</c:v>
                </c:pt>
                <c:pt idx="2155">
                  <c:v>82.34</c:v>
                </c:pt>
                <c:pt idx="2156">
                  <c:v>82.68</c:v>
                </c:pt>
                <c:pt idx="2157">
                  <c:v>82.71</c:v>
                </c:pt>
                <c:pt idx="2158">
                  <c:v>83.08</c:v>
                </c:pt>
                <c:pt idx="2159">
                  <c:v>83.08</c:v>
                </c:pt>
                <c:pt idx="2160">
                  <c:v>83.08</c:v>
                </c:pt>
                <c:pt idx="2161">
                  <c:v>82.26</c:v>
                </c:pt>
                <c:pt idx="2162">
                  <c:v>82.61</c:v>
                </c:pt>
                <c:pt idx="2163">
                  <c:v>82.67</c:v>
                </c:pt>
                <c:pt idx="2164">
                  <c:v>84.27</c:v>
                </c:pt>
                <c:pt idx="2165">
                  <c:v>84.74</c:v>
                </c:pt>
                <c:pt idx="2166">
                  <c:v>84.74</c:v>
                </c:pt>
                <c:pt idx="2167">
                  <c:v>84.74</c:v>
                </c:pt>
                <c:pt idx="2168">
                  <c:v>85.71</c:v>
                </c:pt>
                <c:pt idx="2169">
                  <c:v>86.52</c:v>
                </c:pt>
                <c:pt idx="2170">
                  <c:v>86.03</c:v>
                </c:pt>
                <c:pt idx="2171">
                  <c:v>85.56</c:v>
                </c:pt>
                <c:pt idx="2172">
                  <c:v>84.88</c:v>
                </c:pt>
                <c:pt idx="2173">
                  <c:v>84.88</c:v>
                </c:pt>
                <c:pt idx="2174">
                  <c:v>84.88</c:v>
                </c:pt>
                <c:pt idx="2175">
                  <c:v>85.43</c:v>
                </c:pt>
                <c:pt idx="2176">
                  <c:v>85.92</c:v>
                </c:pt>
                <c:pt idx="2177">
                  <c:v>84.98</c:v>
                </c:pt>
                <c:pt idx="2178">
                  <c:v>86</c:v>
                </c:pt>
                <c:pt idx="2179">
                  <c:v>86</c:v>
                </c:pt>
                <c:pt idx="2180">
                  <c:v>86</c:v>
                </c:pt>
                <c:pt idx="2181">
                  <c:v>86</c:v>
                </c:pt>
                <c:pt idx="2182">
                  <c:v>87.31</c:v>
                </c:pt>
                <c:pt idx="2183">
                  <c:v>88.96</c:v>
                </c:pt>
                <c:pt idx="2184">
                  <c:v>89.56</c:v>
                </c:pt>
                <c:pt idx="2185">
                  <c:v>89.56</c:v>
                </c:pt>
                <c:pt idx="2186">
                  <c:v>91.11</c:v>
                </c:pt>
                <c:pt idx="2187">
                  <c:v>91.11</c:v>
                </c:pt>
                <c:pt idx="2188">
                  <c:v>91.11</c:v>
                </c:pt>
                <c:pt idx="2189">
                  <c:v>90.27</c:v>
                </c:pt>
                <c:pt idx="2190">
                  <c:v>90.56</c:v>
                </c:pt>
                <c:pt idx="2191">
                  <c:v>90.38</c:v>
                </c:pt>
                <c:pt idx="2192">
                  <c:v>90.62</c:v>
                </c:pt>
                <c:pt idx="2193">
                  <c:v>90.77</c:v>
                </c:pt>
                <c:pt idx="2194">
                  <c:v>90.77</c:v>
                </c:pt>
                <c:pt idx="2195">
                  <c:v>90.77</c:v>
                </c:pt>
                <c:pt idx="2196">
                  <c:v>89.57</c:v>
                </c:pt>
                <c:pt idx="2197">
                  <c:v>90.18</c:v>
                </c:pt>
                <c:pt idx="2198">
                  <c:v>89.64</c:v>
                </c:pt>
                <c:pt idx="2199">
                  <c:v>87.35</c:v>
                </c:pt>
                <c:pt idx="2200">
                  <c:v>87.52</c:v>
                </c:pt>
                <c:pt idx="2201">
                  <c:v>87.52</c:v>
                </c:pt>
                <c:pt idx="2202">
                  <c:v>87.52</c:v>
                </c:pt>
                <c:pt idx="2203">
                  <c:v>86.51</c:v>
                </c:pt>
                <c:pt idx="2204">
                  <c:v>88.17</c:v>
                </c:pt>
                <c:pt idx="2205">
                  <c:v>88.45</c:v>
                </c:pt>
                <c:pt idx="2206">
                  <c:v>88.39</c:v>
                </c:pt>
                <c:pt idx="2207">
                  <c:v>89.19</c:v>
                </c:pt>
                <c:pt idx="2208">
                  <c:v>89.19</c:v>
                </c:pt>
                <c:pt idx="2209">
                  <c:v>89.19</c:v>
                </c:pt>
                <c:pt idx="2210">
                  <c:v>88.72</c:v>
                </c:pt>
                <c:pt idx="2211">
                  <c:v>87.83</c:v>
                </c:pt>
                <c:pt idx="2212">
                  <c:v>87.15</c:v>
                </c:pt>
                <c:pt idx="2213">
                  <c:v>84.21</c:v>
                </c:pt>
                <c:pt idx="2214">
                  <c:v>83.77</c:v>
                </c:pt>
                <c:pt idx="2215">
                  <c:v>83.77</c:v>
                </c:pt>
                <c:pt idx="2216">
                  <c:v>83.77</c:v>
                </c:pt>
                <c:pt idx="2217">
                  <c:v>83.72</c:v>
                </c:pt>
                <c:pt idx="2218">
                  <c:v>83.58</c:v>
                </c:pt>
                <c:pt idx="2219">
                  <c:v>83.03</c:v>
                </c:pt>
                <c:pt idx="2220">
                  <c:v>84.28</c:v>
                </c:pt>
                <c:pt idx="2221">
                  <c:v>84.27</c:v>
                </c:pt>
                <c:pt idx="2222">
                  <c:v>84.27</c:v>
                </c:pt>
                <c:pt idx="2223">
                  <c:v>84.27</c:v>
                </c:pt>
                <c:pt idx="2224">
                  <c:v>83.41</c:v>
                </c:pt>
                <c:pt idx="2225">
                  <c:v>83.06</c:v>
                </c:pt>
                <c:pt idx="2226">
                  <c:v>82.95</c:v>
                </c:pt>
                <c:pt idx="2227">
                  <c:v>83.3</c:v>
                </c:pt>
                <c:pt idx="2228">
                  <c:v>84.04</c:v>
                </c:pt>
                <c:pt idx="2229">
                  <c:v>84.04</c:v>
                </c:pt>
                <c:pt idx="2230">
                  <c:v>84.04</c:v>
                </c:pt>
                <c:pt idx="2231">
                  <c:v>84.51</c:v>
                </c:pt>
                <c:pt idx="2232">
                  <c:v>83.58</c:v>
                </c:pt>
                <c:pt idx="2233">
                  <c:v>83.27</c:v>
                </c:pt>
                <c:pt idx="2234">
                  <c:v>82.41</c:v>
                </c:pt>
                <c:pt idx="2235">
                  <c:v>81.92</c:v>
                </c:pt>
                <c:pt idx="2236">
                  <c:v>81.92</c:v>
                </c:pt>
                <c:pt idx="2237">
                  <c:v>81.92</c:v>
                </c:pt>
                <c:pt idx="2238">
                  <c:v>82.53</c:v>
                </c:pt>
                <c:pt idx="2239">
                  <c:v>84</c:v>
                </c:pt>
                <c:pt idx="2240">
                  <c:v>84.49</c:v>
                </c:pt>
                <c:pt idx="2241">
                  <c:v>83.08</c:v>
                </c:pt>
                <c:pt idx="2242">
                  <c:v>81.93</c:v>
                </c:pt>
                <c:pt idx="2243">
                  <c:v>81.93</c:v>
                </c:pt>
                <c:pt idx="2244">
                  <c:v>81.93</c:v>
                </c:pt>
                <c:pt idx="2245">
                  <c:v>81.23</c:v>
                </c:pt>
                <c:pt idx="2246">
                  <c:v>78.09</c:v>
                </c:pt>
                <c:pt idx="2247">
                  <c:v>78.31</c:v>
                </c:pt>
                <c:pt idx="2248">
                  <c:v>79.739999999999995</c:v>
                </c:pt>
                <c:pt idx="2249">
                  <c:v>80.3</c:v>
                </c:pt>
                <c:pt idx="2250">
                  <c:v>80.3</c:v>
                </c:pt>
                <c:pt idx="2251">
                  <c:v>80.3</c:v>
                </c:pt>
                <c:pt idx="2252">
                  <c:v>80.849999999999994</c:v>
                </c:pt>
                <c:pt idx="2253">
                  <c:v>82.28</c:v>
                </c:pt>
                <c:pt idx="2254">
                  <c:v>83.03</c:v>
                </c:pt>
                <c:pt idx="2255">
                  <c:v>82.81</c:v>
                </c:pt>
                <c:pt idx="2256">
                  <c:v>82.69</c:v>
                </c:pt>
                <c:pt idx="2257">
                  <c:v>82.69</c:v>
                </c:pt>
                <c:pt idx="2258">
                  <c:v>82.69</c:v>
                </c:pt>
                <c:pt idx="2259">
                  <c:v>83.07</c:v>
                </c:pt>
                <c:pt idx="2260">
                  <c:v>84.5</c:v>
                </c:pt>
                <c:pt idx="2261">
                  <c:v>85.54</c:v>
                </c:pt>
                <c:pt idx="2262">
                  <c:v>85.68</c:v>
                </c:pt>
                <c:pt idx="2263">
                  <c:v>86</c:v>
                </c:pt>
                <c:pt idx="2264">
                  <c:v>86</c:v>
                </c:pt>
                <c:pt idx="2265">
                  <c:v>86</c:v>
                </c:pt>
                <c:pt idx="2266">
                  <c:v>85.98</c:v>
                </c:pt>
                <c:pt idx="2267">
                  <c:v>86.27</c:v>
                </c:pt>
                <c:pt idx="2268">
                  <c:v>85.46</c:v>
                </c:pt>
                <c:pt idx="2269">
                  <c:v>86.05</c:v>
                </c:pt>
                <c:pt idx="2270">
                  <c:v>86.59</c:v>
                </c:pt>
                <c:pt idx="2271">
                  <c:v>86.59</c:v>
                </c:pt>
                <c:pt idx="2272">
                  <c:v>86.59</c:v>
                </c:pt>
                <c:pt idx="2273">
                  <c:v>86.47</c:v>
                </c:pt>
                <c:pt idx="2274">
                  <c:v>87.38</c:v>
                </c:pt>
                <c:pt idx="2275">
                  <c:v>87.02</c:v>
                </c:pt>
                <c:pt idx="2276">
                  <c:v>87.47</c:v>
                </c:pt>
                <c:pt idx="2277">
                  <c:v>88.11</c:v>
                </c:pt>
                <c:pt idx="2278">
                  <c:v>88.11</c:v>
                </c:pt>
                <c:pt idx="2279">
                  <c:v>88.11</c:v>
                </c:pt>
                <c:pt idx="2280">
                  <c:v>86.77</c:v>
                </c:pt>
                <c:pt idx="2281">
                  <c:v>85.91</c:v>
                </c:pt>
                <c:pt idx="2282">
                  <c:v>85.4</c:v>
                </c:pt>
                <c:pt idx="2283">
                  <c:v>86.11</c:v>
                </c:pt>
                <c:pt idx="2284">
                  <c:v>86.27</c:v>
                </c:pt>
                <c:pt idx="2285">
                  <c:v>86.27</c:v>
                </c:pt>
                <c:pt idx="2286">
                  <c:v>86.27</c:v>
                </c:pt>
                <c:pt idx="2287">
                  <c:v>85.31</c:v>
                </c:pt>
                <c:pt idx="2288">
                  <c:v>84.44</c:v>
                </c:pt>
                <c:pt idx="2289">
                  <c:v>84.56</c:v>
                </c:pt>
                <c:pt idx="2290">
                  <c:v>85.43</c:v>
                </c:pt>
                <c:pt idx="2291">
                  <c:v>84.81</c:v>
                </c:pt>
                <c:pt idx="2292">
                  <c:v>84.81</c:v>
                </c:pt>
                <c:pt idx="2293">
                  <c:v>84.81</c:v>
                </c:pt>
                <c:pt idx="2294">
                  <c:v>82.77</c:v>
                </c:pt>
                <c:pt idx="2295">
                  <c:v>82.19</c:v>
                </c:pt>
                <c:pt idx="2296">
                  <c:v>81.45</c:v>
                </c:pt>
                <c:pt idx="2297">
                  <c:v>81.37</c:v>
                </c:pt>
                <c:pt idx="2298">
                  <c:v>81.67</c:v>
                </c:pt>
                <c:pt idx="2299">
                  <c:v>81.67</c:v>
                </c:pt>
                <c:pt idx="2300">
                  <c:v>81.67</c:v>
                </c:pt>
                <c:pt idx="2301">
                  <c:v>80.66</c:v>
                </c:pt>
                <c:pt idx="2302">
                  <c:v>79.58</c:v>
                </c:pt>
                <c:pt idx="2303">
                  <c:v>80.650000000000006</c:v>
                </c:pt>
                <c:pt idx="2304">
                  <c:v>80.91</c:v>
                </c:pt>
                <c:pt idx="2305">
                  <c:v>78.97</c:v>
                </c:pt>
                <c:pt idx="2306">
                  <c:v>78.97</c:v>
                </c:pt>
                <c:pt idx="2307">
                  <c:v>78.97</c:v>
                </c:pt>
                <c:pt idx="2308">
                  <c:v>75.150000000000006</c:v>
                </c:pt>
                <c:pt idx="2309">
                  <c:v>75.459999999999994</c:v>
                </c:pt>
                <c:pt idx="2310">
                  <c:v>76.78</c:v>
                </c:pt>
                <c:pt idx="2311">
                  <c:v>77.959999999999994</c:v>
                </c:pt>
                <c:pt idx="2312">
                  <c:v>78.17</c:v>
                </c:pt>
                <c:pt idx="2313">
                  <c:v>78.17</c:v>
                </c:pt>
                <c:pt idx="2314">
                  <c:v>78.17</c:v>
                </c:pt>
                <c:pt idx="2315">
                  <c:v>79.92</c:v>
                </c:pt>
                <c:pt idx="2316">
                  <c:v>80.78</c:v>
                </c:pt>
                <c:pt idx="2317">
                  <c:v>80.069999999999993</c:v>
                </c:pt>
                <c:pt idx="2318">
                  <c:v>79.930000000000007</c:v>
                </c:pt>
                <c:pt idx="2319">
                  <c:v>79.760000000000005</c:v>
                </c:pt>
                <c:pt idx="2320">
                  <c:v>79.760000000000005</c:v>
                </c:pt>
                <c:pt idx="2321">
                  <c:v>79.760000000000005</c:v>
                </c:pt>
                <c:pt idx="2322">
                  <c:v>78.69</c:v>
                </c:pt>
                <c:pt idx="2323">
                  <c:v>76.73</c:v>
                </c:pt>
                <c:pt idx="2324">
                  <c:v>77.03</c:v>
                </c:pt>
                <c:pt idx="2325">
                  <c:v>76.33</c:v>
                </c:pt>
                <c:pt idx="2326">
                  <c:v>77.75</c:v>
                </c:pt>
                <c:pt idx="2327">
                  <c:v>77.75</c:v>
                </c:pt>
                <c:pt idx="2328">
                  <c:v>77.75</c:v>
                </c:pt>
                <c:pt idx="2329">
                  <c:v>79.430000000000007</c:v>
                </c:pt>
                <c:pt idx="2330">
                  <c:v>80.17</c:v>
                </c:pt>
                <c:pt idx="2331">
                  <c:v>78.25</c:v>
                </c:pt>
                <c:pt idx="2332">
                  <c:v>78.099999999999994</c:v>
                </c:pt>
                <c:pt idx="2333">
                  <c:v>78.75</c:v>
                </c:pt>
                <c:pt idx="2334">
                  <c:v>78.75</c:v>
                </c:pt>
                <c:pt idx="2335">
                  <c:v>78.75</c:v>
                </c:pt>
                <c:pt idx="2336">
                  <c:v>77.040000000000006</c:v>
                </c:pt>
                <c:pt idx="2337">
                  <c:v>76.3</c:v>
                </c:pt>
                <c:pt idx="2338">
                  <c:v>73.680000000000007</c:v>
                </c:pt>
                <c:pt idx="2339">
                  <c:v>73.69</c:v>
                </c:pt>
                <c:pt idx="2340">
                  <c:v>73.2</c:v>
                </c:pt>
                <c:pt idx="2341">
                  <c:v>73.2</c:v>
                </c:pt>
                <c:pt idx="2342">
                  <c:v>73.2</c:v>
                </c:pt>
                <c:pt idx="2343">
                  <c:v>72.23</c:v>
                </c:pt>
                <c:pt idx="2344">
                  <c:v>71.41</c:v>
                </c:pt>
                <c:pt idx="2345">
                  <c:v>70.84</c:v>
                </c:pt>
                <c:pt idx="2346">
                  <c:v>72.42</c:v>
                </c:pt>
                <c:pt idx="2347">
                  <c:v>73.05</c:v>
                </c:pt>
                <c:pt idx="2348">
                  <c:v>73.05</c:v>
                </c:pt>
                <c:pt idx="2349">
                  <c:v>73.05</c:v>
                </c:pt>
                <c:pt idx="2350">
                  <c:v>72.77</c:v>
                </c:pt>
                <c:pt idx="2351">
                  <c:v>73.569999999999993</c:v>
                </c:pt>
                <c:pt idx="2352">
                  <c:v>73.650000000000006</c:v>
                </c:pt>
                <c:pt idx="2353">
                  <c:v>75.150000000000006</c:v>
                </c:pt>
                <c:pt idx="2354">
                  <c:v>74.739999999999995</c:v>
                </c:pt>
                <c:pt idx="2355">
                  <c:v>74.739999999999995</c:v>
                </c:pt>
                <c:pt idx="2356">
                  <c:v>74.739999999999995</c:v>
                </c:pt>
                <c:pt idx="2357">
                  <c:v>74.44</c:v>
                </c:pt>
                <c:pt idx="2358">
                  <c:v>75.12</c:v>
                </c:pt>
                <c:pt idx="2359">
                  <c:v>74.900000000000006</c:v>
                </c:pt>
                <c:pt idx="2360">
                  <c:v>72.040000000000006</c:v>
                </c:pt>
                <c:pt idx="2361">
                  <c:v>72.25</c:v>
                </c:pt>
                <c:pt idx="2362">
                  <c:v>72.25</c:v>
                </c:pt>
                <c:pt idx="2363">
                  <c:v>72.25</c:v>
                </c:pt>
                <c:pt idx="2364">
                  <c:v>73</c:v>
                </c:pt>
                <c:pt idx="2365">
                  <c:v>71.22</c:v>
                </c:pt>
                <c:pt idx="2366">
                  <c:v>74.5</c:v>
                </c:pt>
                <c:pt idx="2367">
                  <c:v>74.790000000000006</c:v>
                </c:pt>
                <c:pt idx="2368">
                  <c:v>77.540000000000006</c:v>
                </c:pt>
                <c:pt idx="2369">
                  <c:v>77.540000000000006</c:v>
                </c:pt>
                <c:pt idx="2370">
                  <c:v>77.540000000000006</c:v>
                </c:pt>
                <c:pt idx="2371">
                  <c:v>78.38</c:v>
                </c:pt>
                <c:pt idx="2372">
                  <c:v>78.150000000000006</c:v>
                </c:pt>
                <c:pt idx="2373">
                  <c:v>76.92</c:v>
                </c:pt>
                <c:pt idx="2374">
                  <c:v>77.11</c:v>
                </c:pt>
                <c:pt idx="2375">
                  <c:v>78.31</c:v>
                </c:pt>
                <c:pt idx="2376">
                  <c:v>78.31</c:v>
                </c:pt>
                <c:pt idx="2377">
                  <c:v>78.31</c:v>
                </c:pt>
                <c:pt idx="2378">
                  <c:v>77.06</c:v>
                </c:pt>
                <c:pt idx="2379">
                  <c:v>73.58</c:v>
                </c:pt>
                <c:pt idx="2380">
                  <c:v>73.45</c:v>
                </c:pt>
                <c:pt idx="2381">
                  <c:v>73.59</c:v>
                </c:pt>
                <c:pt idx="2382">
                  <c:v>73.209999999999994</c:v>
                </c:pt>
                <c:pt idx="2383">
                  <c:v>73.209999999999994</c:v>
                </c:pt>
                <c:pt idx="2384">
                  <c:v>73.209999999999994</c:v>
                </c:pt>
                <c:pt idx="2385">
                  <c:v>73.02</c:v>
                </c:pt>
                <c:pt idx="2386">
                  <c:v>73.48</c:v>
                </c:pt>
                <c:pt idx="2387">
                  <c:v>74.47</c:v>
                </c:pt>
                <c:pt idx="2388">
                  <c:v>74.7</c:v>
                </c:pt>
                <c:pt idx="2389">
                  <c:v>73.81</c:v>
                </c:pt>
                <c:pt idx="2390">
                  <c:v>73.81</c:v>
                </c:pt>
                <c:pt idx="2391">
                  <c:v>73.81</c:v>
                </c:pt>
                <c:pt idx="2392">
                  <c:v>71.59</c:v>
                </c:pt>
                <c:pt idx="2393">
                  <c:v>70.790000000000006</c:v>
                </c:pt>
                <c:pt idx="2394">
                  <c:v>71.27</c:v>
                </c:pt>
                <c:pt idx="2395">
                  <c:v>71.37</c:v>
                </c:pt>
                <c:pt idx="2396">
                  <c:v>73.64</c:v>
                </c:pt>
                <c:pt idx="2397">
                  <c:v>73.64</c:v>
                </c:pt>
                <c:pt idx="2398">
                  <c:v>73.64</c:v>
                </c:pt>
                <c:pt idx="2399">
                  <c:v>74.02</c:v>
                </c:pt>
                <c:pt idx="2400">
                  <c:v>74.760000000000005</c:v>
                </c:pt>
                <c:pt idx="2401">
                  <c:v>73.94</c:v>
                </c:pt>
                <c:pt idx="2402">
                  <c:v>74.41</c:v>
                </c:pt>
                <c:pt idx="2403">
                  <c:v>73.92</c:v>
                </c:pt>
                <c:pt idx="2404">
                  <c:v>73.92</c:v>
                </c:pt>
                <c:pt idx="2405">
                  <c:v>73.92</c:v>
                </c:pt>
                <c:pt idx="2406">
                  <c:v>72.92</c:v>
                </c:pt>
                <c:pt idx="2407">
                  <c:v>71.5</c:v>
                </c:pt>
                <c:pt idx="2408">
                  <c:v>71.67</c:v>
                </c:pt>
                <c:pt idx="2409">
                  <c:v>71.84</c:v>
                </c:pt>
                <c:pt idx="2410">
                  <c:v>71.22</c:v>
                </c:pt>
                <c:pt idx="2411">
                  <c:v>71.22</c:v>
                </c:pt>
                <c:pt idx="2412">
                  <c:v>71.22</c:v>
                </c:pt>
                <c:pt idx="2413">
                  <c:v>71.319999999999993</c:v>
                </c:pt>
                <c:pt idx="2414">
                  <c:v>72.67</c:v>
                </c:pt>
                <c:pt idx="2415">
                  <c:v>73.16</c:v>
                </c:pt>
                <c:pt idx="2416">
                  <c:v>73.430000000000007</c:v>
                </c:pt>
                <c:pt idx="2417">
                  <c:v>74.540000000000006</c:v>
                </c:pt>
                <c:pt idx="2418">
                  <c:v>74.540000000000006</c:v>
                </c:pt>
                <c:pt idx="2419">
                  <c:v>74.540000000000006</c:v>
                </c:pt>
                <c:pt idx="2420">
                  <c:v>73.69</c:v>
                </c:pt>
                <c:pt idx="2421">
                  <c:v>72.959999999999994</c:v>
                </c:pt>
                <c:pt idx="2422">
                  <c:v>72.61</c:v>
                </c:pt>
                <c:pt idx="2423">
                  <c:v>71.819999999999993</c:v>
                </c:pt>
                <c:pt idx="2424">
                  <c:v>72.45</c:v>
                </c:pt>
                <c:pt idx="2425">
                  <c:v>72.45</c:v>
                </c:pt>
                <c:pt idx="2426">
                  <c:v>72.45</c:v>
                </c:pt>
                <c:pt idx="2427">
                  <c:v>71.959999999999994</c:v>
                </c:pt>
                <c:pt idx="2428">
                  <c:v>72.39</c:v>
                </c:pt>
                <c:pt idx="2429">
                  <c:v>73.44</c:v>
                </c:pt>
                <c:pt idx="2430">
                  <c:v>72.209999999999994</c:v>
                </c:pt>
                <c:pt idx="2431">
                  <c:v>71.69</c:v>
                </c:pt>
                <c:pt idx="2432">
                  <c:v>71.69</c:v>
                </c:pt>
                <c:pt idx="2433">
                  <c:v>71.69</c:v>
                </c:pt>
                <c:pt idx="2434">
                  <c:v>71.97</c:v>
                </c:pt>
                <c:pt idx="2435">
                  <c:v>71.930000000000007</c:v>
                </c:pt>
                <c:pt idx="2436">
                  <c:v>72.45</c:v>
                </c:pt>
                <c:pt idx="2437">
                  <c:v>73.36</c:v>
                </c:pt>
                <c:pt idx="2438">
                  <c:v>73.58</c:v>
                </c:pt>
                <c:pt idx="2439">
                  <c:v>73.58</c:v>
                </c:pt>
                <c:pt idx="2440">
                  <c:v>73.58</c:v>
                </c:pt>
                <c:pt idx="2441">
                  <c:v>74.03</c:v>
                </c:pt>
                <c:pt idx="2442">
                  <c:v>73.430000000000007</c:v>
                </c:pt>
                <c:pt idx="2443">
                  <c:v>73.73</c:v>
                </c:pt>
                <c:pt idx="2444">
                  <c:v>72.88</c:v>
                </c:pt>
                <c:pt idx="2445">
                  <c:v>72.58</c:v>
                </c:pt>
                <c:pt idx="2446">
                  <c:v>72.58</c:v>
                </c:pt>
                <c:pt idx="2447">
                  <c:v>72.58</c:v>
                </c:pt>
                <c:pt idx="2448">
                  <c:v>72.760000000000005</c:v>
                </c:pt>
                <c:pt idx="2449">
                  <c:v>73.13</c:v>
                </c:pt>
                <c:pt idx="2450">
                  <c:v>73.13</c:v>
                </c:pt>
                <c:pt idx="2451">
                  <c:v>73.92</c:v>
                </c:pt>
                <c:pt idx="2452">
                  <c:v>73.91</c:v>
                </c:pt>
                <c:pt idx="2453">
                  <c:v>73.91</c:v>
                </c:pt>
                <c:pt idx="2454">
                  <c:v>73.91</c:v>
                </c:pt>
                <c:pt idx="2455">
                  <c:v>74.62</c:v>
                </c:pt>
                <c:pt idx="2456">
                  <c:v>74.59</c:v>
                </c:pt>
                <c:pt idx="2457">
                  <c:v>74.59</c:v>
                </c:pt>
                <c:pt idx="2458">
                  <c:v>74.86</c:v>
                </c:pt>
                <c:pt idx="2459">
                  <c:v>75.819999999999993</c:v>
                </c:pt>
                <c:pt idx="2460">
                  <c:v>75.819999999999993</c:v>
                </c:pt>
                <c:pt idx="2461">
                  <c:v>75.819999999999993</c:v>
                </c:pt>
                <c:pt idx="2462">
                  <c:v>76.11</c:v>
                </c:pt>
                <c:pt idx="2463">
                  <c:v>76</c:v>
                </c:pt>
                <c:pt idx="2464">
                  <c:v>76.849999999999994</c:v>
                </c:pt>
                <c:pt idx="2465">
                  <c:v>76.05</c:v>
                </c:pt>
                <c:pt idx="2466">
                  <c:v>77.87</c:v>
                </c:pt>
                <c:pt idx="2467">
                  <c:v>77.87</c:v>
                </c:pt>
                <c:pt idx="2468">
                  <c:v>77.87</c:v>
                </c:pt>
                <c:pt idx="2469">
                  <c:v>81.64</c:v>
                </c:pt>
                <c:pt idx="2470">
                  <c:v>81.17</c:v>
                </c:pt>
                <c:pt idx="2471">
                  <c:v>81.59</c:v>
                </c:pt>
                <c:pt idx="2472">
                  <c:v>83.07</c:v>
                </c:pt>
                <c:pt idx="2473">
                  <c:v>83.04</c:v>
                </c:pt>
                <c:pt idx="2474">
                  <c:v>83.04</c:v>
                </c:pt>
                <c:pt idx="2475">
                  <c:v>83.04</c:v>
                </c:pt>
                <c:pt idx="2476">
                  <c:v>82.1</c:v>
                </c:pt>
                <c:pt idx="2477">
                  <c:v>81.66</c:v>
                </c:pt>
                <c:pt idx="2478">
                  <c:v>80.83</c:v>
                </c:pt>
                <c:pt idx="2479">
                  <c:v>80.69</c:v>
                </c:pt>
                <c:pt idx="2480">
                  <c:v>80.37</c:v>
                </c:pt>
                <c:pt idx="2481">
                  <c:v>80.37</c:v>
                </c:pt>
                <c:pt idx="2482">
                  <c:v>80.37</c:v>
                </c:pt>
                <c:pt idx="2483">
                  <c:v>80</c:v>
                </c:pt>
                <c:pt idx="2484">
                  <c:v>79.48</c:v>
                </c:pt>
                <c:pt idx="2485">
                  <c:v>79.44</c:v>
                </c:pt>
                <c:pt idx="2486">
                  <c:v>79.31</c:v>
                </c:pt>
                <c:pt idx="2487">
                  <c:v>78.41</c:v>
                </c:pt>
                <c:pt idx="2488">
                  <c:v>78.41</c:v>
                </c:pt>
                <c:pt idx="2489">
                  <c:v>78.41</c:v>
                </c:pt>
                <c:pt idx="2490">
                  <c:v>77.989999999999995</c:v>
                </c:pt>
                <c:pt idx="2491">
                  <c:v>76.900000000000006</c:v>
                </c:pt>
                <c:pt idx="2492">
                  <c:v>77.17</c:v>
                </c:pt>
                <c:pt idx="2493">
                  <c:v>76.45</c:v>
                </c:pt>
                <c:pt idx="2494">
                  <c:v>76.709999999999994</c:v>
                </c:pt>
                <c:pt idx="2495">
                  <c:v>76.709999999999994</c:v>
                </c:pt>
                <c:pt idx="2496">
                  <c:v>76.709999999999994</c:v>
                </c:pt>
                <c:pt idx="2497">
                  <c:v>77.22</c:v>
                </c:pt>
                <c:pt idx="2498">
                  <c:v>78.31</c:v>
                </c:pt>
                <c:pt idx="2499">
                  <c:v>77.88</c:v>
                </c:pt>
                <c:pt idx="2500">
                  <c:v>76.239999999999995</c:v>
                </c:pt>
                <c:pt idx="2501">
                  <c:v>76.790000000000006</c:v>
                </c:pt>
                <c:pt idx="2502">
                  <c:v>76.790000000000006</c:v>
                </c:pt>
                <c:pt idx="2503">
                  <c:v>76.790000000000006</c:v>
                </c:pt>
                <c:pt idx="2504">
                  <c:v>76.72</c:v>
                </c:pt>
                <c:pt idx="2505">
                  <c:v>77.11</c:v>
                </c:pt>
                <c:pt idx="2506">
                  <c:v>78.19</c:v>
                </c:pt>
                <c:pt idx="2507">
                  <c:v>78.150000000000006</c:v>
                </c:pt>
                <c:pt idx="2508">
                  <c:v>77.42</c:v>
                </c:pt>
                <c:pt idx="2509">
                  <c:v>77.42</c:v>
                </c:pt>
                <c:pt idx="2510">
                  <c:v>77.42</c:v>
                </c:pt>
                <c:pt idx="2511">
                  <c:v>75.97</c:v>
                </c:pt>
                <c:pt idx="2512">
                  <c:v>75.930000000000007</c:v>
                </c:pt>
                <c:pt idx="2513">
                  <c:v>74.87</c:v>
                </c:pt>
                <c:pt idx="2514">
                  <c:v>74.98</c:v>
                </c:pt>
                <c:pt idx="2515">
                  <c:v>75.16</c:v>
                </c:pt>
                <c:pt idx="2516">
                  <c:v>75.16</c:v>
                </c:pt>
                <c:pt idx="2517">
                  <c:v>75.16</c:v>
                </c:pt>
                <c:pt idx="2518">
                  <c:v>74.97</c:v>
                </c:pt>
                <c:pt idx="2519">
                  <c:v>72.37</c:v>
                </c:pt>
                <c:pt idx="2520">
                  <c:v>72.489999999999995</c:v>
                </c:pt>
                <c:pt idx="2521">
                  <c:v>71.739999999999995</c:v>
                </c:pt>
                <c:pt idx="2522">
                  <c:v>72.540000000000006</c:v>
                </c:pt>
                <c:pt idx="2523">
                  <c:v>72.540000000000006</c:v>
                </c:pt>
                <c:pt idx="2524">
                  <c:v>72.540000000000006</c:v>
                </c:pt>
                <c:pt idx="2525">
                  <c:v>72.73</c:v>
                </c:pt>
                <c:pt idx="2526">
                  <c:v>72.14</c:v>
                </c:pt>
                <c:pt idx="2527">
                  <c:v>72.55</c:v>
                </c:pt>
                <c:pt idx="2528">
                  <c:v>73.34</c:v>
                </c:pt>
                <c:pt idx="2529">
                  <c:v>72.98</c:v>
                </c:pt>
                <c:pt idx="2530">
                  <c:v>72.98</c:v>
                </c:pt>
                <c:pt idx="2531">
                  <c:v>72.98</c:v>
                </c:pt>
                <c:pt idx="2532">
                  <c:v>73.650000000000006</c:v>
                </c:pt>
                <c:pt idx="2533">
                  <c:v>74.12</c:v>
                </c:pt>
                <c:pt idx="2534">
                  <c:v>73.13</c:v>
                </c:pt>
                <c:pt idx="2535">
                  <c:v>74.25</c:v>
                </c:pt>
                <c:pt idx="2536">
                  <c:v>74.91</c:v>
                </c:pt>
                <c:pt idx="2537">
                  <c:v>74.91</c:v>
                </c:pt>
                <c:pt idx="2538">
                  <c:v>74.91</c:v>
                </c:pt>
                <c:pt idx="2539">
                  <c:v>75.11</c:v>
                </c:pt>
                <c:pt idx="2540">
                  <c:v>75.739999999999995</c:v>
                </c:pt>
                <c:pt idx="2541">
                  <c:v>75.959999999999994</c:v>
                </c:pt>
                <c:pt idx="2542">
                  <c:v>76.11</c:v>
                </c:pt>
                <c:pt idx="2543">
                  <c:v>76.25</c:v>
                </c:pt>
                <c:pt idx="2544">
                  <c:v>76.25</c:v>
                </c:pt>
                <c:pt idx="2545">
                  <c:v>76.25</c:v>
                </c:pt>
                <c:pt idx="2546">
                  <c:v>76.89</c:v>
                </c:pt>
                <c:pt idx="2547">
                  <c:v>77.430000000000007</c:v>
                </c:pt>
                <c:pt idx="2548">
                  <c:v>77.44</c:v>
                </c:pt>
                <c:pt idx="2549">
                  <c:v>75.349999999999994</c:v>
                </c:pt>
                <c:pt idx="2550">
                  <c:v>70.849999999999994</c:v>
                </c:pt>
                <c:pt idx="2551">
                  <c:v>70.849999999999994</c:v>
                </c:pt>
                <c:pt idx="2552">
                  <c:v>70.849999999999994</c:v>
                </c:pt>
                <c:pt idx="2553">
                  <c:v>66.25</c:v>
                </c:pt>
                <c:pt idx="2554">
                  <c:v>66.540000000000006</c:v>
                </c:pt>
                <c:pt idx="2555">
                  <c:v>63.4</c:v>
                </c:pt>
                <c:pt idx="2556">
                  <c:v>66.41</c:v>
                </c:pt>
                <c:pt idx="2557">
                  <c:v>66.349999999999994</c:v>
                </c:pt>
                <c:pt idx="2558">
                  <c:v>66.349999999999994</c:v>
                </c:pt>
                <c:pt idx="2559">
                  <c:v>66.349999999999994</c:v>
                </c:pt>
                <c:pt idx="2560">
                  <c:v>67.53</c:v>
                </c:pt>
                <c:pt idx="2561">
                  <c:v>67.650000000000006</c:v>
                </c:pt>
              </c:numCache>
            </c:numRef>
          </c:val>
          <c:smooth val="0"/>
          <c:extLst xmlns:c16r2="http://schemas.microsoft.com/office/drawing/2015/06/chart">
            <c:ext xmlns:c16="http://schemas.microsoft.com/office/drawing/2014/chart" uri="{C3380CC4-5D6E-409C-BE32-E72D297353CC}">
              <c16:uniqueId val="{00000002-B85D-42E1-89D0-357D0281992C}"/>
            </c:ext>
          </c:extLst>
        </c:ser>
        <c:dLbls>
          <c:showLegendKey val="0"/>
          <c:showVal val="0"/>
          <c:showCatName val="0"/>
          <c:showSerName val="0"/>
          <c:showPercent val="0"/>
          <c:showBubbleSize val="0"/>
        </c:dLbls>
        <c:marker val="1"/>
        <c:smooth val="0"/>
        <c:axId val="379705984"/>
        <c:axId val="379707776"/>
      </c:lineChart>
      <c:catAx>
        <c:axId val="379705984"/>
        <c:scaling>
          <c:orientation val="minMax"/>
        </c:scaling>
        <c:delete val="0"/>
        <c:axPos val="b"/>
        <c:numFmt formatCode="General" sourceLinked="0"/>
        <c:majorTickMark val="out"/>
        <c:minorTickMark val="none"/>
        <c:tickLblPos val="nextTo"/>
        <c:spPr>
          <a:ln w="15875" cap="flat" cmpd="sng" algn="ctr">
            <a:solidFill>
              <a:schemeClr val="tx1"/>
            </a:solidFill>
            <a:prstDash val="solid"/>
            <a:round/>
          </a:ln>
        </c:spPr>
        <c:txPr>
          <a:bodyPr rot="0" spcFirstLastPara="0" vertOverflow="ellipsis" vert="horz" wrap="square" anchor="ctr" anchorCtr="1"/>
          <a:lstStyle/>
          <a:p>
            <a:pPr>
              <a:defRPr lang="zh-CN" sz="600" b="0" i="0" u="none" strike="noStrike" kern="1200" baseline="0">
                <a:solidFill>
                  <a:schemeClr val="tx1"/>
                </a:solidFill>
                <a:latin typeface="+mj-lt"/>
                <a:ea typeface="楷体" panose="02010609060101010101" pitchFamily="3" charset="-122"/>
                <a:cs typeface="+mn-cs"/>
              </a:defRPr>
            </a:pPr>
            <a:endParaRPr lang="zh-CN"/>
          </a:p>
        </c:txPr>
        <c:crossAx val="379707776"/>
        <c:crosses val="autoZero"/>
        <c:auto val="1"/>
        <c:lblAlgn val="ctr"/>
        <c:lblOffset val="50"/>
        <c:tickLblSkip val="240"/>
        <c:tickMarkSkip val="60"/>
        <c:noMultiLvlLbl val="0"/>
      </c:catAx>
      <c:valAx>
        <c:axId val="379707776"/>
        <c:scaling>
          <c:orientation val="minMax"/>
        </c:scaling>
        <c:delete val="0"/>
        <c:axPos val="l"/>
        <c:numFmt formatCode="#,##0_ " sourceLinked="0"/>
        <c:majorTickMark val="out"/>
        <c:minorTickMark val="none"/>
        <c:tickLblPos val="nextTo"/>
        <c:spPr>
          <a:ln w="15875" cap="flat" cmpd="sng" algn="ctr">
            <a:solidFill>
              <a:schemeClr val="tx1"/>
            </a:solidFill>
            <a:prstDash val="solid"/>
            <a:round/>
          </a:ln>
        </c:spPr>
        <c:txPr>
          <a:bodyPr rot="-60000000" spcFirstLastPara="0" vertOverflow="ellipsis" vert="horz" wrap="square" anchor="ctr" anchorCtr="1"/>
          <a:lstStyle/>
          <a:p>
            <a:pPr>
              <a:defRPr lang="zh-CN" sz="800" b="0" i="0" u="none" strike="noStrike" kern="1200" baseline="0">
                <a:solidFill>
                  <a:schemeClr val="tx1"/>
                </a:solidFill>
                <a:latin typeface="Times New Roman" panose="02020603050405020304" charset="0"/>
                <a:ea typeface="+mn-ea"/>
                <a:cs typeface="Times New Roman" panose="02020603050405020304" charset="0"/>
              </a:defRPr>
            </a:pPr>
            <a:endParaRPr lang="zh-CN"/>
          </a:p>
        </c:txPr>
        <c:crossAx val="379705984"/>
        <c:crosses val="autoZero"/>
        <c:crossBetween val="between"/>
      </c:valAx>
      <c:spPr>
        <a:solidFill>
          <a:srgbClr val="FFFFFF"/>
        </a:solidFill>
        <a:ln>
          <a:noFill/>
        </a:ln>
      </c:spPr>
    </c:plotArea>
    <c:legend>
      <c:legendPos val="r"/>
      <c:layout>
        <c:manualLayout>
          <c:xMode val="edge"/>
          <c:yMode val="edge"/>
          <c:x val="0.16167441753391301"/>
          <c:y val="3.6350675343903198E-3"/>
          <c:w val="0.83391135129361404"/>
          <c:h val="7.30097373580057E-2"/>
        </c:manualLayout>
      </c:layout>
      <c:overlay val="0"/>
      <c:txPr>
        <a:bodyPr rot="0" spcFirstLastPara="0" vertOverflow="ellipsis" vert="horz" wrap="square" anchor="ctr" anchorCtr="1"/>
        <a:lstStyle/>
        <a:p>
          <a:pPr>
            <a:defRPr lang="zh-CN" sz="800" b="0" i="0" u="none" strike="noStrike" kern="1200" baseline="0">
              <a:solidFill>
                <a:schemeClr val="tx1"/>
              </a:solidFill>
              <a:latin typeface="Times New Roman" panose="02020603050405020304" charset="0"/>
              <a:ea typeface="楷体" panose="02010609060101010101" pitchFamily="3" charset="-122"/>
              <a:cs typeface="+mn-cs"/>
            </a:defRPr>
          </a:pPr>
          <a:endParaRPr lang="zh-CN"/>
        </a:p>
      </c:txPr>
    </c:legend>
    <c:plotVisOnly val="1"/>
    <c:dispBlanksAs val="gap"/>
    <c:showDLblsOverMax val="0"/>
    <c:extLst xmlns:c16r2="http://schemas.microsoft.com/office/drawing/2015/06/chart">
      <c:ext uri="{0b15fc19-7d7d-44ad-8c2d-2c3a37ce22c3}">
        <chartProps xmlns="https://web.wps.cn/et/2018/main" chartId="{c55c9d8f-4a0c-410d-9065-d20f220a4043}"/>
      </c:ext>
    </c:extLst>
  </c:chart>
  <c:spPr>
    <a:solidFill>
      <a:srgbClr val="FFFFFF"/>
    </a:solidFill>
    <a:ln w="9525" cap="flat" cmpd="sng" algn="ctr">
      <a:noFill/>
      <a:prstDash val="solid"/>
      <a:round/>
    </a:ln>
  </c:spPr>
  <c:txPr>
    <a:bodyPr/>
    <a:lstStyle/>
    <a:p>
      <a:pPr>
        <a:defRPr lang="zh-CN"/>
      </a:pPr>
      <a:endParaRPr lang="zh-CN"/>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8891203703703713E-2"/>
          <c:y val="2.9295370370370478E-2"/>
          <c:w val="0.90797500000000064"/>
          <c:h val="0.66419592592592591"/>
        </c:manualLayout>
      </c:layout>
      <c:lineChart>
        <c:grouping val="standard"/>
        <c:varyColors val="0"/>
        <c:ser>
          <c:idx val="0"/>
          <c:order val="0"/>
          <c:tx>
            <c:strRef>
              <c:f>作图!$F$3</c:f>
              <c:strCache>
                <c:ptCount val="1"/>
                <c:pt idx="0">
                  <c:v>二人以上家庭消费实际同比</c:v>
                </c:pt>
              </c:strCache>
            </c:strRef>
          </c:tx>
          <c:spPr>
            <a:ln w="22225" cap="rnd">
              <a:solidFill>
                <a:srgbClr val="106D9C"/>
              </a:solidFill>
              <a:round/>
            </a:ln>
            <a:effectLst/>
          </c:spPr>
          <c:marker>
            <c:symbol val="none"/>
          </c:marker>
          <c:dLbls>
            <c:dLbl>
              <c:idx val="6"/>
              <c:layout>
                <c:manualLayout>
                  <c:x val="0.24796541238174633"/>
                  <c:y val="6.1065141965202116E-2"/>
                </c:manualLayout>
              </c:layout>
              <c:tx>
                <c:rich>
                  <a:bodyPr/>
                  <a:lstStyle/>
                  <a:p>
                    <a:pPr>
                      <a:defRPr lang="ja-JP" sz="800">
                        <a:latin typeface="楷体" panose="02010609060101010101" pitchFamily="49" charset="-122"/>
                        <a:ea typeface="楷体" panose="02010609060101010101" pitchFamily="49" charset="-122"/>
                      </a:defRPr>
                    </a:pPr>
                    <a:r>
                      <a:rPr lang="zh-CN" altLang="en-US" sz="800">
                        <a:latin typeface="楷体" panose="02010609060101010101" pitchFamily="49" charset="-122"/>
                        <a:ea typeface="楷体" panose="02010609060101010101" pitchFamily="49" charset="-122"/>
                      </a:rPr>
                      <a:t>二人以上家庭消费总额实际同比</a:t>
                    </a:r>
                  </a:p>
                </c:rich>
              </c:tx>
              <c:spPr/>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0DD4-437C-9E38-C3C5C59184F3}"/>
                </c:ext>
              </c:extLst>
            </c:dLbl>
            <c:spPr>
              <a:noFill/>
              <a:ln>
                <a:noFill/>
              </a:ln>
              <a:effectLst/>
            </c:spPr>
            <c:txPr>
              <a:bodyPr/>
              <a:lstStyle/>
              <a:p>
                <a:pPr>
                  <a:defRPr lang="ja-JP"/>
                </a:pPr>
                <a:endParaRPr lang="zh-CN"/>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作图!$C$16:$C$40</c:f>
              <c:strCache>
                <c:ptCount val="25"/>
                <c:pt idx="0">
                  <c:v>Q1
2019</c:v>
                </c:pt>
                <c:pt idx="1">
                  <c:v>Q2</c:v>
                </c:pt>
                <c:pt idx="2">
                  <c:v>Q3</c:v>
                </c:pt>
                <c:pt idx="3">
                  <c:v>Q4</c:v>
                </c:pt>
                <c:pt idx="4">
                  <c:v>Q1
2020</c:v>
                </c:pt>
                <c:pt idx="5">
                  <c:v>Q2</c:v>
                </c:pt>
                <c:pt idx="6">
                  <c:v>Q3</c:v>
                </c:pt>
                <c:pt idx="7">
                  <c:v>Q4</c:v>
                </c:pt>
                <c:pt idx="8">
                  <c:v>Q1
2021</c:v>
                </c:pt>
                <c:pt idx="9">
                  <c:v>Q2</c:v>
                </c:pt>
                <c:pt idx="10">
                  <c:v>Q3 </c:v>
                </c:pt>
                <c:pt idx="11">
                  <c:v>Q4</c:v>
                </c:pt>
                <c:pt idx="12">
                  <c:v>Q1
2022</c:v>
                </c:pt>
                <c:pt idx="13">
                  <c:v>Q2</c:v>
                </c:pt>
                <c:pt idx="14">
                  <c:v>Q3</c:v>
                </c:pt>
                <c:pt idx="15">
                  <c:v>Q4</c:v>
                </c:pt>
                <c:pt idx="16">
                  <c:v>Q1
2023</c:v>
                </c:pt>
                <c:pt idx="17">
                  <c:v>Q2</c:v>
                </c:pt>
                <c:pt idx="18">
                  <c:v>Q3</c:v>
                </c:pt>
                <c:pt idx="19">
                  <c:v>Q4</c:v>
                </c:pt>
                <c:pt idx="20">
                  <c:v>Q1
2024</c:v>
                </c:pt>
                <c:pt idx="21">
                  <c:v>Q2</c:v>
                </c:pt>
                <c:pt idx="22">
                  <c:v>Q3</c:v>
                </c:pt>
                <c:pt idx="23">
                  <c:v>Q4</c:v>
                </c:pt>
                <c:pt idx="24">
                  <c:v>Q1
2025</c:v>
                </c:pt>
              </c:strCache>
            </c:strRef>
          </c:cat>
          <c:val>
            <c:numRef>
              <c:f>作图!$F$16:$F$40</c:f>
              <c:numCache>
                <c:formatCode>0.00%</c:formatCode>
                <c:ptCount val="25"/>
                <c:pt idx="0">
                  <c:v>1.9E-2</c:v>
                </c:pt>
                <c:pt idx="1">
                  <c:v>2.5999999999999999E-2</c:v>
                </c:pt>
                <c:pt idx="2">
                  <c:v>3.6999999999999998E-2</c:v>
                </c:pt>
                <c:pt idx="3">
                  <c:v>-0.04</c:v>
                </c:pt>
                <c:pt idx="4">
                  <c:v>-3.5000000000000003E-2</c:v>
                </c:pt>
                <c:pt idx="5">
                  <c:v>-9.8000000000000004E-2</c:v>
                </c:pt>
                <c:pt idx="6">
                  <c:v>-8.3000000000000004E-2</c:v>
                </c:pt>
                <c:pt idx="7">
                  <c:v>7.0000000000000001E-3</c:v>
                </c:pt>
                <c:pt idx="8">
                  <c:v>-1.9E-2</c:v>
                </c:pt>
                <c:pt idx="9">
                  <c:v>7.0999999999999994E-2</c:v>
                </c:pt>
                <c:pt idx="10">
                  <c:v>-1.4999999999999999E-2</c:v>
                </c:pt>
                <c:pt idx="11">
                  <c:v>-6.0000000000000001E-3</c:v>
                </c:pt>
                <c:pt idx="12">
                  <c:v>1.9000000000000003E-2</c:v>
                </c:pt>
                <c:pt idx="13">
                  <c:v>4.3333333333333331E-3</c:v>
                </c:pt>
                <c:pt idx="14">
                  <c:v>3.5999999999999997E-2</c:v>
                </c:pt>
                <c:pt idx="15">
                  <c:v>-8.0000000000000002E-3</c:v>
                </c:pt>
                <c:pt idx="16">
                  <c:v>-1.9999999999999996E-3</c:v>
                </c:pt>
                <c:pt idx="17">
                  <c:v>-4.2000000000000003E-2</c:v>
                </c:pt>
                <c:pt idx="18">
                  <c:v>-3.4333333333333334E-2</c:v>
                </c:pt>
                <c:pt idx="19">
                  <c:v>-2.5000000000000001E-2</c:v>
                </c:pt>
                <c:pt idx="20">
                  <c:v>-2.7E-2</c:v>
                </c:pt>
                <c:pt idx="21">
                  <c:v>-8.9999999999999993E-3</c:v>
                </c:pt>
                <c:pt idx="22">
                  <c:v>-0.01</c:v>
                </c:pt>
                <c:pt idx="23">
                  <c:v>5.0000000000000001E-3</c:v>
                </c:pt>
                <c:pt idx="24">
                  <c:v>1.5E-3</c:v>
                </c:pt>
              </c:numCache>
            </c:numRef>
          </c:val>
          <c:smooth val="0"/>
          <c:extLst xmlns:c16r2="http://schemas.microsoft.com/office/drawing/2015/06/chart">
            <c:ext xmlns:c16="http://schemas.microsoft.com/office/drawing/2014/chart" uri="{C3380CC4-5D6E-409C-BE32-E72D297353CC}">
              <c16:uniqueId val="{00000001-0DD4-437C-9E38-C3C5C59184F3}"/>
            </c:ext>
          </c:extLst>
        </c:ser>
        <c:dLbls>
          <c:showLegendKey val="0"/>
          <c:showVal val="0"/>
          <c:showCatName val="0"/>
          <c:showSerName val="0"/>
          <c:showPercent val="0"/>
          <c:showBubbleSize val="0"/>
        </c:dLbls>
        <c:marker val="1"/>
        <c:smooth val="0"/>
        <c:axId val="370364416"/>
        <c:axId val="370365952"/>
      </c:lineChart>
      <c:lineChart>
        <c:grouping val="standard"/>
        <c:varyColors val="0"/>
        <c:ser>
          <c:idx val="1"/>
          <c:order val="1"/>
          <c:tx>
            <c:strRef>
              <c:f>作图!#REF!</c:f>
              <c:strCache>
                <c:ptCount val="1"/>
                <c:pt idx="0">
                  <c:v>#REF!</c:v>
                </c:pt>
              </c:strCache>
            </c:strRef>
          </c:tx>
          <c:spPr>
            <a:ln w="22225" cap="rnd">
              <a:solidFill>
                <a:srgbClr val="74A3BA"/>
              </a:solidFill>
              <a:prstDash val="sysDash"/>
              <a:round/>
            </a:ln>
            <a:effectLst/>
          </c:spPr>
          <c:marker>
            <c:symbol val="none"/>
          </c:marker>
          <c:dLbls>
            <c:dLbl>
              <c:idx val="9"/>
              <c:layout>
                <c:manualLayout>
                  <c:x val="0.27836557344671731"/>
                  <c:y val="4.2755024141657494E-2"/>
                </c:manualLayout>
              </c:layout>
              <c:tx>
                <c:rich>
                  <a:bodyPr/>
                  <a:lstStyle/>
                  <a:p>
                    <a:pPr>
                      <a:defRPr lang="ja-JP" sz="800">
                        <a:latin typeface="楷体" panose="02010609060101010101" pitchFamily="49" charset="-122"/>
                        <a:ea typeface="楷体" panose="02010609060101010101" pitchFamily="49" charset="-122"/>
                      </a:defRPr>
                    </a:pPr>
                    <a:r>
                      <a:rPr lang="zh-CN" altLang="en-US" sz="800">
                        <a:latin typeface="楷体" panose="02010609060101010101" pitchFamily="49" charset="-122"/>
                        <a:ea typeface="楷体" panose="02010609060101010101" pitchFamily="49" charset="-122"/>
                      </a:rPr>
                      <a:t>商品销售额</a:t>
                    </a:r>
                    <a:endParaRPr lang="en-US" altLang="en-US" sz="800">
                      <a:latin typeface="楷体" panose="02010609060101010101" pitchFamily="49" charset="-122"/>
                      <a:ea typeface="楷体" panose="02010609060101010101" pitchFamily="49" charset="-122"/>
                    </a:endParaRPr>
                  </a:p>
                </c:rich>
              </c:tx>
              <c:spPr/>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0DD4-437C-9E38-C3C5C59184F3}"/>
                </c:ext>
              </c:extLst>
            </c:dLbl>
            <c:spPr>
              <a:noFill/>
              <a:ln>
                <a:noFill/>
              </a:ln>
              <a:effectLst/>
            </c:spPr>
            <c:txPr>
              <a:bodyPr/>
              <a:lstStyle/>
              <a:p>
                <a:pPr>
                  <a:defRPr lang="ja-JP"/>
                </a:pPr>
                <a:endParaRPr lang="zh-CN"/>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作图!$C$16:$C$40</c:f>
              <c:strCache>
                <c:ptCount val="25"/>
                <c:pt idx="0">
                  <c:v>Q1
2019</c:v>
                </c:pt>
                <c:pt idx="1">
                  <c:v>Q2</c:v>
                </c:pt>
                <c:pt idx="2">
                  <c:v>Q3</c:v>
                </c:pt>
                <c:pt idx="3">
                  <c:v>Q4</c:v>
                </c:pt>
                <c:pt idx="4">
                  <c:v>Q1
2020</c:v>
                </c:pt>
                <c:pt idx="5">
                  <c:v>Q2</c:v>
                </c:pt>
                <c:pt idx="6">
                  <c:v>Q3</c:v>
                </c:pt>
                <c:pt idx="7">
                  <c:v>Q4</c:v>
                </c:pt>
                <c:pt idx="8">
                  <c:v>Q1
2021</c:v>
                </c:pt>
                <c:pt idx="9">
                  <c:v>Q2</c:v>
                </c:pt>
                <c:pt idx="10">
                  <c:v>Q3 </c:v>
                </c:pt>
                <c:pt idx="11">
                  <c:v>Q4</c:v>
                </c:pt>
                <c:pt idx="12">
                  <c:v>Q1
2022</c:v>
                </c:pt>
                <c:pt idx="13">
                  <c:v>Q2</c:v>
                </c:pt>
                <c:pt idx="14">
                  <c:v>Q3</c:v>
                </c:pt>
                <c:pt idx="15">
                  <c:v>Q4</c:v>
                </c:pt>
                <c:pt idx="16">
                  <c:v>Q1
2023</c:v>
                </c:pt>
                <c:pt idx="17">
                  <c:v>Q2</c:v>
                </c:pt>
                <c:pt idx="18">
                  <c:v>Q3</c:v>
                </c:pt>
                <c:pt idx="19">
                  <c:v>Q4</c:v>
                </c:pt>
                <c:pt idx="20">
                  <c:v>Q1
2024</c:v>
                </c:pt>
                <c:pt idx="21">
                  <c:v>Q2</c:v>
                </c:pt>
                <c:pt idx="22">
                  <c:v>Q3</c:v>
                </c:pt>
                <c:pt idx="23">
                  <c:v>Q4</c:v>
                </c:pt>
                <c:pt idx="24">
                  <c:v>Q1
2025</c:v>
                </c:pt>
              </c:strCache>
            </c:strRef>
          </c:cat>
          <c:val>
            <c:numRef>
              <c:f>作图!#REF!</c:f>
              <c:numCache>
                <c:formatCode>General</c:formatCode>
                <c:ptCount val="1"/>
                <c:pt idx="0">
                  <c:v>1</c:v>
                </c:pt>
              </c:numCache>
            </c:numRef>
          </c:val>
          <c:smooth val="0"/>
          <c:extLst xmlns:c16r2="http://schemas.microsoft.com/office/drawing/2015/06/chart">
            <c:ext xmlns:c16="http://schemas.microsoft.com/office/drawing/2014/chart" uri="{C3380CC4-5D6E-409C-BE32-E72D297353CC}">
              <c16:uniqueId val="{00000003-0DD4-437C-9E38-C3C5C59184F3}"/>
            </c:ext>
          </c:extLst>
        </c:ser>
        <c:ser>
          <c:idx val="2"/>
          <c:order val="2"/>
          <c:tx>
            <c:strRef>
              <c:f>作图!$G$3</c:f>
              <c:strCache>
                <c:ptCount val="1"/>
                <c:pt idx="0">
                  <c:v>机械订单</c:v>
                </c:pt>
              </c:strCache>
            </c:strRef>
          </c:tx>
          <c:spPr>
            <a:ln w="25400">
              <a:solidFill>
                <a:srgbClr val="106D9C"/>
              </a:solidFill>
              <a:prstDash val="dash"/>
            </a:ln>
          </c:spPr>
          <c:marker>
            <c:symbol val="none"/>
          </c:marker>
          <c:dLbls>
            <c:dLbl>
              <c:idx val="6"/>
              <c:layout>
                <c:manualLayout>
                  <c:x val="0.2566760380841806"/>
                  <c:y val="-0.30417149498222784"/>
                </c:manualLayout>
              </c:layout>
              <c:tx>
                <c:rich>
                  <a:bodyPr/>
                  <a:lstStyle/>
                  <a:p>
                    <a:pPr>
                      <a:defRPr lang="ja-JP" sz="800" baseline="0">
                        <a:latin typeface="Times New Roman" panose="02020603050405020304" pitchFamily="18" charset="0"/>
                        <a:ea typeface="楷体" panose="02010609060101010101" pitchFamily="49" charset="-122"/>
                      </a:defRPr>
                    </a:pPr>
                    <a:r>
                      <a:rPr lang="zh-CN" altLang="en-US" sz="800" baseline="0">
                        <a:latin typeface="Times New Roman" panose="02020603050405020304" pitchFamily="18" charset="0"/>
                        <a:ea typeface="楷体" panose="02010609060101010101" pitchFamily="49" charset="-122"/>
                      </a:rPr>
                      <a:t>机械订单</a:t>
                    </a:r>
                  </a:p>
                </c:rich>
              </c:tx>
              <c:spPr/>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0DD4-437C-9E38-C3C5C59184F3}"/>
                </c:ext>
              </c:extLst>
            </c:dLbl>
            <c:spPr>
              <a:noFill/>
              <a:ln>
                <a:noFill/>
              </a:ln>
              <a:effectLst/>
            </c:spPr>
            <c:txPr>
              <a:bodyPr/>
              <a:lstStyle/>
              <a:p>
                <a:pPr>
                  <a:defRPr lang="ja-JP"/>
                </a:pPr>
                <a:endParaRPr lang="zh-CN"/>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作图!$C$16:$C$40</c:f>
              <c:strCache>
                <c:ptCount val="25"/>
                <c:pt idx="0">
                  <c:v>Q1
2019</c:v>
                </c:pt>
                <c:pt idx="1">
                  <c:v>Q2</c:v>
                </c:pt>
                <c:pt idx="2">
                  <c:v>Q3</c:v>
                </c:pt>
                <c:pt idx="3">
                  <c:v>Q4</c:v>
                </c:pt>
                <c:pt idx="4">
                  <c:v>Q1
2020</c:v>
                </c:pt>
                <c:pt idx="5">
                  <c:v>Q2</c:v>
                </c:pt>
                <c:pt idx="6">
                  <c:v>Q3</c:v>
                </c:pt>
                <c:pt idx="7">
                  <c:v>Q4</c:v>
                </c:pt>
                <c:pt idx="8">
                  <c:v>Q1
2021</c:v>
                </c:pt>
                <c:pt idx="9">
                  <c:v>Q2</c:v>
                </c:pt>
                <c:pt idx="10">
                  <c:v>Q3 </c:v>
                </c:pt>
                <c:pt idx="11">
                  <c:v>Q4</c:v>
                </c:pt>
                <c:pt idx="12">
                  <c:v>Q1
2022</c:v>
                </c:pt>
                <c:pt idx="13">
                  <c:v>Q2</c:v>
                </c:pt>
                <c:pt idx="14">
                  <c:v>Q3</c:v>
                </c:pt>
                <c:pt idx="15">
                  <c:v>Q4</c:v>
                </c:pt>
                <c:pt idx="16">
                  <c:v>Q1
2023</c:v>
                </c:pt>
                <c:pt idx="17">
                  <c:v>Q2</c:v>
                </c:pt>
                <c:pt idx="18">
                  <c:v>Q3</c:v>
                </c:pt>
                <c:pt idx="19">
                  <c:v>Q4</c:v>
                </c:pt>
                <c:pt idx="20">
                  <c:v>Q1
2024</c:v>
                </c:pt>
                <c:pt idx="21">
                  <c:v>Q2</c:v>
                </c:pt>
                <c:pt idx="22">
                  <c:v>Q3</c:v>
                </c:pt>
                <c:pt idx="23">
                  <c:v>Q4</c:v>
                </c:pt>
                <c:pt idx="24">
                  <c:v>Q1
2025</c:v>
                </c:pt>
              </c:strCache>
            </c:strRef>
          </c:cat>
          <c:val>
            <c:numRef>
              <c:f>作图!$G$16:$G$40</c:f>
              <c:numCache>
                <c:formatCode>0.000_ </c:formatCode>
                <c:ptCount val="25"/>
                <c:pt idx="0">
                  <c:v>-3.6818083051665895E-2</c:v>
                </c:pt>
                <c:pt idx="1">
                  <c:v>-5.4723896757904011E-2</c:v>
                </c:pt>
                <c:pt idx="2">
                  <c:v>-5.1430316685636579E-2</c:v>
                </c:pt>
                <c:pt idx="3">
                  <c:v>-0.11879926158978293</c:v>
                </c:pt>
                <c:pt idx="4">
                  <c:v>-7.4462974616239519E-3</c:v>
                </c:pt>
                <c:pt idx="5">
                  <c:v>-0.17691175632880685</c:v>
                </c:pt>
                <c:pt idx="6">
                  <c:v>-0.11600000000000001</c:v>
                </c:pt>
                <c:pt idx="7">
                  <c:v>6.4000000000000001E-2</c:v>
                </c:pt>
                <c:pt idx="8">
                  <c:v>7.9000000000000001E-2</c:v>
                </c:pt>
                <c:pt idx="9">
                  <c:v>0.34</c:v>
                </c:pt>
                <c:pt idx="10">
                  <c:v>0.26</c:v>
                </c:pt>
                <c:pt idx="11">
                  <c:v>0.23599999999999999</c:v>
                </c:pt>
                <c:pt idx="12">
                  <c:v>4.5999999999999999E-2</c:v>
                </c:pt>
                <c:pt idx="13">
                  <c:v>0.20599999999999999</c:v>
                </c:pt>
                <c:pt idx="14">
                  <c:v>0.05</c:v>
                </c:pt>
                <c:pt idx="15">
                  <c:v>-4.9000000000000002E-2</c:v>
                </c:pt>
                <c:pt idx="16">
                  <c:v>-4.4999999999999998E-2</c:v>
                </c:pt>
                <c:pt idx="17">
                  <c:v>-0.11799999999999999</c:v>
                </c:pt>
                <c:pt idx="18">
                  <c:v>1E-3</c:v>
                </c:pt>
                <c:pt idx="19">
                  <c:v>2.1000000000000001E-2</c:v>
                </c:pt>
                <c:pt idx="20">
                  <c:v>0.14299999999999999</c:v>
                </c:pt>
                <c:pt idx="21">
                  <c:v>0.17399999999999999</c:v>
                </c:pt>
                <c:pt idx="22">
                  <c:v>8.8999999999999996E-2</c:v>
                </c:pt>
                <c:pt idx="23">
                  <c:v>0.30499999999999999</c:v>
                </c:pt>
                <c:pt idx="24">
                  <c:v>9.8000000000000004E-2</c:v>
                </c:pt>
              </c:numCache>
            </c:numRef>
          </c:val>
          <c:smooth val="0"/>
          <c:extLst xmlns:c16r2="http://schemas.microsoft.com/office/drawing/2015/06/chart">
            <c:ext xmlns:c16="http://schemas.microsoft.com/office/drawing/2014/chart" uri="{C3380CC4-5D6E-409C-BE32-E72D297353CC}">
              <c16:uniqueId val="{00000005-0DD4-437C-9E38-C3C5C59184F3}"/>
            </c:ext>
          </c:extLst>
        </c:ser>
        <c:dLbls>
          <c:showLegendKey val="0"/>
          <c:showVal val="0"/>
          <c:showCatName val="0"/>
          <c:showSerName val="0"/>
          <c:showPercent val="0"/>
          <c:showBubbleSize val="0"/>
        </c:dLbls>
        <c:marker val="1"/>
        <c:smooth val="0"/>
        <c:axId val="370377472"/>
        <c:axId val="370367488"/>
      </c:lineChart>
      <c:catAx>
        <c:axId val="370364416"/>
        <c:scaling>
          <c:orientation val="minMax"/>
        </c:scaling>
        <c:delete val="0"/>
        <c:axPos val="b"/>
        <c:numFmt formatCode="General" sourceLinked="1"/>
        <c:majorTickMark val="out"/>
        <c:minorTickMark val="out"/>
        <c:tickLblPos val="low"/>
        <c:spPr>
          <a:noFill/>
          <a:ln w="15875" cap="flat" cmpd="sng" algn="ctr">
            <a:solidFill>
              <a:sysClr val="windowText" lastClr="000000"/>
            </a:solidFill>
            <a:round/>
          </a:ln>
          <a:effectLst/>
        </c:spPr>
        <c:txPr>
          <a:bodyPr rot="0" spcFirstLastPara="1" vertOverflow="ellipsis"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zh-CN"/>
          </a:p>
        </c:txPr>
        <c:crossAx val="370365952"/>
        <c:crosses val="autoZero"/>
        <c:auto val="1"/>
        <c:lblAlgn val="ctr"/>
        <c:lblOffset val="100"/>
        <c:tickLblSkip val="1"/>
        <c:tickMarkSkip val="1"/>
        <c:noMultiLvlLbl val="0"/>
      </c:catAx>
      <c:valAx>
        <c:axId val="370365952"/>
        <c:scaling>
          <c:orientation val="minMax"/>
          <c:max val="0.60000000000000064"/>
        </c:scaling>
        <c:delete val="0"/>
        <c:axPos val="l"/>
        <c:numFmt formatCode="0%" sourceLinked="0"/>
        <c:majorTickMark val="out"/>
        <c:minorTickMark val="none"/>
        <c:tickLblPos val="nextTo"/>
        <c:spPr>
          <a:noFill/>
          <a:ln w="15875">
            <a:solidFill>
              <a:sysClr val="windowText" lastClr="000000"/>
            </a:solidFill>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zh-CN"/>
          </a:p>
        </c:txPr>
        <c:crossAx val="370364416"/>
        <c:crosses val="autoZero"/>
        <c:crossBetween val="between"/>
      </c:valAx>
      <c:valAx>
        <c:axId val="370367488"/>
        <c:scaling>
          <c:orientation val="minMax"/>
        </c:scaling>
        <c:delete val="1"/>
        <c:axPos val="r"/>
        <c:numFmt formatCode="General" sourceLinked="1"/>
        <c:majorTickMark val="out"/>
        <c:minorTickMark val="none"/>
        <c:tickLblPos val="none"/>
        <c:crossAx val="370377472"/>
        <c:crosses val="max"/>
        <c:crossBetween val="between"/>
      </c:valAx>
      <c:catAx>
        <c:axId val="370377472"/>
        <c:scaling>
          <c:orientation val="minMax"/>
        </c:scaling>
        <c:delete val="1"/>
        <c:axPos val="b"/>
        <c:numFmt formatCode="General" sourceLinked="1"/>
        <c:majorTickMark val="out"/>
        <c:minorTickMark val="none"/>
        <c:tickLblPos val="none"/>
        <c:crossAx val="370367488"/>
        <c:crosses val="autoZero"/>
        <c:auto val="1"/>
        <c:lblAlgn val="ctr"/>
        <c:lblOffset val="100"/>
        <c:noMultiLvlLbl val="0"/>
      </c:catAx>
      <c:spPr>
        <a:noFill/>
        <a:ln w="25400">
          <a:noFill/>
        </a:ln>
      </c:spPr>
    </c:plotArea>
    <c:plotVisOnly val="1"/>
    <c:dispBlanksAs val="gap"/>
    <c:showDLblsOverMax val="0"/>
  </c:chart>
  <c:spPr>
    <a:solidFill>
      <a:srgbClr val="FFFFFF"/>
    </a:solidFill>
    <a:ln w="3175">
      <a:solidFill>
        <a:srgbClr val="FFFFFF"/>
      </a:solidFill>
      <a:prstDash val="solid"/>
    </a:ln>
  </c:spPr>
  <c:txPr>
    <a:bodyPr/>
    <a:lstStyle/>
    <a:p>
      <a:pPr>
        <a:defRPr/>
      </a:pPr>
      <a:endParaRPr lang="zh-CN"/>
    </a:p>
  </c:txPr>
  <c:externalData r:id="rId2">
    <c:autoUpdate val="0"/>
  </c:externalData>
  <c:userShapes r:id="rId3"/>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42422333333333301"/>
          <c:y val="0"/>
        </c:manualLayout>
      </c:layout>
      <c:overlay val="0"/>
      <c:txPr>
        <a:bodyPr rot="0" spcFirstLastPara="0" vertOverflow="ellipsis" vert="horz" wrap="square" anchor="ctr" anchorCtr="1"/>
        <a:lstStyle/>
        <a:p>
          <a:pPr>
            <a:defRPr lang="zh-CN" sz="720" b="0" i="0" u="none" strike="noStrike" kern="1200" baseline="0">
              <a:solidFill>
                <a:schemeClr val="tx1"/>
              </a:solidFill>
              <a:latin typeface="Cambria Math" panose="02040503050406030204" pitchFamily="18" charset="0"/>
              <a:ea typeface="楷体" panose="02010609060101010101" pitchFamily="3" charset="-122"/>
              <a:cs typeface="+mn-cs"/>
            </a:defRPr>
          </a:pPr>
          <a:endParaRPr lang="zh-CN"/>
        </a:p>
      </c:txPr>
    </c:title>
    <c:autoTitleDeleted val="0"/>
    <c:plotArea>
      <c:layout>
        <c:manualLayout>
          <c:layoutTarget val="inner"/>
          <c:xMode val="edge"/>
          <c:yMode val="edge"/>
          <c:x val="7.0071759259259306E-2"/>
          <c:y val="3.015E-2"/>
          <c:w val="0.85470000522794098"/>
          <c:h val="0.763748137704231"/>
        </c:manualLayout>
      </c:layout>
      <c:lineChart>
        <c:grouping val="standard"/>
        <c:varyColors val="0"/>
        <c:ser>
          <c:idx val="0"/>
          <c:order val="0"/>
          <c:tx>
            <c:strRef>
              <c:f>OPEC产量!$G$8</c:f>
              <c:strCache>
                <c:ptCount val="1"/>
                <c:pt idx="0">
                  <c:v>产量:原油:欧佩克</c:v>
                </c:pt>
              </c:strCache>
            </c:strRef>
          </c:tx>
          <c:spPr>
            <a:ln w="28575" cap="rnd" cmpd="sng" algn="ctr">
              <a:solidFill>
                <a:srgbClr val="106D9C"/>
              </a:solidFill>
              <a:prstDash val="solid"/>
              <a:round/>
            </a:ln>
            <a:effectLst/>
          </c:spPr>
          <c:marker>
            <c:symbol val="none"/>
          </c:marker>
          <c:cat>
            <c:strRef>
              <c:f>OPEC产量!$F$45:$F$203</c:f>
              <c:strCache>
                <c:ptCount val="159"/>
                <c:pt idx="0">
                  <c:v>1月
2012</c:v>
                </c:pt>
                <c:pt idx="1">
                  <c:v>2月</c:v>
                </c:pt>
                <c:pt idx="2">
                  <c:v>3月</c:v>
                </c:pt>
                <c:pt idx="3">
                  <c:v>4月</c:v>
                </c:pt>
                <c:pt idx="4">
                  <c:v>5月</c:v>
                </c:pt>
                <c:pt idx="5">
                  <c:v>6月</c:v>
                </c:pt>
                <c:pt idx="6">
                  <c:v>7月</c:v>
                </c:pt>
                <c:pt idx="7">
                  <c:v>8月</c:v>
                </c:pt>
                <c:pt idx="8">
                  <c:v>9月</c:v>
                </c:pt>
                <c:pt idx="9">
                  <c:v>10月</c:v>
                </c:pt>
                <c:pt idx="10">
                  <c:v>11月</c:v>
                </c:pt>
                <c:pt idx="11">
                  <c:v>12月</c:v>
                </c:pt>
                <c:pt idx="12">
                  <c:v>1月
2013</c:v>
                </c:pt>
                <c:pt idx="13">
                  <c:v>2月</c:v>
                </c:pt>
                <c:pt idx="14">
                  <c:v>3月</c:v>
                </c:pt>
                <c:pt idx="15">
                  <c:v>4月</c:v>
                </c:pt>
                <c:pt idx="16">
                  <c:v>5月</c:v>
                </c:pt>
                <c:pt idx="17">
                  <c:v>6月</c:v>
                </c:pt>
                <c:pt idx="18">
                  <c:v>7月</c:v>
                </c:pt>
                <c:pt idx="19">
                  <c:v>8月</c:v>
                </c:pt>
                <c:pt idx="20">
                  <c:v>9月</c:v>
                </c:pt>
                <c:pt idx="21">
                  <c:v>10月</c:v>
                </c:pt>
                <c:pt idx="22">
                  <c:v>11月</c:v>
                </c:pt>
                <c:pt idx="23">
                  <c:v>12月</c:v>
                </c:pt>
                <c:pt idx="24">
                  <c:v>1月
2014</c:v>
                </c:pt>
                <c:pt idx="25">
                  <c:v>2月</c:v>
                </c:pt>
                <c:pt idx="26">
                  <c:v>3月</c:v>
                </c:pt>
                <c:pt idx="27">
                  <c:v>4月</c:v>
                </c:pt>
                <c:pt idx="28">
                  <c:v>5月</c:v>
                </c:pt>
                <c:pt idx="29">
                  <c:v>6月</c:v>
                </c:pt>
                <c:pt idx="30">
                  <c:v>7月</c:v>
                </c:pt>
                <c:pt idx="31">
                  <c:v>8月</c:v>
                </c:pt>
                <c:pt idx="32">
                  <c:v>9月</c:v>
                </c:pt>
                <c:pt idx="33">
                  <c:v>10月</c:v>
                </c:pt>
                <c:pt idx="34">
                  <c:v>11月</c:v>
                </c:pt>
                <c:pt idx="35">
                  <c:v>12月</c:v>
                </c:pt>
                <c:pt idx="36">
                  <c:v>1月
2015</c:v>
                </c:pt>
                <c:pt idx="37">
                  <c:v>2月</c:v>
                </c:pt>
                <c:pt idx="38">
                  <c:v>3月</c:v>
                </c:pt>
                <c:pt idx="39">
                  <c:v>4月</c:v>
                </c:pt>
                <c:pt idx="40">
                  <c:v>5月</c:v>
                </c:pt>
                <c:pt idx="41">
                  <c:v>6月</c:v>
                </c:pt>
                <c:pt idx="42">
                  <c:v>7月</c:v>
                </c:pt>
                <c:pt idx="43">
                  <c:v>8月</c:v>
                </c:pt>
                <c:pt idx="44">
                  <c:v>9月</c:v>
                </c:pt>
                <c:pt idx="45">
                  <c:v>10月</c:v>
                </c:pt>
                <c:pt idx="46">
                  <c:v>11月</c:v>
                </c:pt>
                <c:pt idx="47">
                  <c:v>12月</c:v>
                </c:pt>
                <c:pt idx="48">
                  <c:v>1月
2016</c:v>
                </c:pt>
                <c:pt idx="49">
                  <c:v>2月</c:v>
                </c:pt>
                <c:pt idx="50">
                  <c:v>3月</c:v>
                </c:pt>
                <c:pt idx="51">
                  <c:v>4月</c:v>
                </c:pt>
                <c:pt idx="52">
                  <c:v>5月</c:v>
                </c:pt>
                <c:pt idx="53">
                  <c:v>6月</c:v>
                </c:pt>
                <c:pt idx="54">
                  <c:v>7月</c:v>
                </c:pt>
                <c:pt idx="55">
                  <c:v>8月</c:v>
                </c:pt>
                <c:pt idx="56">
                  <c:v>9月</c:v>
                </c:pt>
                <c:pt idx="57">
                  <c:v>10月</c:v>
                </c:pt>
                <c:pt idx="58">
                  <c:v>11月</c:v>
                </c:pt>
                <c:pt idx="59">
                  <c:v>12月</c:v>
                </c:pt>
                <c:pt idx="60">
                  <c:v>1月
2017</c:v>
                </c:pt>
                <c:pt idx="61">
                  <c:v>2月</c:v>
                </c:pt>
                <c:pt idx="62">
                  <c:v>3月</c:v>
                </c:pt>
                <c:pt idx="63">
                  <c:v>4月</c:v>
                </c:pt>
                <c:pt idx="64">
                  <c:v>5月</c:v>
                </c:pt>
                <c:pt idx="65">
                  <c:v>6月</c:v>
                </c:pt>
                <c:pt idx="66">
                  <c:v>7月</c:v>
                </c:pt>
                <c:pt idx="67">
                  <c:v>8月</c:v>
                </c:pt>
                <c:pt idx="68">
                  <c:v>9月</c:v>
                </c:pt>
                <c:pt idx="69">
                  <c:v>10月</c:v>
                </c:pt>
                <c:pt idx="70">
                  <c:v>11月</c:v>
                </c:pt>
                <c:pt idx="71">
                  <c:v>12月</c:v>
                </c:pt>
                <c:pt idx="72">
                  <c:v>1月
2018</c:v>
                </c:pt>
                <c:pt idx="73">
                  <c:v>2月</c:v>
                </c:pt>
                <c:pt idx="74">
                  <c:v>3月</c:v>
                </c:pt>
                <c:pt idx="75">
                  <c:v>4月</c:v>
                </c:pt>
                <c:pt idx="76">
                  <c:v>5月</c:v>
                </c:pt>
                <c:pt idx="77">
                  <c:v>6月</c:v>
                </c:pt>
                <c:pt idx="78">
                  <c:v>7月</c:v>
                </c:pt>
                <c:pt idx="79">
                  <c:v>8月</c:v>
                </c:pt>
                <c:pt idx="80">
                  <c:v>9月</c:v>
                </c:pt>
                <c:pt idx="81">
                  <c:v>10月</c:v>
                </c:pt>
                <c:pt idx="82">
                  <c:v>11月</c:v>
                </c:pt>
                <c:pt idx="83">
                  <c:v>12月</c:v>
                </c:pt>
                <c:pt idx="84">
                  <c:v>1月
2019</c:v>
                </c:pt>
                <c:pt idx="85">
                  <c:v>2月</c:v>
                </c:pt>
                <c:pt idx="86">
                  <c:v>3月</c:v>
                </c:pt>
                <c:pt idx="87">
                  <c:v>4月</c:v>
                </c:pt>
                <c:pt idx="88">
                  <c:v>5月</c:v>
                </c:pt>
                <c:pt idx="89">
                  <c:v>6月</c:v>
                </c:pt>
                <c:pt idx="90">
                  <c:v>7月</c:v>
                </c:pt>
                <c:pt idx="91">
                  <c:v>8月</c:v>
                </c:pt>
                <c:pt idx="92">
                  <c:v>9月</c:v>
                </c:pt>
                <c:pt idx="93">
                  <c:v>10月</c:v>
                </c:pt>
                <c:pt idx="94">
                  <c:v>11月</c:v>
                </c:pt>
                <c:pt idx="95">
                  <c:v>12月</c:v>
                </c:pt>
                <c:pt idx="96">
                  <c:v>1月
2020</c:v>
                </c:pt>
                <c:pt idx="97">
                  <c:v>2月</c:v>
                </c:pt>
                <c:pt idx="98">
                  <c:v>3月</c:v>
                </c:pt>
                <c:pt idx="99">
                  <c:v>4月</c:v>
                </c:pt>
                <c:pt idx="100">
                  <c:v>5月</c:v>
                </c:pt>
                <c:pt idx="101">
                  <c:v>6月</c:v>
                </c:pt>
                <c:pt idx="102">
                  <c:v>7月</c:v>
                </c:pt>
                <c:pt idx="103">
                  <c:v>8月</c:v>
                </c:pt>
                <c:pt idx="104">
                  <c:v>9月</c:v>
                </c:pt>
                <c:pt idx="105">
                  <c:v>10月</c:v>
                </c:pt>
                <c:pt idx="106">
                  <c:v>11月</c:v>
                </c:pt>
                <c:pt idx="107">
                  <c:v>12月</c:v>
                </c:pt>
                <c:pt idx="108">
                  <c:v>1月
2021</c:v>
                </c:pt>
                <c:pt idx="109">
                  <c:v>2月
2021</c:v>
                </c:pt>
                <c:pt idx="110">
                  <c:v>3月
2021</c:v>
                </c:pt>
                <c:pt idx="111">
                  <c:v>4月
2021</c:v>
                </c:pt>
                <c:pt idx="112">
                  <c:v>5月
2021</c:v>
                </c:pt>
                <c:pt idx="113">
                  <c:v>6月
2021</c:v>
                </c:pt>
                <c:pt idx="114">
                  <c:v>7月
2021</c:v>
                </c:pt>
                <c:pt idx="115">
                  <c:v>8月
2021</c:v>
                </c:pt>
                <c:pt idx="116">
                  <c:v>9月
2021</c:v>
                </c:pt>
                <c:pt idx="117">
                  <c:v>10月
20261</c:v>
                </c:pt>
                <c:pt idx="118">
                  <c:v>11月
2021</c:v>
                </c:pt>
                <c:pt idx="119">
                  <c:v>12月
2021</c:v>
                </c:pt>
                <c:pt idx="120">
                  <c:v>1月
2022</c:v>
                </c:pt>
                <c:pt idx="121">
                  <c:v>2月
2022</c:v>
                </c:pt>
                <c:pt idx="122">
                  <c:v>3月
2022</c:v>
                </c:pt>
                <c:pt idx="123">
                  <c:v>4月
2022</c:v>
                </c:pt>
                <c:pt idx="124">
                  <c:v>5月
2022</c:v>
                </c:pt>
                <c:pt idx="125">
                  <c:v>6月
2022</c:v>
                </c:pt>
                <c:pt idx="126">
                  <c:v>7月
2022</c:v>
                </c:pt>
                <c:pt idx="127">
                  <c:v>8月
2022</c:v>
                </c:pt>
                <c:pt idx="128">
                  <c:v>9月
2022</c:v>
                </c:pt>
                <c:pt idx="129">
                  <c:v>10月
2022</c:v>
                </c:pt>
                <c:pt idx="130">
                  <c:v>11月
2022</c:v>
                </c:pt>
                <c:pt idx="131">
                  <c:v>12月
2022</c:v>
                </c:pt>
                <c:pt idx="132">
                  <c:v>1月
2023</c:v>
                </c:pt>
                <c:pt idx="133">
                  <c:v>2月
2023</c:v>
                </c:pt>
                <c:pt idx="134">
                  <c:v>3月
2023</c:v>
                </c:pt>
                <c:pt idx="135">
                  <c:v>4月
2023</c:v>
                </c:pt>
                <c:pt idx="136">
                  <c:v>5月
2023</c:v>
                </c:pt>
                <c:pt idx="137">
                  <c:v>6月
2023</c:v>
                </c:pt>
                <c:pt idx="138">
                  <c:v>7月
2023</c:v>
                </c:pt>
                <c:pt idx="139">
                  <c:v>8月
2023</c:v>
                </c:pt>
                <c:pt idx="140">
                  <c:v>9月
2023</c:v>
                </c:pt>
                <c:pt idx="141">
                  <c:v>10月
2023</c:v>
                </c:pt>
                <c:pt idx="142">
                  <c:v>11月
2023</c:v>
                </c:pt>
                <c:pt idx="143">
                  <c:v>12月
2023</c:v>
                </c:pt>
                <c:pt idx="144">
                  <c:v>1月
2024</c:v>
                </c:pt>
                <c:pt idx="145">
                  <c:v>2月
2024</c:v>
                </c:pt>
                <c:pt idx="146">
                  <c:v>3月
2024</c:v>
                </c:pt>
                <c:pt idx="147">
                  <c:v>4月
2024</c:v>
                </c:pt>
                <c:pt idx="148">
                  <c:v>5月
2024</c:v>
                </c:pt>
                <c:pt idx="149">
                  <c:v>6月
2024</c:v>
                </c:pt>
                <c:pt idx="150">
                  <c:v>7月
2025</c:v>
                </c:pt>
                <c:pt idx="151">
                  <c:v>8月
2024</c:v>
                </c:pt>
                <c:pt idx="152">
                  <c:v>9月
2024</c:v>
                </c:pt>
                <c:pt idx="153">
                  <c:v>10月
2024</c:v>
                </c:pt>
                <c:pt idx="154">
                  <c:v>11月
2024</c:v>
                </c:pt>
                <c:pt idx="155">
                  <c:v>12月
2024</c:v>
                </c:pt>
                <c:pt idx="156">
                  <c:v>1月
2025</c:v>
                </c:pt>
                <c:pt idx="157">
                  <c:v>2月
2025</c:v>
                </c:pt>
                <c:pt idx="158">
                  <c:v>3月
2025</c:v>
                </c:pt>
              </c:strCache>
            </c:strRef>
          </c:cat>
          <c:val>
            <c:numRef>
              <c:f>OPEC产量!$G$45:$G$203</c:f>
              <c:numCache>
                <c:formatCode>###,###,###,###,##0.00</c:formatCode>
                <c:ptCount val="159"/>
                <c:pt idx="0">
                  <c:v>30855</c:v>
                </c:pt>
                <c:pt idx="1">
                  <c:v>31161</c:v>
                </c:pt>
                <c:pt idx="2">
                  <c:v>31329</c:v>
                </c:pt>
                <c:pt idx="3">
                  <c:v>31619</c:v>
                </c:pt>
                <c:pt idx="4">
                  <c:v>31415</c:v>
                </c:pt>
                <c:pt idx="5">
                  <c:v>31305</c:v>
                </c:pt>
                <c:pt idx="6">
                  <c:v>31165</c:v>
                </c:pt>
                <c:pt idx="7">
                  <c:v>31454</c:v>
                </c:pt>
                <c:pt idx="8">
                  <c:v>30992</c:v>
                </c:pt>
                <c:pt idx="9">
                  <c:v>30955</c:v>
                </c:pt>
                <c:pt idx="10">
                  <c:v>30728</c:v>
                </c:pt>
                <c:pt idx="11">
                  <c:v>30289</c:v>
                </c:pt>
                <c:pt idx="12">
                  <c:v>30234</c:v>
                </c:pt>
                <c:pt idx="13">
                  <c:v>30264</c:v>
                </c:pt>
                <c:pt idx="14">
                  <c:v>30202</c:v>
                </c:pt>
                <c:pt idx="15">
                  <c:v>30538</c:v>
                </c:pt>
                <c:pt idx="16">
                  <c:v>30729</c:v>
                </c:pt>
                <c:pt idx="17">
                  <c:v>30400</c:v>
                </c:pt>
                <c:pt idx="18">
                  <c:v>30598</c:v>
                </c:pt>
                <c:pt idx="19">
                  <c:v>30436</c:v>
                </c:pt>
                <c:pt idx="20">
                  <c:v>29939</c:v>
                </c:pt>
                <c:pt idx="21">
                  <c:v>29848</c:v>
                </c:pt>
                <c:pt idx="22">
                  <c:v>29412</c:v>
                </c:pt>
                <c:pt idx="23">
                  <c:v>29708</c:v>
                </c:pt>
                <c:pt idx="24">
                  <c:v>29855</c:v>
                </c:pt>
                <c:pt idx="25">
                  <c:v>30210</c:v>
                </c:pt>
                <c:pt idx="26">
                  <c:v>29439</c:v>
                </c:pt>
                <c:pt idx="27">
                  <c:v>29624</c:v>
                </c:pt>
                <c:pt idx="28">
                  <c:v>29798</c:v>
                </c:pt>
                <c:pt idx="29">
                  <c:v>29786</c:v>
                </c:pt>
                <c:pt idx="30">
                  <c:v>30054</c:v>
                </c:pt>
                <c:pt idx="31">
                  <c:v>30109</c:v>
                </c:pt>
                <c:pt idx="32">
                  <c:v>30560</c:v>
                </c:pt>
                <c:pt idx="33">
                  <c:v>30423</c:v>
                </c:pt>
                <c:pt idx="34">
                  <c:v>30097</c:v>
                </c:pt>
                <c:pt idx="35">
                  <c:v>30252</c:v>
                </c:pt>
                <c:pt idx="36">
                  <c:v>30158</c:v>
                </c:pt>
                <c:pt idx="37">
                  <c:v>29973</c:v>
                </c:pt>
                <c:pt idx="38">
                  <c:v>30847</c:v>
                </c:pt>
                <c:pt idx="39">
                  <c:v>30941</c:v>
                </c:pt>
                <c:pt idx="40">
                  <c:v>31095</c:v>
                </c:pt>
                <c:pt idx="41">
                  <c:v>31559</c:v>
                </c:pt>
                <c:pt idx="42">
                  <c:v>31540</c:v>
                </c:pt>
                <c:pt idx="43">
                  <c:v>31491</c:v>
                </c:pt>
                <c:pt idx="44">
                  <c:v>31627</c:v>
                </c:pt>
                <c:pt idx="45">
                  <c:v>32070</c:v>
                </c:pt>
                <c:pt idx="46">
                  <c:v>32426</c:v>
                </c:pt>
                <c:pt idx="47">
                  <c:v>32208</c:v>
                </c:pt>
                <c:pt idx="48">
                  <c:v>32439</c:v>
                </c:pt>
                <c:pt idx="49">
                  <c:v>32241</c:v>
                </c:pt>
                <c:pt idx="50">
                  <c:v>32275</c:v>
                </c:pt>
                <c:pt idx="51">
                  <c:v>32620</c:v>
                </c:pt>
                <c:pt idx="52">
                  <c:v>32617</c:v>
                </c:pt>
                <c:pt idx="53">
                  <c:v>33059</c:v>
                </c:pt>
                <c:pt idx="54">
                  <c:v>33175</c:v>
                </c:pt>
                <c:pt idx="55">
                  <c:v>33227</c:v>
                </c:pt>
                <c:pt idx="56">
                  <c:v>33447</c:v>
                </c:pt>
                <c:pt idx="57">
                  <c:v>32955</c:v>
                </c:pt>
                <c:pt idx="58">
                  <c:v>33374</c:v>
                </c:pt>
                <c:pt idx="59">
                  <c:v>33029</c:v>
                </c:pt>
                <c:pt idx="60">
                  <c:v>32026</c:v>
                </c:pt>
                <c:pt idx="61">
                  <c:v>32086</c:v>
                </c:pt>
                <c:pt idx="62">
                  <c:v>31770</c:v>
                </c:pt>
                <c:pt idx="63">
                  <c:v>31974</c:v>
                </c:pt>
                <c:pt idx="64">
                  <c:v>32215</c:v>
                </c:pt>
                <c:pt idx="65">
                  <c:v>32697</c:v>
                </c:pt>
                <c:pt idx="66">
                  <c:v>32808</c:v>
                </c:pt>
                <c:pt idx="67">
                  <c:v>32651</c:v>
                </c:pt>
                <c:pt idx="68">
                  <c:v>32721</c:v>
                </c:pt>
                <c:pt idx="69">
                  <c:v>32560</c:v>
                </c:pt>
                <c:pt idx="70">
                  <c:v>32330</c:v>
                </c:pt>
                <c:pt idx="71">
                  <c:v>32299</c:v>
                </c:pt>
                <c:pt idx="72">
                  <c:v>32274</c:v>
                </c:pt>
                <c:pt idx="73">
                  <c:v>32086</c:v>
                </c:pt>
                <c:pt idx="74">
                  <c:v>31887</c:v>
                </c:pt>
                <c:pt idx="75">
                  <c:v>32156</c:v>
                </c:pt>
                <c:pt idx="76">
                  <c:v>32129</c:v>
                </c:pt>
                <c:pt idx="77">
                  <c:v>32282</c:v>
                </c:pt>
                <c:pt idx="78">
                  <c:v>32288</c:v>
                </c:pt>
                <c:pt idx="79">
                  <c:v>32637</c:v>
                </c:pt>
                <c:pt idx="80">
                  <c:v>32761</c:v>
                </c:pt>
                <c:pt idx="81">
                  <c:v>32358</c:v>
                </c:pt>
                <c:pt idx="82">
                  <c:v>32312</c:v>
                </c:pt>
                <c:pt idx="83">
                  <c:v>31591</c:v>
                </c:pt>
                <c:pt idx="84">
                  <c:v>30793</c:v>
                </c:pt>
                <c:pt idx="85">
                  <c:v>30556</c:v>
                </c:pt>
                <c:pt idx="86">
                  <c:v>30053</c:v>
                </c:pt>
                <c:pt idx="87">
                  <c:v>30123</c:v>
                </c:pt>
                <c:pt idx="88">
                  <c:v>29945</c:v>
                </c:pt>
                <c:pt idx="89">
                  <c:v>29865</c:v>
                </c:pt>
                <c:pt idx="90">
                  <c:v>29616</c:v>
                </c:pt>
                <c:pt idx="91">
                  <c:v>29809</c:v>
                </c:pt>
                <c:pt idx="92">
                  <c:v>28716</c:v>
                </c:pt>
                <c:pt idx="93">
                  <c:v>29753</c:v>
                </c:pt>
                <c:pt idx="94">
                  <c:v>29595</c:v>
                </c:pt>
                <c:pt idx="95">
                  <c:v>29415</c:v>
                </c:pt>
                <c:pt idx="96">
                  <c:v>28360</c:v>
                </c:pt>
                <c:pt idx="97">
                  <c:v>27813</c:v>
                </c:pt>
                <c:pt idx="98">
                  <c:v>28578</c:v>
                </c:pt>
                <c:pt idx="99">
                  <c:v>30495</c:v>
                </c:pt>
                <c:pt idx="100">
                  <c:v>24154</c:v>
                </c:pt>
                <c:pt idx="101">
                  <c:v>22243</c:v>
                </c:pt>
                <c:pt idx="102">
                  <c:v>23268</c:v>
                </c:pt>
                <c:pt idx="103">
                  <c:v>24138</c:v>
                </c:pt>
                <c:pt idx="104">
                  <c:v>24077</c:v>
                </c:pt>
                <c:pt idx="105">
                  <c:v>24394</c:v>
                </c:pt>
                <c:pt idx="106">
                  <c:v>25100</c:v>
                </c:pt>
                <c:pt idx="107">
                  <c:v>25314</c:v>
                </c:pt>
                <c:pt idx="108">
                  <c:v>25503</c:v>
                </c:pt>
                <c:pt idx="109">
                  <c:v>24844</c:v>
                </c:pt>
                <c:pt idx="110">
                  <c:v>25018</c:v>
                </c:pt>
                <c:pt idx="111">
                  <c:v>25092</c:v>
                </c:pt>
                <c:pt idx="112">
                  <c:v>25454</c:v>
                </c:pt>
                <c:pt idx="113">
                  <c:v>26029</c:v>
                </c:pt>
                <c:pt idx="114">
                  <c:v>26609</c:v>
                </c:pt>
                <c:pt idx="115">
                  <c:v>26826</c:v>
                </c:pt>
                <c:pt idx="116">
                  <c:v>27210</c:v>
                </c:pt>
                <c:pt idx="117">
                  <c:v>27400</c:v>
                </c:pt>
                <c:pt idx="118">
                  <c:v>27727</c:v>
                </c:pt>
                <c:pt idx="119">
                  <c:v>27883</c:v>
                </c:pt>
                <c:pt idx="120">
                  <c:v>28079</c:v>
                </c:pt>
                <c:pt idx="121">
                  <c:v>28499</c:v>
                </c:pt>
                <c:pt idx="122">
                  <c:v>28475</c:v>
                </c:pt>
                <c:pt idx="123">
                  <c:v>28678</c:v>
                </c:pt>
                <c:pt idx="124">
                  <c:v>28406</c:v>
                </c:pt>
                <c:pt idx="125">
                  <c:v>28685</c:v>
                </c:pt>
                <c:pt idx="126">
                  <c:v>28964</c:v>
                </c:pt>
                <c:pt idx="127">
                  <c:v>29653</c:v>
                </c:pt>
                <c:pt idx="128">
                  <c:v>29696</c:v>
                </c:pt>
                <c:pt idx="129">
                  <c:v>29558</c:v>
                </c:pt>
                <c:pt idx="130">
                  <c:v>28861</c:v>
                </c:pt>
                <c:pt idx="131">
                  <c:v>28919</c:v>
                </c:pt>
                <c:pt idx="132">
                  <c:v>28798</c:v>
                </c:pt>
                <c:pt idx="133">
                  <c:v>28873</c:v>
                </c:pt>
                <c:pt idx="134">
                  <c:v>28773</c:v>
                </c:pt>
                <c:pt idx="135">
                  <c:v>28530</c:v>
                </c:pt>
                <c:pt idx="136">
                  <c:v>28084</c:v>
                </c:pt>
                <c:pt idx="137">
                  <c:v>28200</c:v>
                </c:pt>
                <c:pt idx="138">
                  <c:v>27358</c:v>
                </c:pt>
                <c:pt idx="139">
                  <c:v>27501</c:v>
                </c:pt>
                <c:pt idx="140">
                  <c:v>27837</c:v>
                </c:pt>
                <c:pt idx="141">
                  <c:v>26728</c:v>
                </c:pt>
                <c:pt idx="142">
                  <c:v>26615</c:v>
                </c:pt>
                <c:pt idx="143">
                  <c:v>26681</c:v>
                </c:pt>
                <c:pt idx="144">
                  <c:v>26382</c:v>
                </c:pt>
                <c:pt idx="145">
                  <c:v>26581</c:v>
                </c:pt>
                <c:pt idx="146">
                  <c:v>26646</c:v>
                </c:pt>
                <c:pt idx="147">
                  <c:v>26609</c:v>
                </c:pt>
                <c:pt idx="148">
                  <c:v>26638</c:v>
                </c:pt>
                <c:pt idx="149">
                  <c:v>26535</c:v>
                </c:pt>
                <c:pt idx="150">
                  <c:v>26838</c:v>
                </c:pt>
                <c:pt idx="151">
                  <c:v>26652</c:v>
                </c:pt>
                <c:pt idx="152">
                  <c:v>26094</c:v>
                </c:pt>
                <c:pt idx="153">
                  <c:v>26545</c:v>
                </c:pt>
                <c:pt idx="154">
                  <c:v>26769</c:v>
                </c:pt>
                <c:pt idx="155">
                  <c:v>26690</c:v>
                </c:pt>
                <c:pt idx="156">
                  <c:v>26715</c:v>
                </c:pt>
                <c:pt idx="157">
                  <c:v>26854</c:v>
                </c:pt>
                <c:pt idx="158">
                  <c:v>26776</c:v>
                </c:pt>
              </c:numCache>
            </c:numRef>
          </c:val>
          <c:smooth val="0"/>
          <c:extLst xmlns:c16r2="http://schemas.microsoft.com/office/drawing/2015/06/chart">
            <c:ext xmlns:c16="http://schemas.microsoft.com/office/drawing/2014/chart" uri="{C3380CC4-5D6E-409C-BE32-E72D297353CC}">
              <c16:uniqueId val="{00000000-B8F9-4995-A8EA-3A75F77D7867}"/>
            </c:ext>
          </c:extLst>
        </c:ser>
        <c:dLbls>
          <c:showLegendKey val="0"/>
          <c:showVal val="0"/>
          <c:showCatName val="0"/>
          <c:showSerName val="0"/>
          <c:showPercent val="0"/>
          <c:showBubbleSize val="0"/>
        </c:dLbls>
        <c:marker val="1"/>
        <c:smooth val="0"/>
        <c:axId val="379884672"/>
        <c:axId val="379886208"/>
      </c:lineChart>
      <c:catAx>
        <c:axId val="379884672"/>
        <c:scaling>
          <c:orientation val="minMax"/>
        </c:scaling>
        <c:delete val="0"/>
        <c:axPos val="b"/>
        <c:numFmt formatCode="General" sourceLinked="1"/>
        <c:majorTickMark val="out"/>
        <c:minorTickMark val="out"/>
        <c:tickLblPos val="low"/>
        <c:spPr>
          <a:noFill/>
          <a:ln w="12700" cap="flat" cmpd="sng" algn="ctr">
            <a:solidFill>
              <a:schemeClr val="tx1"/>
            </a:solidFill>
            <a:prstDash val="solid"/>
            <a:round/>
          </a:ln>
          <a:effectLst/>
        </c:spPr>
        <c:txPr>
          <a:bodyPr rot="0" spcFirstLastPara="1" vertOverflow="ellipsis" vert="horz" wrap="square" anchor="ctr" anchorCtr="1"/>
          <a:lstStyle/>
          <a:p>
            <a:pPr>
              <a:defRPr lang="zh-CN" sz="600" b="0" i="0" u="none" strike="noStrike" kern="1200" baseline="0">
                <a:solidFill>
                  <a:sysClr val="windowText" lastClr="000000"/>
                </a:solidFill>
                <a:latin typeface="Cambria Math" panose="02040503050406030204" pitchFamily="18" charset="0"/>
                <a:ea typeface="楷体" panose="02010609060101010101" pitchFamily="3" charset="-122"/>
                <a:cs typeface="Times New Roman" panose="02020603050405020304" charset="0"/>
              </a:defRPr>
            </a:pPr>
            <a:endParaRPr lang="zh-CN"/>
          </a:p>
        </c:txPr>
        <c:crossAx val="379886208"/>
        <c:crosses val="autoZero"/>
        <c:auto val="1"/>
        <c:lblAlgn val="ctr"/>
        <c:lblOffset val="100"/>
        <c:tickLblSkip val="12"/>
        <c:tickMarkSkip val="6"/>
        <c:noMultiLvlLbl val="0"/>
      </c:catAx>
      <c:valAx>
        <c:axId val="379886208"/>
        <c:scaling>
          <c:orientation val="minMax"/>
          <c:max val="36000"/>
          <c:min val="20000"/>
        </c:scaling>
        <c:delete val="0"/>
        <c:axPos val="l"/>
        <c:title>
          <c:tx>
            <c:rich>
              <a:bodyPr rot="0" spcFirstLastPara="1" vertOverflow="ellipsis" vert="horz" wrap="square" anchor="ctr" anchorCtr="1"/>
              <a:lstStyle/>
              <a:p>
                <a:pPr>
                  <a:defRPr lang="zh-CN" sz="600" b="0" i="0" u="none" strike="noStrike" kern="1200" baseline="0">
                    <a:solidFill>
                      <a:schemeClr val="tx1">
                        <a:lumMod val="65000"/>
                        <a:lumOff val="35000"/>
                      </a:schemeClr>
                    </a:solidFill>
                    <a:latin typeface="+mn-lt"/>
                    <a:ea typeface="+mn-ea"/>
                    <a:cs typeface="+mn-cs"/>
                  </a:defRPr>
                </a:pPr>
                <a:r>
                  <a:rPr lang="zh-CN" altLang="en-US" sz="600">
                    <a:solidFill>
                      <a:sysClr val="windowText" lastClr="000000"/>
                    </a:solidFill>
                    <a:latin typeface="楷体" panose="02010609060101010101" pitchFamily="3" charset="-122"/>
                    <a:ea typeface="楷体" panose="02010609060101010101" pitchFamily="3" charset="-122"/>
                  </a:rPr>
                  <a:t>千桶</a:t>
                </a:r>
                <a:r>
                  <a:rPr lang="en-US" altLang="zh-CN" sz="600">
                    <a:solidFill>
                      <a:sysClr val="windowText" lastClr="000000"/>
                    </a:solidFill>
                    <a:latin typeface="楷体" panose="02010609060101010101" pitchFamily="3" charset="-122"/>
                    <a:ea typeface="楷体" panose="02010609060101010101" pitchFamily="3" charset="-122"/>
                  </a:rPr>
                  <a:t>/</a:t>
                </a:r>
                <a:r>
                  <a:rPr lang="zh-CN" altLang="en-US" sz="600">
                    <a:solidFill>
                      <a:sysClr val="windowText" lastClr="000000"/>
                    </a:solidFill>
                    <a:latin typeface="楷体" panose="02010609060101010101" pitchFamily="3" charset="-122"/>
                    <a:ea typeface="楷体" panose="02010609060101010101" pitchFamily="3" charset="-122"/>
                  </a:rPr>
                  <a:t>日</a:t>
                </a:r>
              </a:p>
            </c:rich>
          </c:tx>
          <c:layout>
            <c:manualLayout>
              <c:xMode val="edge"/>
              <c:yMode val="edge"/>
              <c:x val="0.16756962962963001"/>
              <c:y val="3.1876068376068402E-3"/>
            </c:manualLayout>
          </c:layout>
          <c:overlay val="0"/>
          <c:spPr>
            <a:noFill/>
            <a:ln w="25400">
              <a:noFill/>
            </a:ln>
          </c:spPr>
        </c:title>
        <c:numFmt formatCode="0_ " sourceLinked="0"/>
        <c:majorTickMark val="out"/>
        <c:minorTickMark val="none"/>
        <c:tickLblPos val="nextTo"/>
        <c:spPr>
          <a:noFill/>
          <a:ln w="12700" cap="flat" cmpd="sng" algn="ctr">
            <a:solidFill>
              <a:schemeClr val="tx1"/>
            </a:solidFill>
            <a:prstDash val="solid"/>
            <a:round/>
          </a:ln>
          <a:effectLst/>
        </c:spPr>
        <c:txPr>
          <a:bodyPr rot="-60000000" spcFirstLastPara="1" vertOverflow="ellipsis" vert="horz" wrap="square" anchor="ctr" anchorCtr="1"/>
          <a:lstStyle/>
          <a:p>
            <a:pPr>
              <a:defRPr lang="zh-CN" sz="600" b="0" i="0" u="none" strike="noStrike" kern="1200" baseline="0">
                <a:solidFill>
                  <a:sysClr val="windowText" lastClr="000000"/>
                </a:solidFill>
                <a:latin typeface="+mj-lt"/>
                <a:ea typeface="+mn-ea"/>
                <a:cs typeface="Times New Roman" panose="02020603050405020304" charset="0"/>
              </a:defRPr>
            </a:pPr>
            <a:endParaRPr lang="zh-CN"/>
          </a:p>
        </c:txPr>
        <c:crossAx val="379884672"/>
        <c:crosses val="autoZero"/>
        <c:crossBetween val="between"/>
      </c:valAx>
      <c:spPr>
        <a:noFill/>
        <a:ln w="25400">
          <a:noFill/>
        </a:ln>
      </c:spPr>
    </c:plotArea>
    <c:plotVisOnly val="1"/>
    <c:dispBlanksAs val="gap"/>
    <c:showDLblsOverMax val="0"/>
    <c:extLst xmlns:c16r2="http://schemas.microsoft.com/office/drawing/2015/06/chart">
      <c:ext uri="{0b15fc19-7d7d-44ad-8c2d-2c3a37ce22c3}">
        <chartProps xmlns="https://web.wps.cn/et/2018/main" chartId="{3637827c-a1ac-4ee4-9fd2-1c21ba704d9a}"/>
      </c:ext>
    </c:extLst>
  </c:chart>
  <c:spPr>
    <a:solidFill>
      <a:srgbClr val="FFFFFF"/>
    </a:solidFill>
    <a:ln w="3175" cap="flat" cmpd="sng" algn="ctr">
      <a:solidFill>
        <a:srgbClr val="FFFFFF"/>
      </a:solidFill>
      <a:prstDash val="solid"/>
      <a:round/>
    </a:ln>
  </c:spPr>
  <c:txPr>
    <a:bodyPr/>
    <a:lstStyle/>
    <a:p>
      <a:pPr>
        <a:defRPr lang="zh-CN" sz="600"/>
      </a:pPr>
      <a:endParaRPr lang="zh-CN"/>
    </a:p>
  </c:txPr>
  <c:externalData r:id="rId2">
    <c:autoUpdate val="0"/>
  </c:externalData>
  <c:userShapes r:id="rId3"/>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0071759259259306E-2"/>
          <c:y val="3.015E-2"/>
          <c:w val="0.87563707648154199"/>
          <c:h val="0.75379537037037003"/>
        </c:manualLayout>
      </c:layout>
      <c:lineChart>
        <c:grouping val="standard"/>
        <c:varyColors val="0"/>
        <c:ser>
          <c:idx val="0"/>
          <c:order val="0"/>
          <c:tx>
            <c:strRef>
              <c:f>中国进口量价!$X$102</c:f>
              <c:strCache>
                <c:ptCount val="1"/>
                <c:pt idx="0">
                  <c:v>中国原油进口量同比</c:v>
                </c:pt>
              </c:strCache>
            </c:strRef>
          </c:tx>
          <c:spPr>
            <a:ln w="19050" cap="rnd" cmpd="sng" algn="ctr">
              <a:solidFill>
                <a:srgbClr val="74A3BA"/>
              </a:solidFill>
              <a:prstDash val="solid"/>
              <a:round/>
            </a:ln>
            <a:effectLst/>
          </c:spPr>
          <c:marker>
            <c:symbol val="none"/>
          </c:marker>
          <c:trendline>
            <c:name>半年移动平均</c:name>
            <c:spPr>
              <a:ln w="19050" cap="rnd" cmpd="sng" algn="ctr">
                <a:solidFill>
                  <a:srgbClr val="106D9C"/>
                </a:solidFill>
                <a:prstDash val="solid"/>
                <a:round/>
              </a:ln>
            </c:spPr>
            <c:trendlineType val="movingAvg"/>
            <c:period val="6"/>
            <c:dispRSqr val="0"/>
            <c:dispEq val="0"/>
          </c:trendline>
          <c:cat>
            <c:strRef>
              <c:f>中国进口量价!$A$6:$A$176</c:f>
              <c:strCache>
                <c:ptCount val="171"/>
                <c:pt idx="0">
                  <c:v>1月
2011</c:v>
                </c:pt>
                <c:pt idx="1">
                  <c:v>2月</c:v>
                </c:pt>
                <c:pt idx="2">
                  <c:v>3月</c:v>
                </c:pt>
                <c:pt idx="3">
                  <c:v>4月</c:v>
                </c:pt>
                <c:pt idx="4">
                  <c:v>5月</c:v>
                </c:pt>
                <c:pt idx="5">
                  <c:v>6月</c:v>
                </c:pt>
                <c:pt idx="6">
                  <c:v>7月</c:v>
                </c:pt>
                <c:pt idx="7">
                  <c:v>8月</c:v>
                </c:pt>
                <c:pt idx="8">
                  <c:v>9月</c:v>
                </c:pt>
                <c:pt idx="9">
                  <c:v>10月</c:v>
                </c:pt>
                <c:pt idx="10">
                  <c:v>11月</c:v>
                </c:pt>
                <c:pt idx="11">
                  <c:v>12月</c:v>
                </c:pt>
                <c:pt idx="12">
                  <c:v>1月
2012</c:v>
                </c:pt>
                <c:pt idx="13">
                  <c:v>2月</c:v>
                </c:pt>
                <c:pt idx="14">
                  <c:v>3月</c:v>
                </c:pt>
                <c:pt idx="15">
                  <c:v>4月</c:v>
                </c:pt>
                <c:pt idx="16">
                  <c:v>5月</c:v>
                </c:pt>
                <c:pt idx="17">
                  <c:v>6月</c:v>
                </c:pt>
                <c:pt idx="18">
                  <c:v>7月</c:v>
                </c:pt>
                <c:pt idx="19">
                  <c:v>8月</c:v>
                </c:pt>
                <c:pt idx="20">
                  <c:v>9月</c:v>
                </c:pt>
                <c:pt idx="21">
                  <c:v>10月</c:v>
                </c:pt>
                <c:pt idx="22">
                  <c:v>11月</c:v>
                </c:pt>
                <c:pt idx="23">
                  <c:v>12月</c:v>
                </c:pt>
                <c:pt idx="24">
                  <c:v>1月
2013</c:v>
                </c:pt>
                <c:pt idx="25">
                  <c:v>2月</c:v>
                </c:pt>
                <c:pt idx="26">
                  <c:v>3月</c:v>
                </c:pt>
                <c:pt idx="27">
                  <c:v>4月</c:v>
                </c:pt>
                <c:pt idx="28">
                  <c:v>5月</c:v>
                </c:pt>
                <c:pt idx="29">
                  <c:v>6月</c:v>
                </c:pt>
                <c:pt idx="30">
                  <c:v>7月</c:v>
                </c:pt>
                <c:pt idx="31">
                  <c:v>8月</c:v>
                </c:pt>
                <c:pt idx="32">
                  <c:v>9月</c:v>
                </c:pt>
                <c:pt idx="33">
                  <c:v>10月</c:v>
                </c:pt>
                <c:pt idx="34">
                  <c:v>11月</c:v>
                </c:pt>
                <c:pt idx="35">
                  <c:v>12月</c:v>
                </c:pt>
                <c:pt idx="36">
                  <c:v>1月
2014</c:v>
                </c:pt>
                <c:pt idx="37">
                  <c:v>2月</c:v>
                </c:pt>
                <c:pt idx="38">
                  <c:v>3月</c:v>
                </c:pt>
                <c:pt idx="39">
                  <c:v>4月</c:v>
                </c:pt>
                <c:pt idx="40">
                  <c:v>5月</c:v>
                </c:pt>
                <c:pt idx="41">
                  <c:v>6月</c:v>
                </c:pt>
                <c:pt idx="42">
                  <c:v>7月</c:v>
                </c:pt>
                <c:pt idx="43">
                  <c:v>8月</c:v>
                </c:pt>
                <c:pt idx="44">
                  <c:v>9月</c:v>
                </c:pt>
                <c:pt idx="45">
                  <c:v>10月</c:v>
                </c:pt>
                <c:pt idx="46">
                  <c:v>11月</c:v>
                </c:pt>
                <c:pt idx="47">
                  <c:v>12月</c:v>
                </c:pt>
                <c:pt idx="48">
                  <c:v>1月
2015</c:v>
                </c:pt>
                <c:pt idx="49">
                  <c:v>2月</c:v>
                </c:pt>
                <c:pt idx="50">
                  <c:v>3月</c:v>
                </c:pt>
                <c:pt idx="51">
                  <c:v>4月</c:v>
                </c:pt>
                <c:pt idx="52">
                  <c:v>5月</c:v>
                </c:pt>
                <c:pt idx="53">
                  <c:v>6月</c:v>
                </c:pt>
                <c:pt idx="54">
                  <c:v>7月</c:v>
                </c:pt>
                <c:pt idx="55">
                  <c:v>8月</c:v>
                </c:pt>
                <c:pt idx="56">
                  <c:v>9月</c:v>
                </c:pt>
                <c:pt idx="57">
                  <c:v>10月</c:v>
                </c:pt>
                <c:pt idx="58">
                  <c:v>11月</c:v>
                </c:pt>
                <c:pt idx="59">
                  <c:v>12月</c:v>
                </c:pt>
                <c:pt idx="60">
                  <c:v>1月
2016</c:v>
                </c:pt>
                <c:pt idx="61">
                  <c:v>2月</c:v>
                </c:pt>
                <c:pt idx="62">
                  <c:v>3月</c:v>
                </c:pt>
                <c:pt idx="63">
                  <c:v>4月</c:v>
                </c:pt>
                <c:pt idx="64">
                  <c:v>5月</c:v>
                </c:pt>
                <c:pt idx="65">
                  <c:v>6月</c:v>
                </c:pt>
                <c:pt idx="66">
                  <c:v>7月</c:v>
                </c:pt>
                <c:pt idx="67">
                  <c:v>8月</c:v>
                </c:pt>
                <c:pt idx="68">
                  <c:v>9月</c:v>
                </c:pt>
                <c:pt idx="69">
                  <c:v>10月</c:v>
                </c:pt>
                <c:pt idx="70">
                  <c:v>11月</c:v>
                </c:pt>
                <c:pt idx="71">
                  <c:v>12月</c:v>
                </c:pt>
                <c:pt idx="72">
                  <c:v>1月
2017</c:v>
                </c:pt>
                <c:pt idx="73">
                  <c:v>2月</c:v>
                </c:pt>
                <c:pt idx="74">
                  <c:v>3月</c:v>
                </c:pt>
                <c:pt idx="75">
                  <c:v>4月</c:v>
                </c:pt>
                <c:pt idx="76">
                  <c:v>5月</c:v>
                </c:pt>
                <c:pt idx="77">
                  <c:v>6月</c:v>
                </c:pt>
                <c:pt idx="78">
                  <c:v>7月</c:v>
                </c:pt>
                <c:pt idx="79">
                  <c:v>8月</c:v>
                </c:pt>
                <c:pt idx="80">
                  <c:v>9月</c:v>
                </c:pt>
                <c:pt idx="81">
                  <c:v>10月</c:v>
                </c:pt>
                <c:pt idx="82">
                  <c:v>11月</c:v>
                </c:pt>
                <c:pt idx="83">
                  <c:v>12月</c:v>
                </c:pt>
                <c:pt idx="84">
                  <c:v>1月
2018</c:v>
                </c:pt>
                <c:pt idx="85">
                  <c:v>2月</c:v>
                </c:pt>
                <c:pt idx="86">
                  <c:v>3月</c:v>
                </c:pt>
                <c:pt idx="87">
                  <c:v>4月</c:v>
                </c:pt>
                <c:pt idx="88">
                  <c:v>5月</c:v>
                </c:pt>
                <c:pt idx="89">
                  <c:v>6月</c:v>
                </c:pt>
                <c:pt idx="90">
                  <c:v>7月</c:v>
                </c:pt>
                <c:pt idx="91">
                  <c:v>8月</c:v>
                </c:pt>
                <c:pt idx="92">
                  <c:v>9月</c:v>
                </c:pt>
                <c:pt idx="93">
                  <c:v>10月</c:v>
                </c:pt>
                <c:pt idx="94">
                  <c:v>11月</c:v>
                </c:pt>
                <c:pt idx="95">
                  <c:v>12月</c:v>
                </c:pt>
                <c:pt idx="96">
                  <c:v>1月
2019</c:v>
                </c:pt>
                <c:pt idx="97">
                  <c:v>2月</c:v>
                </c:pt>
                <c:pt idx="98">
                  <c:v>3月</c:v>
                </c:pt>
                <c:pt idx="99">
                  <c:v>4月</c:v>
                </c:pt>
                <c:pt idx="100">
                  <c:v>5月</c:v>
                </c:pt>
                <c:pt idx="101">
                  <c:v>6月</c:v>
                </c:pt>
                <c:pt idx="102">
                  <c:v>7月</c:v>
                </c:pt>
                <c:pt idx="103">
                  <c:v>8月</c:v>
                </c:pt>
                <c:pt idx="104">
                  <c:v>9月</c:v>
                </c:pt>
                <c:pt idx="105">
                  <c:v>10月</c:v>
                </c:pt>
                <c:pt idx="106">
                  <c:v>11月</c:v>
                </c:pt>
                <c:pt idx="107">
                  <c:v>12月</c:v>
                </c:pt>
                <c:pt idx="108">
                  <c:v>1月
2020</c:v>
                </c:pt>
                <c:pt idx="109">
                  <c:v>2月</c:v>
                </c:pt>
                <c:pt idx="110">
                  <c:v>3月</c:v>
                </c:pt>
                <c:pt idx="111">
                  <c:v>4月</c:v>
                </c:pt>
                <c:pt idx="112">
                  <c:v>5月</c:v>
                </c:pt>
                <c:pt idx="113">
                  <c:v>6月</c:v>
                </c:pt>
                <c:pt idx="114">
                  <c:v>7月</c:v>
                </c:pt>
                <c:pt idx="115">
                  <c:v>8月</c:v>
                </c:pt>
                <c:pt idx="116">
                  <c:v>9月</c:v>
                </c:pt>
                <c:pt idx="117">
                  <c:v>10月</c:v>
                </c:pt>
                <c:pt idx="118">
                  <c:v>11月</c:v>
                </c:pt>
                <c:pt idx="119">
                  <c:v>12月</c:v>
                </c:pt>
                <c:pt idx="120">
                  <c:v>1月
2021</c:v>
                </c:pt>
                <c:pt idx="121">
                  <c:v>2月</c:v>
                </c:pt>
                <c:pt idx="122">
                  <c:v>3月</c:v>
                </c:pt>
                <c:pt idx="123">
                  <c:v>4月</c:v>
                </c:pt>
                <c:pt idx="124">
                  <c:v>5月</c:v>
                </c:pt>
                <c:pt idx="125">
                  <c:v>6月</c:v>
                </c:pt>
                <c:pt idx="126">
                  <c:v>7月</c:v>
                </c:pt>
                <c:pt idx="127">
                  <c:v>8月</c:v>
                </c:pt>
                <c:pt idx="128">
                  <c:v>9月</c:v>
                </c:pt>
                <c:pt idx="129">
                  <c:v>10月</c:v>
                </c:pt>
                <c:pt idx="130">
                  <c:v>11月</c:v>
                </c:pt>
                <c:pt idx="131">
                  <c:v>12月</c:v>
                </c:pt>
                <c:pt idx="132">
                  <c:v>1月
2022</c:v>
                </c:pt>
                <c:pt idx="133">
                  <c:v>2月
2022</c:v>
                </c:pt>
                <c:pt idx="134">
                  <c:v>3月
2022</c:v>
                </c:pt>
                <c:pt idx="135">
                  <c:v>4月
2022</c:v>
                </c:pt>
                <c:pt idx="136">
                  <c:v>5月
2022</c:v>
                </c:pt>
                <c:pt idx="137">
                  <c:v>6月
2022</c:v>
                </c:pt>
                <c:pt idx="138">
                  <c:v>7月
2022</c:v>
                </c:pt>
                <c:pt idx="139">
                  <c:v>8月
2022</c:v>
                </c:pt>
                <c:pt idx="140">
                  <c:v>9月
2022</c:v>
                </c:pt>
                <c:pt idx="141">
                  <c:v>10月
2022</c:v>
                </c:pt>
                <c:pt idx="142">
                  <c:v>11月
2022</c:v>
                </c:pt>
                <c:pt idx="143">
                  <c:v>12月
2022</c:v>
                </c:pt>
                <c:pt idx="144">
                  <c:v>1月
2023</c:v>
                </c:pt>
                <c:pt idx="145">
                  <c:v>2月
2023</c:v>
                </c:pt>
                <c:pt idx="146">
                  <c:v>3月
2023</c:v>
                </c:pt>
                <c:pt idx="147">
                  <c:v>4月
2023</c:v>
                </c:pt>
                <c:pt idx="148">
                  <c:v>5月
2023</c:v>
                </c:pt>
                <c:pt idx="149">
                  <c:v>6月
2023</c:v>
                </c:pt>
                <c:pt idx="150">
                  <c:v>7月
2023</c:v>
                </c:pt>
                <c:pt idx="151">
                  <c:v>8月
2023</c:v>
                </c:pt>
                <c:pt idx="152">
                  <c:v>9月
2023</c:v>
                </c:pt>
                <c:pt idx="153">
                  <c:v>10月
2023</c:v>
                </c:pt>
                <c:pt idx="154">
                  <c:v>11月
2023</c:v>
                </c:pt>
                <c:pt idx="155">
                  <c:v>12月
2023</c:v>
                </c:pt>
                <c:pt idx="156">
                  <c:v>1月
2024</c:v>
                </c:pt>
                <c:pt idx="157">
                  <c:v>2月
2024</c:v>
                </c:pt>
                <c:pt idx="158">
                  <c:v>3月
2024</c:v>
                </c:pt>
                <c:pt idx="159">
                  <c:v>4月
2024</c:v>
                </c:pt>
                <c:pt idx="160">
                  <c:v>5月
2024</c:v>
                </c:pt>
                <c:pt idx="161">
                  <c:v>6月
2024</c:v>
                </c:pt>
                <c:pt idx="162">
                  <c:v>7月
2024</c:v>
                </c:pt>
                <c:pt idx="163">
                  <c:v>8月
2024</c:v>
                </c:pt>
                <c:pt idx="164">
                  <c:v>9月
2024</c:v>
                </c:pt>
                <c:pt idx="165">
                  <c:v>10月
2024</c:v>
                </c:pt>
                <c:pt idx="166">
                  <c:v>11月
2024</c:v>
                </c:pt>
                <c:pt idx="167">
                  <c:v>12月
2024</c:v>
                </c:pt>
                <c:pt idx="168">
                  <c:v>1月
2025</c:v>
                </c:pt>
                <c:pt idx="169">
                  <c:v>2月
2025</c:v>
                </c:pt>
                <c:pt idx="170">
                  <c:v>3月
2025</c:v>
                </c:pt>
              </c:strCache>
            </c:strRef>
          </c:cat>
          <c:val>
            <c:numRef>
              <c:f>中国进口量价!$C$7:$C$176</c:f>
              <c:numCache>
                <c:formatCode>General</c:formatCode>
                <c:ptCount val="170"/>
                <c:pt idx="0">
                  <c:v>7.7795786061588403</c:v>
                </c:pt>
                <c:pt idx="1">
                  <c:v>2.8964862298195602</c:v>
                </c:pt>
                <c:pt idx="2">
                  <c:v>1.74775625885687</c:v>
                </c:pt>
                <c:pt idx="3">
                  <c:v>20.795964125560499</c:v>
                </c:pt>
                <c:pt idx="4">
                  <c:v>-11.540188594521799</c:v>
                </c:pt>
                <c:pt idx="5">
                  <c:v>2.26315789473685</c:v>
                </c:pt>
                <c:pt idx="6">
                  <c:v>0.66985645933014404</c:v>
                </c:pt>
                <c:pt idx="7">
                  <c:v>-12.1940747101761</c:v>
                </c:pt>
                <c:pt idx="8">
                  <c:v>26.906650396583299</c:v>
                </c:pt>
                <c:pt idx="9">
                  <c:v>8.5126733620277406</c:v>
                </c:pt>
                <c:pt idx="10">
                  <c:v>5.0814956855225297</c:v>
                </c:pt>
                <c:pt idx="11">
                  <c:v>7.3853211009174302</c:v>
                </c:pt>
                <c:pt idx="12">
                  <c:v>18.4962406015038</c:v>
                </c:pt>
                <c:pt idx="13">
                  <c:v>8.67558837101984</c:v>
                </c:pt>
                <c:pt idx="14">
                  <c:v>3.3426183844011099</c:v>
                </c:pt>
                <c:pt idx="15">
                  <c:v>18.236658932714601</c:v>
                </c:pt>
                <c:pt idx="16">
                  <c:v>10.253807106599</c:v>
                </c:pt>
                <c:pt idx="17">
                  <c:v>12.352032938754499</c:v>
                </c:pt>
                <c:pt idx="18">
                  <c:v>-12.547528517110299</c:v>
                </c:pt>
                <c:pt idx="19">
                  <c:v>-1.80929095354522</c:v>
                </c:pt>
                <c:pt idx="20">
                  <c:v>13.8461538461539</c:v>
                </c:pt>
                <c:pt idx="21">
                  <c:v>2.9969149405024198</c:v>
                </c:pt>
                <c:pt idx="22">
                  <c:v>7.9835766423357697</c:v>
                </c:pt>
                <c:pt idx="23">
                  <c:v>7.4327210593763304</c:v>
                </c:pt>
                <c:pt idx="24">
                  <c:v>-12.098138747884899</c:v>
                </c:pt>
                <c:pt idx="25">
                  <c:v>-2.12314225053079</c:v>
                </c:pt>
                <c:pt idx="26">
                  <c:v>3.6837376460017999</c:v>
                </c:pt>
                <c:pt idx="27">
                  <c:v>-6.0047095761381497</c:v>
                </c:pt>
                <c:pt idx="28">
                  <c:v>2.0718232044198901</c:v>
                </c:pt>
                <c:pt idx="29">
                  <c:v>19.606046724690799</c:v>
                </c:pt>
                <c:pt idx="30">
                  <c:v>16.4673913043478</c:v>
                </c:pt>
                <c:pt idx="31">
                  <c:v>27.8884462151394</c:v>
                </c:pt>
                <c:pt idx="32">
                  <c:v>-13.8091216216216</c:v>
                </c:pt>
                <c:pt idx="33">
                  <c:v>0.81300813008130102</c:v>
                </c:pt>
                <c:pt idx="34">
                  <c:v>13.1389945078158</c:v>
                </c:pt>
                <c:pt idx="35">
                  <c:v>11.9463896620278</c:v>
                </c:pt>
                <c:pt idx="36">
                  <c:v>10.9259335899904</c:v>
                </c:pt>
                <c:pt idx="37">
                  <c:v>2.0316355748373098</c:v>
                </c:pt>
                <c:pt idx="38">
                  <c:v>20.7757755632582</c:v>
                </c:pt>
                <c:pt idx="39">
                  <c:v>8.9036325678496908</c:v>
                </c:pt>
                <c:pt idx="40">
                  <c:v>5.0036355435272899</c:v>
                </c:pt>
                <c:pt idx="41">
                  <c:v>-9.0087744159325904</c:v>
                </c:pt>
                <c:pt idx="42">
                  <c:v>17.545678954736299</c:v>
                </c:pt>
                <c:pt idx="43">
                  <c:v>7.3873169781931596</c:v>
                </c:pt>
                <c:pt idx="44">
                  <c:v>18.026286134247901</c:v>
                </c:pt>
                <c:pt idx="45">
                  <c:v>7.85608234295416</c:v>
                </c:pt>
                <c:pt idx="46">
                  <c:v>13.4156086631815</c:v>
                </c:pt>
                <c:pt idx="47">
                  <c:v>-0.61759539330758195</c:v>
                </c:pt>
                <c:pt idx="48">
                  <c:v>10.858371320005601</c:v>
                </c:pt>
                <c:pt idx="49">
                  <c:v>13.988332996290699</c:v>
                </c:pt>
                <c:pt idx="50">
                  <c:v>8.6484906268684902</c:v>
                </c:pt>
                <c:pt idx="51">
                  <c:v>-10.8794889431272</c:v>
                </c:pt>
                <c:pt idx="52">
                  <c:v>26.686719097210201</c:v>
                </c:pt>
                <c:pt idx="53">
                  <c:v>29.259091189764199</c:v>
                </c:pt>
                <c:pt idx="54">
                  <c:v>5.5686535459512498</c:v>
                </c:pt>
                <c:pt idx="55">
                  <c:v>1.35167766052532</c:v>
                </c:pt>
                <c:pt idx="56">
                  <c:v>9.3931690865997108</c:v>
                </c:pt>
                <c:pt idx="57">
                  <c:v>7.5821617130889498</c:v>
                </c:pt>
                <c:pt idx="58">
                  <c:v>9.2613893397689395</c:v>
                </c:pt>
                <c:pt idx="59">
                  <c:v>-4.6126042310117601</c:v>
                </c:pt>
                <c:pt idx="60">
                  <c:v>24.445727339881</c:v>
                </c:pt>
                <c:pt idx="61">
                  <c:v>21.642298604500599</c:v>
                </c:pt>
                <c:pt idx="62">
                  <c:v>7.5750962001358904</c:v>
                </c:pt>
                <c:pt idx="63">
                  <c:v>38.697770760289998</c:v>
                </c:pt>
                <c:pt idx="64">
                  <c:v>3.8255088560412198</c:v>
                </c:pt>
                <c:pt idx="65">
                  <c:v>1.1751294273155499</c:v>
                </c:pt>
                <c:pt idx="66">
                  <c:v>23.529746884352299</c:v>
                </c:pt>
                <c:pt idx="67">
                  <c:v>18.283426266562898</c:v>
                </c:pt>
                <c:pt idx="68">
                  <c:v>9.2520801440472908</c:v>
                </c:pt>
                <c:pt idx="69">
                  <c:v>18.3352386465112</c:v>
                </c:pt>
                <c:pt idx="70">
                  <c:v>9.6257495035351592</c:v>
                </c:pt>
                <c:pt idx="71">
                  <c:v>27.5009366804046</c:v>
                </c:pt>
                <c:pt idx="72">
                  <c:v>-6.2893081761005998E-2</c:v>
                </c:pt>
                <c:pt idx="73">
                  <c:v>19.441888991107</c:v>
                </c:pt>
                <c:pt idx="74">
                  <c:v>5.5555555555555696</c:v>
                </c:pt>
                <c:pt idx="75">
                  <c:v>15.384615384615399</c:v>
                </c:pt>
                <c:pt idx="76">
                  <c:v>17.929457870672799</c:v>
                </c:pt>
                <c:pt idx="77">
                  <c:v>11.812037335049901</c:v>
                </c:pt>
                <c:pt idx="78">
                  <c:v>3.4398782343988001</c:v>
                </c:pt>
                <c:pt idx="79">
                  <c:v>11.947973381730201</c:v>
                </c:pt>
                <c:pt idx="80">
                  <c:v>7.7804793331017699</c:v>
                </c:pt>
                <c:pt idx="81">
                  <c:v>14.497681607418899</c:v>
                </c:pt>
                <c:pt idx="82">
                  <c:v>-7.3666849917536998</c:v>
                </c:pt>
                <c:pt idx="83">
                  <c:v>19.424037613870201</c:v>
                </c:pt>
                <c:pt idx="84">
                  <c:v>1.51038388923852</c:v>
                </c:pt>
                <c:pt idx="85">
                  <c:v>0.564826700898588</c:v>
                </c:pt>
                <c:pt idx="86">
                  <c:v>14.7426577493457</c:v>
                </c:pt>
                <c:pt idx="87">
                  <c:v>4.9731182795698903</c:v>
                </c:pt>
                <c:pt idx="88">
                  <c:v>-4.8739961229576299</c:v>
                </c:pt>
                <c:pt idx="89">
                  <c:v>3.6845135290731101</c:v>
                </c:pt>
                <c:pt idx="90">
                  <c:v>12.948793407887001</c:v>
                </c:pt>
                <c:pt idx="91">
                  <c:v>0.54039448797620904</c:v>
                </c:pt>
                <c:pt idx="92">
                  <c:v>31.485659039639099</c:v>
                </c:pt>
                <c:pt idx="93">
                  <c:v>15.739740820734299</c:v>
                </c:pt>
                <c:pt idx="94">
                  <c:v>29.9109792284866</c:v>
                </c:pt>
                <c:pt idx="95">
                  <c:v>4.8228346456692801</c:v>
                </c:pt>
                <c:pt idx="96">
                  <c:v>21.605703657780499</c:v>
                </c:pt>
                <c:pt idx="97">
                  <c:v>0.43400561654327302</c:v>
                </c:pt>
                <c:pt idx="98">
                  <c:v>10.8210846426761</c:v>
                </c:pt>
                <c:pt idx="99">
                  <c:v>3.0217669654289399</c:v>
                </c:pt>
                <c:pt idx="100">
                  <c:v>15.2256186317321</c:v>
                </c:pt>
                <c:pt idx="101">
                  <c:v>13.9367018323154</c:v>
                </c:pt>
                <c:pt idx="102">
                  <c:v>9.8749348619072599</c:v>
                </c:pt>
                <c:pt idx="103">
                  <c:v>10.8304219295888</c:v>
                </c:pt>
                <c:pt idx="104">
                  <c:v>11.544117647058799</c:v>
                </c:pt>
                <c:pt idx="105">
                  <c:v>6.6946582691859096</c:v>
                </c:pt>
                <c:pt idx="106">
                  <c:v>3.8830516217450901</c:v>
                </c:pt>
                <c:pt idx="107">
                  <c:v>8.2159624413145504</c:v>
                </c:pt>
                <c:pt idx="108">
                  <c:v>1.9118021921998301</c:v>
                </c:pt>
                <c:pt idx="109">
                  <c:v>4.4738179969496699</c:v>
                </c:pt>
                <c:pt idx="110">
                  <c:v>-7.54630688314659</c:v>
                </c:pt>
                <c:pt idx="111">
                  <c:v>19.239373601789701</c:v>
                </c:pt>
                <c:pt idx="112">
                  <c:v>34.360788276907499</c:v>
                </c:pt>
                <c:pt idx="113">
                  <c:v>24.975633528265099</c:v>
                </c:pt>
                <c:pt idx="114">
                  <c:v>12.591889969172399</c:v>
                </c:pt>
                <c:pt idx="115">
                  <c:v>17.5557710960233</c:v>
                </c:pt>
                <c:pt idx="116">
                  <c:v>-6.4820918479455099</c:v>
                </c:pt>
                <c:pt idx="117">
                  <c:v>-0.83078268473983397</c:v>
                </c:pt>
                <c:pt idx="118">
                  <c:v>-15.413368513632401</c:v>
                </c:pt>
                <c:pt idx="119">
                  <c:v>-3.2754880694143198</c:v>
                </c:pt>
                <c:pt idx="120">
                  <c:v>12.506253126563299</c:v>
                </c:pt>
                <c:pt idx="121">
                  <c:v>20.8272506082725</c:v>
                </c:pt>
                <c:pt idx="122">
                  <c:v>-0.173138758347749</c:v>
                </c:pt>
                <c:pt idx="123">
                  <c:v>-14.592453616843899</c:v>
                </c:pt>
                <c:pt idx="124">
                  <c:v>-24.539300488905599</c:v>
                </c:pt>
                <c:pt idx="125">
                  <c:v>-19.594462858257</c:v>
                </c:pt>
                <c:pt idx="126">
                  <c:v>-6.2131423757371502</c:v>
                </c:pt>
                <c:pt idx="127">
                  <c:v>-15.325907590759099</c:v>
                </c:pt>
                <c:pt idx="128">
                  <c:v>-11.1842105263158</c:v>
                </c:pt>
                <c:pt idx="129">
                  <c:v>-7.8703703703703702</c:v>
                </c:pt>
                <c:pt idx="130">
                  <c:v>19.937613724980501</c:v>
                </c:pt>
                <c:pt idx="131">
                  <c:v>9.4415788293339293</c:v>
                </c:pt>
                <c:pt idx="132">
                  <c:v>-19.208537127612299</c:v>
                </c:pt>
                <c:pt idx="133">
                  <c:v>-13.9951671365284</c:v>
                </c:pt>
                <c:pt idx="134">
                  <c:v>6.6154608523290399</c:v>
                </c:pt>
                <c:pt idx="135">
                  <c:v>11.837930192824</c:v>
                </c:pt>
                <c:pt idx="136">
                  <c:v>-10.740094692250199</c:v>
                </c:pt>
                <c:pt idx="137">
                  <c:v>-9.4810863239573209</c:v>
                </c:pt>
                <c:pt idx="138">
                  <c:v>-9.3869301594430699</c:v>
                </c:pt>
                <c:pt idx="139">
                  <c:v>-1.97320341047503</c:v>
                </c:pt>
                <c:pt idx="140">
                  <c:v>14.1269841269841</c:v>
                </c:pt>
                <c:pt idx="141">
                  <c:v>11.8449389806174</c:v>
                </c:pt>
                <c:pt idx="142">
                  <c:v>4.1829215431296101</c:v>
                </c:pt>
                <c:pt idx="143">
                  <c:v>-11.209016393442599</c:v>
                </c:pt>
                <c:pt idx="144">
                  <c:v>12.1078701155751</c:v>
                </c:pt>
                <c:pt idx="145">
                  <c:v>22.4771716225708</c:v>
                </c:pt>
                <c:pt idx="146">
                  <c:v>-1.44085521729026</c:v>
                </c:pt>
                <c:pt idx="147">
                  <c:v>12.2653862941947</c:v>
                </c:pt>
                <c:pt idx="148">
                  <c:v>45.337800111669502</c:v>
                </c:pt>
                <c:pt idx="149">
                  <c:v>17.037235467452501</c:v>
                </c:pt>
                <c:pt idx="150">
                  <c:v>30.8550185873606</c:v>
                </c:pt>
                <c:pt idx="151">
                  <c:v>13.6679920477137</c:v>
                </c:pt>
                <c:pt idx="152">
                  <c:v>13.514140009272101</c:v>
                </c:pt>
                <c:pt idx="153">
                  <c:v>-9.1784338896020508</c:v>
                </c:pt>
                <c:pt idx="154">
                  <c:v>0.60328687330975705</c:v>
                </c:pt>
                <c:pt idx="155">
                  <c:v>1.9386106623586401</c:v>
                </c:pt>
                <c:pt idx="156" formatCode="#,##0.00_ ">
                  <c:v>8.3456062837506106</c:v>
                </c:pt>
                <c:pt idx="157" formatCode="#,##0.00_ ">
                  <c:v>-6.2320779965589796</c:v>
                </c:pt>
                <c:pt idx="158" formatCode="#,##0.00_ ">
                  <c:v>5.4468285781655297</c:v>
                </c:pt>
                <c:pt idx="159" formatCode="#,##0.00_ ">
                  <c:v>-8.6897356143079296</c:v>
                </c:pt>
                <c:pt idx="160" formatCode="#,##0.00_ ">
                  <c:v>-10.7760276603919</c:v>
                </c:pt>
                <c:pt idx="161" formatCode="#,##0.00_ ">
                  <c:v>-3.0899519340810202</c:v>
                </c:pt>
                <c:pt idx="162" formatCode="#,##0.00_ ">
                  <c:v>-7.0075757575757596</c:v>
                </c:pt>
                <c:pt idx="163" formatCode="#,##0.00_ ">
                  <c:v>-0.54656755574989102</c:v>
                </c:pt>
                <c:pt idx="164" formatCode="#,##0.00_ ">
                  <c:v>-8.7196242597508693</c:v>
                </c:pt>
                <c:pt idx="165" formatCode="#,##0.00_ ">
                  <c:v>14.2991755005889</c:v>
                </c:pt>
                <c:pt idx="166" formatCode="#,##0.00_ ">
                  <c:v>-1.0752688172042999</c:v>
                </c:pt>
                <c:pt idx="167" formatCode="#,##0.00_ ">
                  <c:v>-6.7919402309259702</c:v>
                </c:pt>
                <c:pt idx="168" formatCode="#,##0.00_ ">
                  <c:v>-3.2850022655187998</c:v>
                </c:pt>
                <c:pt idx="169" formatCode="#,##0.00_ ">
                  <c:v>4.8195718654434296</c:v>
                </c:pt>
              </c:numCache>
            </c:numRef>
          </c:val>
          <c:smooth val="0"/>
          <c:extLst xmlns:c16r2="http://schemas.microsoft.com/office/drawing/2015/06/chart">
            <c:ext xmlns:c16="http://schemas.microsoft.com/office/drawing/2014/chart" uri="{C3380CC4-5D6E-409C-BE32-E72D297353CC}">
              <c16:uniqueId val="{00000001-FD89-476F-B459-7E1C9448E628}"/>
            </c:ext>
          </c:extLst>
        </c:ser>
        <c:dLbls>
          <c:showLegendKey val="0"/>
          <c:showVal val="0"/>
          <c:showCatName val="0"/>
          <c:showSerName val="0"/>
          <c:showPercent val="0"/>
          <c:showBubbleSize val="0"/>
        </c:dLbls>
        <c:marker val="1"/>
        <c:smooth val="0"/>
        <c:axId val="379343616"/>
        <c:axId val="379345152"/>
      </c:lineChart>
      <c:catAx>
        <c:axId val="379343616"/>
        <c:scaling>
          <c:orientation val="minMax"/>
        </c:scaling>
        <c:delete val="0"/>
        <c:axPos val="b"/>
        <c:numFmt formatCode="General" sourceLinked="1"/>
        <c:majorTickMark val="out"/>
        <c:minorTickMark val="out"/>
        <c:tickLblPos val="low"/>
        <c:spPr>
          <a:noFill/>
          <a:ln w="12700" cap="flat" cmpd="sng" algn="ctr">
            <a:solidFill>
              <a:schemeClr val="tx1"/>
            </a:solidFill>
            <a:prstDash val="solid"/>
            <a:round/>
          </a:ln>
          <a:effectLst/>
        </c:spPr>
        <c:txPr>
          <a:bodyPr rot="0" spcFirstLastPara="1" vertOverflow="ellipsis" vert="horz" wrap="square" anchor="ctr" anchorCtr="1"/>
          <a:lstStyle/>
          <a:p>
            <a:pPr>
              <a:defRPr lang="zh-CN" sz="800" b="0" i="0" u="none" strike="noStrike" kern="1200" baseline="0">
                <a:solidFill>
                  <a:sysClr val="windowText" lastClr="000000"/>
                </a:solidFill>
                <a:latin typeface="Times New Roman" panose="02020603050405020304" charset="0"/>
                <a:ea typeface="楷体" panose="02010609060101010101" pitchFamily="3" charset="-122"/>
                <a:cs typeface="Times New Roman" panose="02020603050405020304" charset="0"/>
              </a:defRPr>
            </a:pPr>
            <a:endParaRPr lang="zh-CN"/>
          </a:p>
        </c:txPr>
        <c:crossAx val="379345152"/>
        <c:crosses val="autoZero"/>
        <c:auto val="1"/>
        <c:lblAlgn val="ctr"/>
        <c:lblOffset val="100"/>
        <c:tickLblSkip val="12"/>
        <c:tickMarkSkip val="3"/>
        <c:noMultiLvlLbl val="0"/>
      </c:catAx>
      <c:valAx>
        <c:axId val="379345152"/>
        <c:scaling>
          <c:orientation val="minMax"/>
        </c:scaling>
        <c:delete val="0"/>
        <c:axPos val="l"/>
        <c:title>
          <c:tx>
            <c:rich>
              <a:bodyPr rot="0" spcFirstLastPara="1" vertOverflow="ellipsis" vert="wordArtVertRtl" wrap="square" anchor="ctr" anchorCtr="1"/>
              <a:lstStyle/>
              <a:p>
                <a:pPr>
                  <a:defRPr lang="zh-CN" sz="900" b="0" i="0" u="none" strike="noStrike" kern="1200" baseline="0">
                    <a:solidFill>
                      <a:sysClr val="windowText" lastClr="000000"/>
                    </a:solidFill>
                    <a:latin typeface="Times New Roman" panose="02020603050405020304" charset="0"/>
                    <a:ea typeface="+mn-ea"/>
                    <a:cs typeface="Times New Roman" panose="02020603050405020304" charset="0"/>
                  </a:defRPr>
                </a:pPr>
                <a:r>
                  <a:rPr lang="en-US" altLang="zh-CN" sz="900">
                    <a:solidFill>
                      <a:sysClr val="windowText" lastClr="000000"/>
                    </a:solidFill>
                    <a:latin typeface="Times New Roman" panose="02020603050405020304" charset="0"/>
                    <a:cs typeface="Times New Roman" panose="02020603050405020304" charset="0"/>
                  </a:rPr>
                  <a:t>%</a:t>
                </a:r>
                <a:endParaRPr lang="zh-CN" altLang="en-US" sz="900">
                  <a:solidFill>
                    <a:sysClr val="windowText" lastClr="000000"/>
                  </a:solidFill>
                  <a:latin typeface="Times New Roman" panose="02020603050405020304" charset="0"/>
                  <a:cs typeface="Times New Roman" panose="02020603050405020304" charset="0"/>
                </a:endParaRPr>
              </a:p>
            </c:rich>
          </c:tx>
          <c:layout>
            <c:manualLayout>
              <c:xMode val="edge"/>
              <c:yMode val="edge"/>
              <c:x val="0.104363541666667"/>
              <c:y val="3.1874999999999998E-3"/>
            </c:manualLayout>
          </c:layout>
          <c:overlay val="0"/>
          <c:spPr>
            <a:noFill/>
            <a:ln w="25400">
              <a:noFill/>
            </a:ln>
          </c:spPr>
        </c:title>
        <c:numFmt formatCode="#,##0_ " sourceLinked="0"/>
        <c:majorTickMark val="out"/>
        <c:minorTickMark val="none"/>
        <c:tickLblPos val="nextTo"/>
        <c:spPr>
          <a:noFill/>
          <a:ln w="12700" cap="flat" cmpd="sng" algn="ctr">
            <a:solidFill>
              <a:schemeClr val="tx1"/>
            </a:solidFill>
            <a:prstDash val="solid"/>
            <a:round/>
          </a:ln>
          <a:effectLst/>
        </c:spPr>
        <c:txPr>
          <a:bodyPr rot="-60000000" spcFirstLastPara="1" vertOverflow="ellipsis" vert="horz" wrap="square" anchor="ctr" anchorCtr="1"/>
          <a:lstStyle/>
          <a:p>
            <a:pPr>
              <a:defRPr lang="zh-CN" sz="8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zh-CN"/>
          </a:p>
        </c:txPr>
        <c:crossAx val="379343616"/>
        <c:crosses val="autoZero"/>
        <c:crossBetween val="between"/>
      </c:valAx>
      <c:spPr>
        <a:noFill/>
        <a:ln w="25400">
          <a:noFill/>
        </a:ln>
      </c:spPr>
    </c:plotArea>
    <c:legend>
      <c:legendPos val="t"/>
      <c:layout>
        <c:manualLayout>
          <c:xMode val="edge"/>
          <c:yMode val="edge"/>
          <c:x val="0.10841676922273601"/>
          <c:y val="9.5207202534711904E-2"/>
          <c:w val="0.88900000000000001"/>
          <c:h val="8.18444444444444E-2"/>
        </c:manualLayout>
      </c:layout>
      <c:overlay val="0"/>
      <c:txPr>
        <a:bodyPr rot="0" spcFirstLastPara="0" vertOverflow="ellipsis" vert="horz" wrap="square" anchor="ctr" anchorCtr="1"/>
        <a:lstStyle/>
        <a:p>
          <a:pPr>
            <a:defRPr lang="zh-CN" sz="800" b="0" i="0" u="none" strike="noStrike" kern="1200" baseline="0">
              <a:solidFill>
                <a:schemeClr val="tx1"/>
              </a:solidFill>
              <a:latin typeface="楷体" panose="02010609060101010101" pitchFamily="3" charset="-122"/>
              <a:ea typeface="楷体" panose="02010609060101010101" pitchFamily="3" charset="-122"/>
              <a:cs typeface="+mn-cs"/>
            </a:defRPr>
          </a:pPr>
          <a:endParaRPr lang="zh-CN"/>
        </a:p>
      </c:txPr>
    </c:legend>
    <c:plotVisOnly val="1"/>
    <c:dispBlanksAs val="gap"/>
    <c:showDLblsOverMax val="0"/>
    <c:extLst xmlns:c16r2="http://schemas.microsoft.com/office/drawing/2015/06/chart">
      <c:ext uri="{0b15fc19-7d7d-44ad-8c2d-2c3a37ce22c3}">
        <chartProps xmlns="https://web.wps.cn/et/2018/main" chartId="{7d12c06e-c3a2-4e89-98a2-63c5b4bed0f9}"/>
      </c:ext>
    </c:extLst>
  </c:chart>
  <c:spPr>
    <a:solidFill>
      <a:srgbClr val="FFFFFF"/>
    </a:solidFill>
    <a:ln w="3175" cap="flat" cmpd="sng" algn="ctr">
      <a:solidFill>
        <a:srgbClr val="FFFFFF"/>
      </a:solidFill>
      <a:prstDash val="solid"/>
      <a:round/>
    </a:ln>
  </c:spPr>
  <c:txPr>
    <a:bodyPr/>
    <a:lstStyle/>
    <a:p>
      <a:pPr>
        <a:defRPr lang="zh-CN"/>
      </a:pPr>
      <a:endParaRPr lang="zh-CN"/>
    </a:p>
  </c:txPr>
  <c:externalData r:id="rId2">
    <c:autoUpdate val="0"/>
  </c:externalData>
  <c:userShapes r:id="rId3"/>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0071759259259306E-2"/>
          <c:y val="5.3668518518518497E-2"/>
          <c:w val="0.87563707648154199"/>
          <c:h val="0.74114444444444405"/>
        </c:manualLayout>
      </c:layout>
      <c:lineChart>
        <c:grouping val="standard"/>
        <c:varyColors val="0"/>
        <c:ser>
          <c:idx val="1"/>
          <c:order val="0"/>
          <c:tx>
            <c:strRef>
              <c:f>美国钻井数!$L$5</c:f>
              <c:strCache>
                <c:ptCount val="1"/>
                <c:pt idx="0">
                  <c:v>美国原油净进口需求</c:v>
                </c:pt>
              </c:strCache>
            </c:strRef>
          </c:tx>
          <c:spPr>
            <a:ln w="22225" cap="rnd" cmpd="sng" algn="ctr">
              <a:solidFill>
                <a:srgbClr val="106D9C"/>
              </a:solidFill>
              <a:prstDash val="solid"/>
              <a:round/>
            </a:ln>
            <a:effectLst/>
          </c:spPr>
          <c:marker>
            <c:symbol val="none"/>
          </c:marker>
          <c:cat>
            <c:strRef>
              <c:f>美国钻井数!$K$6:$K$152</c:f>
              <c:strCache>
                <c:ptCount val="147"/>
                <c:pt idx="0">
                  <c:v>1月
2013</c:v>
                </c:pt>
                <c:pt idx="1">
                  <c:v>2月</c:v>
                </c:pt>
                <c:pt idx="2">
                  <c:v>3月</c:v>
                </c:pt>
                <c:pt idx="3">
                  <c:v>4月</c:v>
                </c:pt>
                <c:pt idx="4">
                  <c:v>5月</c:v>
                </c:pt>
                <c:pt idx="5">
                  <c:v>6月</c:v>
                </c:pt>
                <c:pt idx="6">
                  <c:v>7月</c:v>
                </c:pt>
                <c:pt idx="7">
                  <c:v>8月</c:v>
                </c:pt>
                <c:pt idx="8">
                  <c:v>9月</c:v>
                </c:pt>
                <c:pt idx="9">
                  <c:v>10月</c:v>
                </c:pt>
                <c:pt idx="10">
                  <c:v>11月</c:v>
                </c:pt>
                <c:pt idx="11">
                  <c:v>12月</c:v>
                </c:pt>
                <c:pt idx="12">
                  <c:v>1月
2014</c:v>
                </c:pt>
                <c:pt idx="13">
                  <c:v>2月</c:v>
                </c:pt>
                <c:pt idx="14">
                  <c:v>3月</c:v>
                </c:pt>
                <c:pt idx="15">
                  <c:v>4月</c:v>
                </c:pt>
                <c:pt idx="16">
                  <c:v>5月</c:v>
                </c:pt>
                <c:pt idx="17">
                  <c:v>6月</c:v>
                </c:pt>
                <c:pt idx="18">
                  <c:v>7月</c:v>
                </c:pt>
                <c:pt idx="19">
                  <c:v>8月</c:v>
                </c:pt>
                <c:pt idx="20">
                  <c:v>9月</c:v>
                </c:pt>
                <c:pt idx="21">
                  <c:v>10月</c:v>
                </c:pt>
                <c:pt idx="22">
                  <c:v>11月</c:v>
                </c:pt>
                <c:pt idx="23">
                  <c:v>12月</c:v>
                </c:pt>
                <c:pt idx="24">
                  <c:v>1月
2015</c:v>
                </c:pt>
                <c:pt idx="25">
                  <c:v>2月</c:v>
                </c:pt>
                <c:pt idx="26">
                  <c:v>3月</c:v>
                </c:pt>
                <c:pt idx="27">
                  <c:v>4月</c:v>
                </c:pt>
                <c:pt idx="28">
                  <c:v>5月</c:v>
                </c:pt>
                <c:pt idx="29">
                  <c:v>6月</c:v>
                </c:pt>
                <c:pt idx="30">
                  <c:v>7月</c:v>
                </c:pt>
                <c:pt idx="31">
                  <c:v>8月</c:v>
                </c:pt>
                <c:pt idx="32">
                  <c:v>9月</c:v>
                </c:pt>
                <c:pt idx="33">
                  <c:v>10月</c:v>
                </c:pt>
                <c:pt idx="34">
                  <c:v>11月</c:v>
                </c:pt>
                <c:pt idx="35">
                  <c:v>12月</c:v>
                </c:pt>
                <c:pt idx="36">
                  <c:v>1月
2016</c:v>
                </c:pt>
                <c:pt idx="37">
                  <c:v>2月</c:v>
                </c:pt>
                <c:pt idx="38">
                  <c:v>3月</c:v>
                </c:pt>
                <c:pt idx="39">
                  <c:v>4月</c:v>
                </c:pt>
                <c:pt idx="40">
                  <c:v>5月</c:v>
                </c:pt>
                <c:pt idx="41">
                  <c:v>6月</c:v>
                </c:pt>
                <c:pt idx="42">
                  <c:v>7月</c:v>
                </c:pt>
                <c:pt idx="43">
                  <c:v>8月</c:v>
                </c:pt>
                <c:pt idx="44">
                  <c:v>9月</c:v>
                </c:pt>
                <c:pt idx="45">
                  <c:v>10月</c:v>
                </c:pt>
                <c:pt idx="46">
                  <c:v>11月</c:v>
                </c:pt>
                <c:pt idx="47">
                  <c:v>12月</c:v>
                </c:pt>
                <c:pt idx="48">
                  <c:v>1月
2017</c:v>
                </c:pt>
                <c:pt idx="49">
                  <c:v>2月</c:v>
                </c:pt>
                <c:pt idx="50">
                  <c:v>3月</c:v>
                </c:pt>
                <c:pt idx="51">
                  <c:v>4月</c:v>
                </c:pt>
                <c:pt idx="52">
                  <c:v>5月</c:v>
                </c:pt>
                <c:pt idx="53">
                  <c:v>6月</c:v>
                </c:pt>
                <c:pt idx="54">
                  <c:v>7月</c:v>
                </c:pt>
                <c:pt idx="55">
                  <c:v>8月</c:v>
                </c:pt>
                <c:pt idx="56">
                  <c:v>9月</c:v>
                </c:pt>
                <c:pt idx="57">
                  <c:v>10月</c:v>
                </c:pt>
                <c:pt idx="58">
                  <c:v>11月</c:v>
                </c:pt>
                <c:pt idx="59">
                  <c:v>12月</c:v>
                </c:pt>
                <c:pt idx="60">
                  <c:v>1月
2018</c:v>
                </c:pt>
                <c:pt idx="61">
                  <c:v>2月</c:v>
                </c:pt>
                <c:pt idx="62">
                  <c:v>3月</c:v>
                </c:pt>
                <c:pt idx="63">
                  <c:v>4月</c:v>
                </c:pt>
                <c:pt idx="64">
                  <c:v>5月</c:v>
                </c:pt>
                <c:pt idx="65">
                  <c:v>6月</c:v>
                </c:pt>
                <c:pt idx="66">
                  <c:v>7月</c:v>
                </c:pt>
                <c:pt idx="67">
                  <c:v>8月</c:v>
                </c:pt>
                <c:pt idx="68">
                  <c:v>9月</c:v>
                </c:pt>
                <c:pt idx="69">
                  <c:v>10月</c:v>
                </c:pt>
                <c:pt idx="70">
                  <c:v>11月</c:v>
                </c:pt>
                <c:pt idx="71">
                  <c:v>12月</c:v>
                </c:pt>
                <c:pt idx="72">
                  <c:v>1月
2019</c:v>
                </c:pt>
                <c:pt idx="73">
                  <c:v>2月</c:v>
                </c:pt>
                <c:pt idx="74">
                  <c:v>3月</c:v>
                </c:pt>
                <c:pt idx="75">
                  <c:v>4月</c:v>
                </c:pt>
                <c:pt idx="76">
                  <c:v>5月</c:v>
                </c:pt>
                <c:pt idx="77">
                  <c:v>6月</c:v>
                </c:pt>
                <c:pt idx="78">
                  <c:v>7月</c:v>
                </c:pt>
                <c:pt idx="79">
                  <c:v>8月</c:v>
                </c:pt>
                <c:pt idx="80">
                  <c:v>9月</c:v>
                </c:pt>
                <c:pt idx="81">
                  <c:v>10月</c:v>
                </c:pt>
                <c:pt idx="82">
                  <c:v>11月</c:v>
                </c:pt>
                <c:pt idx="83">
                  <c:v>12月</c:v>
                </c:pt>
                <c:pt idx="84">
                  <c:v>1月
2020</c:v>
                </c:pt>
                <c:pt idx="85">
                  <c:v>2月</c:v>
                </c:pt>
                <c:pt idx="86">
                  <c:v>3月</c:v>
                </c:pt>
                <c:pt idx="87">
                  <c:v>4月</c:v>
                </c:pt>
                <c:pt idx="88">
                  <c:v>5月</c:v>
                </c:pt>
                <c:pt idx="89">
                  <c:v>6月</c:v>
                </c:pt>
                <c:pt idx="90">
                  <c:v>7月</c:v>
                </c:pt>
                <c:pt idx="91">
                  <c:v>8月</c:v>
                </c:pt>
                <c:pt idx="92">
                  <c:v>9月</c:v>
                </c:pt>
                <c:pt idx="93">
                  <c:v>10月</c:v>
                </c:pt>
                <c:pt idx="94">
                  <c:v>11月</c:v>
                </c:pt>
                <c:pt idx="95">
                  <c:v>12月</c:v>
                </c:pt>
                <c:pt idx="96">
                  <c:v>1月
2021</c:v>
                </c:pt>
                <c:pt idx="97">
                  <c:v>2月</c:v>
                </c:pt>
                <c:pt idx="98">
                  <c:v>3月</c:v>
                </c:pt>
                <c:pt idx="99">
                  <c:v>4月</c:v>
                </c:pt>
                <c:pt idx="100">
                  <c:v>5月</c:v>
                </c:pt>
                <c:pt idx="101">
                  <c:v>6月</c:v>
                </c:pt>
                <c:pt idx="102">
                  <c:v>7月</c:v>
                </c:pt>
                <c:pt idx="103">
                  <c:v>8月</c:v>
                </c:pt>
                <c:pt idx="104">
                  <c:v>9月</c:v>
                </c:pt>
                <c:pt idx="105">
                  <c:v>10月</c:v>
                </c:pt>
                <c:pt idx="106">
                  <c:v>11月</c:v>
                </c:pt>
                <c:pt idx="107">
                  <c:v>12月</c:v>
                </c:pt>
                <c:pt idx="108">
                  <c:v>1月
2022</c:v>
                </c:pt>
                <c:pt idx="109">
                  <c:v>2月</c:v>
                </c:pt>
                <c:pt idx="110">
                  <c:v>3月</c:v>
                </c:pt>
                <c:pt idx="111">
                  <c:v>4月</c:v>
                </c:pt>
                <c:pt idx="112">
                  <c:v>5月</c:v>
                </c:pt>
                <c:pt idx="113">
                  <c:v>6月</c:v>
                </c:pt>
                <c:pt idx="114">
                  <c:v>7月</c:v>
                </c:pt>
                <c:pt idx="115">
                  <c:v>8月</c:v>
                </c:pt>
                <c:pt idx="116">
                  <c:v>9月</c:v>
                </c:pt>
                <c:pt idx="117">
                  <c:v>10月</c:v>
                </c:pt>
                <c:pt idx="118">
                  <c:v>11月</c:v>
                </c:pt>
                <c:pt idx="119">
                  <c:v>12月</c:v>
                </c:pt>
                <c:pt idx="120">
                  <c:v>1月
2023</c:v>
                </c:pt>
                <c:pt idx="121">
                  <c:v>2月</c:v>
                </c:pt>
                <c:pt idx="122">
                  <c:v>3月
2023</c:v>
                </c:pt>
                <c:pt idx="123">
                  <c:v>4月
2023</c:v>
                </c:pt>
                <c:pt idx="124">
                  <c:v>5月</c:v>
                </c:pt>
                <c:pt idx="125">
                  <c:v>6月</c:v>
                </c:pt>
                <c:pt idx="126">
                  <c:v>7月</c:v>
                </c:pt>
                <c:pt idx="127">
                  <c:v>8月</c:v>
                </c:pt>
                <c:pt idx="128">
                  <c:v>9月</c:v>
                </c:pt>
                <c:pt idx="129">
                  <c:v>10月</c:v>
                </c:pt>
                <c:pt idx="130">
                  <c:v>11月</c:v>
                </c:pt>
                <c:pt idx="131">
                  <c:v>12月</c:v>
                </c:pt>
                <c:pt idx="132">
                  <c:v>1月
2024</c:v>
                </c:pt>
                <c:pt idx="133">
                  <c:v>2月</c:v>
                </c:pt>
                <c:pt idx="134">
                  <c:v>3月</c:v>
                </c:pt>
                <c:pt idx="135">
                  <c:v>4月</c:v>
                </c:pt>
                <c:pt idx="136">
                  <c:v>5月</c:v>
                </c:pt>
                <c:pt idx="137">
                  <c:v>6月</c:v>
                </c:pt>
                <c:pt idx="138">
                  <c:v>7月</c:v>
                </c:pt>
                <c:pt idx="139">
                  <c:v>8月</c:v>
                </c:pt>
                <c:pt idx="140">
                  <c:v>9月</c:v>
                </c:pt>
                <c:pt idx="141">
                  <c:v>10月</c:v>
                </c:pt>
                <c:pt idx="142">
                  <c:v>11月</c:v>
                </c:pt>
                <c:pt idx="143">
                  <c:v>12月</c:v>
                </c:pt>
                <c:pt idx="144">
                  <c:v>1月</c:v>
                </c:pt>
                <c:pt idx="145">
                  <c:v>2月</c:v>
                </c:pt>
                <c:pt idx="146">
                  <c:v>3月</c:v>
                </c:pt>
              </c:strCache>
            </c:strRef>
          </c:cat>
          <c:val>
            <c:numRef>
              <c:f>美国钻井数!$L$6:$L$133</c:f>
              <c:numCache>
                <c:formatCode>###,###,###,###,##0.00</c:formatCode>
                <c:ptCount val="128"/>
                <c:pt idx="0">
                  <c:v>7878</c:v>
                </c:pt>
                <c:pt idx="1">
                  <c:v>7582</c:v>
                </c:pt>
                <c:pt idx="2">
                  <c:v>7676</c:v>
                </c:pt>
                <c:pt idx="3">
                  <c:v>7659</c:v>
                </c:pt>
                <c:pt idx="4">
                  <c:v>7652</c:v>
                </c:pt>
                <c:pt idx="5">
                  <c:v>7949</c:v>
                </c:pt>
                <c:pt idx="6">
                  <c:v>7973</c:v>
                </c:pt>
                <c:pt idx="7">
                  <c:v>8033</c:v>
                </c:pt>
                <c:pt idx="8">
                  <c:v>7812</c:v>
                </c:pt>
                <c:pt idx="9">
                  <c:v>7361</c:v>
                </c:pt>
                <c:pt idx="10">
                  <c:v>7184</c:v>
                </c:pt>
                <c:pt idx="11">
                  <c:v>7569</c:v>
                </c:pt>
                <c:pt idx="12">
                  <c:v>7339</c:v>
                </c:pt>
                <c:pt idx="13">
                  <c:v>6960</c:v>
                </c:pt>
                <c:pt idx="14">
                  <c:v>7018</c:v>
                </c:pt>
                <c:pt idx="15">
                  <c:v>7279</c:v>
                </c:pt>
                <c:pt idx="16">
                  <c:v>6877</c:v>
                </c:pt>
                <c:pt idx="17">
                  <c:v>6658</c:v>
                </c:pt>
                <c:pt idx="18">
                  <c:v>7222</c:v>
                </c:pt>
                <c:pt idx="19">
                  <c:v>7082</c:v>
                </c:pt>
                <c:pt idx="20">
                  <c:v>7159</c:v>
                </c:pt>
                <c:pt idx="21">
                  <c:v>6754</c:v>
                </c:pt>
                <c:pt idx="22">
                  <c:v>6772</c:v>
                </c:pt>
                <c:pt idx="23">
                  <c:v>6767</c:v>
                </c:pt>
                <c:pt idx="24">
                  <c:v>6659</c:v>
                </c:pt>
                <c:pt idx="25">
                  <c:v>6681</c:v>
                </c:pt>
                <c:pt idx="26">
                  <c:v>7157</c:v>
                </c:pt>
                <c:pt idx="27">
                  <c:v>6622</c:v>
                </c:pt>
                <c:pt idx="28">
                  <c:v>6714</c:v>
                </c:pt>
                <c:pt idx="29">
                  <c:v>6873</c:v>
                </c:pt>
                <c:pt idx="30">
                  <c:v>6805</c:v>
                </c:pt>
                <c:pt idx="31">
                  <c:v>7177</c:v>
                </c:pt>
                <c:pt idx="32">
                  <c:v>6813</c:v>
                </c:pt>
                <c:pt idx="33">
                  <c:v>6621</c:v>
                </c:pt>
                <c:pt idx="34">
                  <c:v>7051</c:v>
                </c:pt>
                <c:pt idx="35">
                  <c:v>7508</c:v>
                </c:pt>
                <c:pt idx="36">
                  <c:v>7311</c:v>
                </c:pt>
                <c:pt idx="37">
                  <c:v>7536</c:v>
                </c:pt>
                <c:pt idx="38">
                  <c:v>7534</c:v>
                </c:pt>
                <c:pt idx="39">
                  <c:v>7046</c:v>
                </c:pt>
                <c:pt idx="40">
                  <c:v>7284</c:v>
                </c:pt>
                <c:pt idx="41">
                  <c:v>7228</c:v>
                </c:pt>
                <c:pt idx="42">
                  <c:v>7618</c:v>
                </c:pt>
                <c:pt idx="43">
                  <c:v>7378</c:v>
                </c:pt>
                <c:pt idx="44">
                  <c:v>7365</c:v>
                </c:pt>
                <c:pt idx="45">
                  <c:v>7116</c:v>
                </c:pt>
                <c:pt idx="46">
                  <c:v>7457</c:v>
                </c:pt>
                <c:pt idx="47">
                  <c:v>7418</c:v>
                </c:pt>
                <c:pt idx="48">
                  <c:v>7689</c:v>
                </c:pt>
                <c:pt idx="49">
                  <c:v>6774</c:v>
                </c:pt>
                <c:pt idx="50">
                  <c:v>7214</c:v>
                </c:pt>
                <c:pt idx="51">
                  <c:v>7130</c:v>
                </c:pt>
                <c:pt idx="52">
                  <c:v>7374</c:v>
                </c:pt>
                <c:pt idx="53">
                  <c:v>7224</c:v>
                </c:pt>
                <c:pt idx="54">
                  <c:v>6932</c:v>
                </c:pt>
                <c:pt idx="55">
                  <c:v>7118</c:v>
                </c:pt>
                <c:pt idx="56">
                  <c:v>5802</c:v>
                </c:pt>
                <c:pt idx="57">
                  <c:v>5880</c:v>
                </c:pt>
                <c:pt idx="58">
                  <c:v>6089</c:v>
                </c:pt>
                <c:pt idx="59">
                  <c:v>6267</c:v>
                </c:pt>
                <c:pt idx="60">
                  <c:v>6670</c:v>
                </c:pt>
                <c:pt idx="61">
                  <c:v>5888</c:v>
                </c:pt>
                <c:pt idx="62">
                  <c:v>5945</c:v>
                </c:pt>
                <c:pt idx="63">
                  <c:v>6488</c:v>
                </c:pt>
                <c:pt idx="64">
                  <c:v>5820</c:v>
                </c:pt>
                <c:pt idx="65">
                  <c:v>6280</c:v>
                </c:pt>
                <c:pt idx="66">
                  <c:v>5784</c:v>
                </c:pt>
                <c:pt idx="67">
                  <c:v>6251</c:v>
                </c:pt>
                <c:pt idx="68">
                  <c:v>5473</c:v>
                </c:pt>
                <c:pt idx="69">
                  <c:v>4986</c:v>
                </c:pt>
                <c:pt idx="70">
                  <c:v>5577</c:v>
                </c:pt>
                <c:pt idx="71">
                  <c:v>4588</c:v>
                </c:pt>
                <c:pt idx="72">
                  <c:v>4945</c:v>
                </c:pt>
                <c:pt idx="73">
                  <c:v>3662</c:v>
                </c:pt>
                <c:pt idx="74">
                  <c:v>4075</c:v>
                </c:pt>
                <c:pt idx="75">
                  <c:v>4182</c:v>
                </c:pt>
                <c:pt idx="76">
                  <c:v>4258</c:v>
                </c:pt>
                <c:pt idx="77">
                  <c:v>4020</c:v>
                </c:pt>
                <c:pt idx="78">
                  <c:v>4241</c:v>
                </c:pt>
                <c:pt idx="79">
                  <c:v>4217</c:v>
                </c:pt>
                <c:pt idx="80">
                  <c:v>3386</c:v>
                </c:pt>
                <c:pt idx="81">
                  <c:v>2860</c:v>
                </c:pt>
                <c:pt idx="82">
                  <c:v>2793</c:v>
                </c:pt>
                <c:pt idx="83">
                  <c:v>3162</c:v>
                </c:pt>
                <c:pt idx="84">
                  <c:v>3157</c:v>
                </c:pt>
                <c:pt idx="85">
                  <c:v>2811</c:v>
                </c:pt>
                <c:pt idx="86">
                  <c:v>2739</c:v>
                </c:pt>
                <c:pt idx="87">
                  <c:v>2443</c:v>
                </c:pt>
                <c:pt idx="88">
                  <c:v>3158</c:v>
                </c:pt>
                <c:pt idx="89">
                  <c:v>3644</c:v>
                </c:pt>
                <c:pt idx="90">
                  <c:v>2639</c:v>
                </c:pt>
                <c:pt idx="91">
                  <c:v>2134</c:v>
                </c:pt>
                <c:pt idx="92">
                  <c:v>2160</c:v>
                </c:pt>
                <c:pt idx="93">
                  <c:v>2358</c:v>
                </c:pt>
                <c:pt idx="94">
                  <c:v>2844</c:v>
                </c:pt>
                <c:pt idx="95">
                  <c:v>2342</c:v>
                </c:pt>
                <c:pt idx="96">
                  <c:v>2618</c:v>
                </c:pt>
                <c:pt idx="97">
                  <c:v>2886</c:v>
                </c:pt>
                <c:pt idx="98">
                  <c:v>3102</c:v>
                </c:pt>
                <c:pt idx="99">
                  <c:v>2536</c:v>
                </c:pt>
                <c:pt idx="100">
                  <c:v>3090</c:v>
                </c:pt>
                <c:pt idx="101">
                  <c:v>3250</c:v>
                </c:pt>
                <c:pt idx="102">
                  <c:v>3700</c:v>
                </c:pt>
                <c:pt idx="103">
                  <c:v>3240</c:v>
                </c:pt>
                <c:pt idx="104">
                  <c:v>3860</c:v>
                </c:pt>
                <c:pt idx="105">
                  <c:v>3070</c:v>
                </c:pt>
                <c:pt idx="106">
                  <c:v>3220</c:v>
                </c:pt>
                <c:pt idx="107">
                  <c:v>2970</c:v>
                </c:pt>
                <c:pt idx="108">
                  <c:v>3040</c:v>
                </c:pt>
                <c:pt idx="109">
                  <c:v>2850</c:v>
                </c:pt>
                <c:pt idx="110">
                  <c:v>3100</c:v>
                </c:pt>
                <c:pt idx="111">
                  <c:v>2820</c:v>
                </c:pt>
                <c:pt idx="112">
                  <c:v>2720</c:v>
                </c:pt>
                <c:pt idx="113">
                  <c:v>2900</c:v>
                </c:pt>
                <c:pt idx="114">
                  <c:v>2810</c:v>
                </c:pt>
                <c:pt idx="115">
                  <c:v>2680</c:v>
                </c:pt>
                <c:pt idx="116">
                  <c:v>2760</c:v>
                </c:pt>
                <c:pt idx="117">
                  <c:v>2090</c:v>
                </c:pt>
                <c:pt idx="118">
                  <c:v>2200</c:v>
                </c:pt>
                <c:pt idx="119">
                  <c:v>2140</c:v>
                </c:pt>
                <c:pt idx="120">
                  <c:v>2760</c:v>
                </c:pt>
                <c:pt idx="121">
                  <c:v>2600</c:v>
                </c:pt>
                <c:pt idx="122">
                  <c:v>1490</c:v>
                </c:pt>
                <c:pt idx="123">
                  <c:v>2190</c:v>
                </c:pt>
                <c:pt idx="124">
                  <c:v>2680</c:v>
                </c:pt>
                <c:pt idx="125">
                  <c:v>2670</c:v>
                </c:pt>
                <c:pt idx="126">
                  <c:v>2450</c:v>
                </c:pt>
                <c:pt idx="127">
                  <c:v>2880</c:v>
                </c:pt>
              </c:numCache>
            </c:numRef>
          </c:val>
          <c:smooth val="0"/>
          <c:extLst xmlns:c16r2="http://schemas.microsoft.com/office/drawing/2015/06/chart">
            <c:ext xmlns:c16="http://schemas.microsoft.com/office/drawing/2014/chart" uri="{C3380CC4-5D6E-409C-BE32-E72D297353CC}">
              <c16:uniqueId val="{00000000-7707-41BE-A7C1-FE892B917DA8}"/>
            </c:ext>
          </c:extLst>
        </c:ser>
        <c:ser>
          <c:idx val="0"/>
          <c:order val="1"/>
          <c:tx>
            <c:strRef>
              <c:f>美国钻井数!$L$5</c:f>
              <c:strCache>
                <c:ptCount val="1"/>
                <c:pt idx="0">
                  <c:v>美国原油净进口需求</c:v>
                </c:pt>
              </c:strCache>
            </c:strRef>
          </c:tx>
          <c:spPr>
            <a:ln w="22225" cap="rnd" cmpd="sng" algn="ctr">
              <a:solidFill>
                <a:srgbClr val="106D9C"/>
              </a:solidFill>
              <a:prstDash val="solid"/>
              <a:round/>
            </a:ln>
            <a:effectLst/>
          </c:spPr>
          <c:marker>
            <c:symbol val="none"/>
          </c:marker>
          <c:cat>
            <c:strRef>
              <c:f>美国钻井数!$K$6:$K$152</c:f>
              <c:strCache>
                <c:ptCount val="147"/>
                <c:pt idx="0">
                  <c:v>1月
2013</c:v>
                </c:pt>
                <c:pt idx="1">
                  <c:v>2月</c:v>
                </c:pt>
                <c:pt idx="2">
                  <c:v>3月</c:v>
                </c:pt>
                <c:pt idx="3">
                  <c:v>4月</c:v>
                </c:pt>
                <c:pt idx="4">
                  <c:v>5月</c:v>
                </c:pt>
                <c:pt idx="5">
                  <c:v>6月</c:v>
                </c:pt>
                <c:pt idx="6">
                  <c:v>7月</c:v>
                </c:pt>
                <c:pt idx="7">
                  <c:v>8月</c:v>
                </c:pt>
                <c:pt idx="8">
                  <c:v>9月</c:v>
                </c:pt>
                <c:pt idx="9">
                  <c:v>10月</c:v>
                </c:pt>
                <c:pt idx="10">
                  <c:v>11月</c:v>
                </c:pt>
                <c:pt idx="11">
                  <c:v>12月</c:v>
                </c:pt>
                <c:pt idx="12">
                  <c:v>1月
2014</c:v>
                </c:pt>
                <c:pt idx="13">
                  <c:v>2月</c:v>
                </c:pt>
                <c:pt idx="14">
                  <c:v>3月</c:v>
                </c:pt>
                <c:pt idx="15">
                  <c:v>4月</c:v>
                </c:pt>
                <c:pt idx="16">
                  <c:v>5月</c:v>
                </c:pt>
                <c:pt idx="17">
                  <c:v>6月</c:v>
                </c:pt>
                <c:pt idx="18">
                  <c:v>7月</c:v>
                </c:pt>
                <c:pt idx="19">
                  <c:v>8月</c:v>
                </c:pt>
                <c:pt idx="20">
                  <c:v>9月</c:v>
                </c:pt>
                <c:pt idx="21">
                  <c:v>10月</c:v>
                </c:pt>
                <c:pt idx="22">
                  <c:v>11月</c:v>
                </c:pt>
                <c:pt idx="23">
                  <c:v>12月</c:v>
                </c:pt>
                <c:pt idx="24">
                  <c:v>1月
2015</c:v>
                </c:pt>
                <c:pt idx="25">
                  <c:v>2月</c:v>
                </c:pt>
                <c:pt idx="26">
                  <c:v>3月</c:v>
                </c:pt>
                <c:pt idx="27">
                  <c:v>4月</c:v>
                </c:pt>
                <c:pt idx="28">
                  <c:v>5月</c:v>
                </c:pt>
                <c:pt idx="29">
                  <c:v>6月</c:v>
                </c:pt>
                <c:pt idx="30">
                  <c:v>7月</c:v>
                </c:pt>
                <c:pt idx="31">
                  <c:v>8月</c:v>
                </c:pt>
                <c:pt idx="32">
                  <c:v>9月</c:v>
                </c:pt>
                <c:pt idx="33">
                  <c:v>10月</c:v>
                </c:pt>
                <c:pt idx="34">
                  <c:v>11月</c:v>
                </c:pt>
                <c:pt idx="35">
                  <c:v>12月</c:v>
                </c:pt>
                <c:pt idx="36">
                  <c:v>1月
2016</c:v>
                </c:pt>
                <c:pt idx="37">
                  <c:v>2月</c:v>
                </c:pt>
                <c:pt idx="38">
                  <c:v>3月</c:v>
                </c:pt>
                <c:pt idx="39">
                  <c:v>4月</c:v>
                </c:pt>
                <c:pt idx="40">
                  <c:v>5月</c:v>
                </c:pt>
                <c:pt idx="41">
                  <c:v>6月</c:v>
                </c:pt>
                <c:pt idx="42">
                  <c:v>7月</c:v>
                </c:pt>
                <c:pt idx="43">
                  <c:v>8月</c:v>
                </c:pt>
                <c:pt idx="44">
                  <c:v>9月</c:v>
                </c:pt>
                <c:pt idx="45">
                  <c:v>10月</c:v>
                </c:pt>
                <c:pt idx="46">
                  <c:v>11月</c:v>
                </c:pt>
                <c:pt idx="47">
                  <c:v>12月</c:v>
                </c:pt>
                <c:pt idx="48">
                  <c:v>1月
2017</c:v>
                </c:pt>
                <c:pt idx="49">
                  <c:v>2月</c:v>
                </c:pt>
                <c:pt idx="50">
                  <c:v>3月</c:v>
                </c:pt>
                <c:pt idx="51">
                  <c:v>4月</c:v>
                </c:pt>
                <c:pt idx="52">
                  <c:v>5月</c:v>
                </c:pt>
                <c:pt idx="53">
                  <c:v>6月</c:v>
                </c:pt>
                <c:pt idx="54">
                  <c:v>7月</c:v>
                </c:pt>
                <c:pt idx="55">
                  <c:v>8月</c:v>
                </c:pt>
                <c:pt idx="56">
                  <c:v>9月</c:v>
                </c:pt>
                <c:pt idx="57">
                  <c:v>10月</c:v>
                </c:pt>
                <c:pt idx="58">
                  <c:v>11月</c:v>
                </c:pt>
                <c:pt idx="59">
                  <c:v>12月</c:v>
                </c:pt>
                <c:pt idx="60">
                  <c:v>1月
2018</c:v>
                </c:pt>
                <c:pt idx="61">
                  <c:v>2月</c:v>
                </c:pt>
                <c:pt idx="62">
                  <c:v>3月</c:v>
                </c:pt>
                <c:pt idx="63">
                  <c:v>4月</c:v>
                </c:pt>
                <c:pt idx="64">
                  <c:v>5月</c:v>
                </c:pt>
                <c:pt idx="65">
                  <c:v>6月</c:v>
                </c:pt>
                <c:pt idx="66">
                  <c:v>7月</c:v>
                </c:pt>
                <c:pt idx="67">
                  <c:v>8月</c:v>
                </c:pt>
                <c:pt idx="68">
                  <c:v>9月</c:v>
                </c:pt>
                <c:pt idx="69">
                  <c:v>10月</c:v>
                </c:pt>
                <c:pt idx="70">
                  <c:v>11月</c:v>
                </c:pt>
                <c:pt idx="71">
                  <c:v>12月</c:v>
                </c:pt>
                <c:pt idx="72">
                  <c:v>1月
2019</c:v>
                </c:pt>
                <c:pt idx="73">
                  <c:v>2月</c:v>
                </c:pt>
                <c:pt idx="74">
                  <c:v>3月</c:v>
                </c:pt>
                <c:pt idx="75">
                  <c:v>4月</c:v>
                </c:pt>
                <c:pt idx="76">
                  <c:v>5月</c:v>
                </c:pt>
                <c:pt idx="77">
                  <c:v>6月</c:v>
                </c:pt>
                <c:pt idx="78">
                  <c:v>7月</c:v>
                </c:pt>
                <c:pt idx="79">
                  <c:v>8月</c:v>
                </c:pt>
                <c:pt idx="80">
                  <c:v>9月</c:v>
                </c:pt>
                <c:pt idx="81">
                  <c:v>10月</c:v>
                </c:pt>
                <c:pt idx="82">
                  <c:v>11月</c:v>
                </c:pt>
                <c:pt idx="83">
                  <c:v>12月</c:v>
                </c:pt>
                <c:pt idx="84">
                  <c:v>1月
2020</c:v>
                </c:pt>
                <c:pt idx="85">
                  <c:v>2月</c:v>
                </c:pt>
                <c:pt idx="86">
                  <c:v>3月</c:v>
                </c:pt>
                <c:pt idx="87">
                  <c:v>4月</c:v>
                </c:pt>
                <c:pt idx="88">
                  <c:v>5月</c:v>
                </c:pt>
                <c:pt idx="89">
                  <c:v>6月</c:v>
                </c:pt>
                <c:pt idx="90">
                  <c:v>7月</c:v>
                </c:pt>
                <c:pt idx="91">
                  <c:v>8月</c:v>
                </c:pt>
                <c:pt idx="92">
                  <c:v>9月</c:v>
                </c:pt>
                <c:pt idx="93">
                  <c:v>10月</c:v>
                </c:pt>
                <c:pt idx="94">
                  <c:v>11月</c:v>
                </c:pt>
                <c:pt idx="95">
                  <c:v>12月</c:v>
                </c:pt>
                <c:pt idx="96">
                  <c:v>1月
2021</c:v>
                </c:pt>
                <c:pt idx="97">
                  <c:v>2月</c:v>
                </c:pt>
                <c:pt idx="98">
                  <c:v>3月</c:v>
                </c:pt>
                <c:pt idx="99">
                  <c:v>4月</c:v>
                </c:pt>
                <c:pt idx="100">
                  <c:v>5月</c:v>
                </c:pt>
                <c:pt idx="101">
                  <c:v>6月</c:v>
                </c:pt>
                <c:pt idx="102">
                  <c:v>7月</c:v>
                </c:pt>
                <c:pt idx="103">
                  <c:v>8月</c:v>
                </c:pt>
                <c:pt idx="104">
                  <c:v>9月</c:v>
                </c:pt>
                <c:pt idx="105">
                  <c:v>10月</c:v>
                </c:pt>
                <c:pt idx="106">
                  <c:v>11月</c:v>
                </c:pt>
                <c:pt idx="107">
                  <c:v>12月</c:v>
                </c:pt>
                <c:pt idx="108">
                  <c:v>1月
2022</c:v>
                </c:pt>
                <c:pt idx="109">
                  <c:v>2月</c:v>
                </c:pt>
                <c:pt idx="110">
                  <c:v>3月</c:v>
                </c:pt>
                <c:pt idx="111">
                  <c:v>4月</c:v>
                </c:pt>
                <c:pt idx="112">
                  <c:v>5月</c:v>
                </c:pt>
                <c:pt idx="113">
                  <c:v>6月</c:v>
                </c:pt>
                <c:pt idx="114">
                  <c:v>7月</c:v>
                </c:pt>
                <c:pt idx="115">
                  <c:v>8月</c:v>
                </c:pt>
                <c:pt idx="116">
                  <c:v>9月</c:v>
                </c:pt>
                <c:pt idx="117">
                  <c:v>10月</c:v>
                </c:pt>
                <c:pt idx="118">
                  <c:v>11月</c:v>
                </c:pt>
                <c:pt idx="119">
                  <c:v>12月</c:v>
                </c:pt>
                <c:pt idx="120">
                  <c:v>1月
2023</c:v>
                </c:pt>
                <c:pt idx="121">
                  <c:v>2月</c:v>
                </c:pt>
                <c:pt idx="122">
                  <c:v>3月
2023</c:v>
                </c:pt>
                <c:pt idx="123">
                  <c:v>4月
2023</c:v>
                </c:pt>
                <c:pt idx="124">
                  <c:v>5月</c:v>
                </c:pt>
                <c:pt idx="125">
                  <c:v>6月</c:v>
                </c:pt>
                <c:pt idx="126">
                  <c:v>7月</c:v>
                </c:pt>
                <c:pt idx="127">
                  <c:v>8月</c:v>
                </c:pt>
                <c:pt idx="128">
                  <c:v>9月</c:v>
                </c:pt>
                <c:pt idx="129">
                  <c:v>10月</c:v>
                </c:pt>
                <c:pt idx="130">
                  <c:v>11月</c:v>
                </c:pt>
                <c:pt idx="131">
                  <c:v>12月</c:v>
                </c:pt>
                <c:pt idx="132">
                  <c:v>1月
2024</c:v>
                </c:pt>
                <c:pt idx="133">
                  <c:v>2月</c:v>
                </c:pt>
                <c:pt idx="134">
                  <c:v>3月</c:v>
                </c:pt>
                <c:pt idx="135">
                  <c:v>4月</c:v>
                </c:pt>
                <c:pt idx="136">
                  <c:v>5月</c:v>
                </c:pt>
                <c:pt idx="137">
                  <c:v>6月</c:v>
                </c:pt>
                <c:pt idx="138">
                  <c:v>7月</c:v>
                </c:pt>
                <c:pt idx="139">
                  <c:v>8月</c:v>
                </c:pt>
                <c:pt idx="140">
                  <c:v>9月</c:v>
                </c:pt>
                <c:pt idx="141">
                  <c:v>10月</c:v>
                </c:pt>
                <c:pt idx="142">
                  <c:v>11月</c:v>
                </c:pt>
                <c:pt idx="143">
                  <c:v>12月</c:v>
                </c:pt>
                <c:pt idx="144">
                  <c:v>1月</c:v>
                </c:pt>
                <c:pt idx="145">
                  <c:v>2月</c:v>
                </c:pt>
                <c:pt idx="146">
                  <c:v>3月</c:v>
                </c:pt>
              </c:strCache>
            </c:strRef>
          </c:cat>
          <c:val>
            <c:numRef>
              <c:f>美国钻井数!$L$6:$L$152</c:f>
              <c:numCache>
                <c:formatCode>###,###,###,###,##0.00</c:formatCode>
                <c:ptCount val="147"/>
                <c:pt idx="0">
                  <c:v>7878</c:v>
                </c:pt>
                <c:pt idx="1">
                  <c:v>7582</c:v>
                </c:pt>
                <c:pt idx="2">
                  <c:v>7676</c:v>
                </c:pt>
                <c:pt idx="3">
                  <c:v>7659</c:v>
                </c:pt>
                <c:pt idx="4">
                  <c:v>7652</c:v>
                </c:pt>
                <c:pt idx="5">
                  <c:v>7949</c:v>
                </c:pt>
                <c:pt idx="6">
                  <c:v>7973</c:v>
                </c:pt>
                <c:pt idx="7">
                  <c:v>8033</c:v>
                </c:pt>
                <c:pt idx="8">
                  <c:v>7812</c:v>
                </c:pt>
                <c:pt idx="9">
                  <c:v>7361</c:v>
                </c:pt>
                <c:pt idx="10">
                  <c:v>7184</c:v>
                </c:pt>
                <c:pt idx="11">
                  <c:v>7569</c:v>
                </c:pt>
                <c:pt idx="12">
                  <c:v>7339</c:v>
                </c:pt>
                <c:pt idx="13">
                  <c:v>6960</c:v>
                </c:pt>
                <c:pt idx="14">
                  <c:v>7018</c:v>
                </c:pt>
                <c:pt idx="15">
                  <c:v>7279</c:v>
                </c:pt>
                <c:pt idx="16">
                  <c:v>6877</c:v>
                </c:pt>
                <c:pt idx="17">
                  <c:v>6658</c:v>
                </c:pt>
                <c:pt idx="18">
                  <c:v>7222</c:v>
                </c:pt>
                <c:pt idx="19">
                  <c:v>7082</c:v>
                </c:pt>
                <c:pt idx="20">
                  <c:v>7159</c:v>
                </c:pt>
                <c:pt idx="21">
                  <c:v>6754</c:v>
                </c:pt>
                <c:pt idx="22">
                  <c:v>6772</c:v>
                </c:pt>
                <c:pt idx="23">
                  <c:v>6767</c:v>
                </c:pt>
                <c:pt idx="24">
                  <c:v>6659</c:v>
                </c:pt>
                <c:pt idx="25">
                  <c:v>6681</c:v>
                </c:pt>
                <c:pt idx="26">
                  <c:v>7157</c:v>
                </c:pt>
                <c:pt idx="27">
                  <c:v>6622</c:v>
                </c:pt>
                <c:pt idx="28">
                  <c:v>6714</c:v>
                </c:pt>
                <c:pt idx="29">
                  <c:v>6873</c:v>
                </c:pt>
                <c:pt idx="30">
                  <c:v>6805</c:v>
                </c:pt>
                <c:pt idx="31">
                  <c:v>7177</c:v>
                </c:pt>
                <c:pt idx="32">
                  <c:v>6813</c:v>
                </c:pt>
                <c:pt idx="33">
                  <c:v>6621</c:v>
                </c:pt>
                <c:pt idx="34">
                  <c:v>7051</c:v>
                </c:pt>
                <c:pt idx="35">
                  <c:v>7508</c:v>
                </c:pt>
                <c:pt idx="36">
                  <c:v>7311</c:v>
                </c:pt>
                <c:pt idx="37">
                  <c:v>7536</c:v>
                </c:pt>
                <c:pt idx="38">
                  <c:v>7534</c:v>
                </c:pt>
                <c:pt idx="39">
                  <c:v>7046</c:v>
                </c:pt>
                <c:pt idx="40">
                  <c:v>7284</c:v>
                </c:pt>
                <c:pt idx="41">
                  <c:v>7228</c:v>
                </c:pt>
                <c:pt idx="42">
                  <c:v>7618</c:v>
                </c:pt>
                <c:pt idx="43">
                  <c:v>7378</c:v>
                </c:pt>
                <c:pt idx="44">
                  <c:v>7365</c:v>
                </c:pt>
                <c:pt idx="45">
                  <c:v>7116</c:v>
                </c:pt>
                <c:pt idx="46">
                  <c:v>7457</c:v>
                </c:pt>
                <c:pt idx="47">
                  <c:v>7418</c:v>
                </c:pt>
                <c:pt idx="48">
                  <c:v>7689</c:v>
                </c:pt>
                <c:pt idx="49">
                  <c:v>6774</c:v>
                </c:pt>
                <c:pt idx="50">
                  <c:v>7214</c:v>
                </c:pt>
                <c:pt idx="51">
                  <c:v>7130</c:v>
                </c:pt>
                <c:pt idx="52">
                  <c:v>7374</c:v>
                </c:pt>
                <c:pt idx="53">
                  <c:v>7224</c:v>
                </c:pt>
                <c:pt idx="54">
                  <c:v>6932</c:v>
                </c:pt>
                <c:pt idx="55">
                  <c:v>7118</c:v>
                </c:pt>
                <c:pt idx="56">
                  <c:v>5802</c:v>
                </c:pt>
                <c:pt idx="57">
                  <c:v>5880</c:v>
                </c:pt>
                <c:pt idx="58">
                  <c:v>6089</c:v>
                </c:pt>
                <c:pt idx="59">
                  <c:v>6267</c:v>
                </c:pt>
                <c:pt idx="60">
                  <c:v>6670</c:v>
                </c:pt>
                <c:pt idx="61">
                  <c:v>5888</c:v>
                </c:pt>
                <c:pt idx="62">
                  <c:v>5945</c:v>
                </c:pt>
                <c:pt idx="63">
                  <c:v>6488</c:v>
                </c:pt>
                <c:pt idx="64">
                  <c:v>5820</c:v>
                </c:pt>
                <c:pt idx="65">
                  <c:v>6280</c:v>
                </c:pt>
                <c:pt idx="66">
                  <c:v>5784</c:v>
                </c:pt>
                <c:pt idx="67">
                  <c:v>6251</c:v>
                </c:pt>
                <c:pt idx="68">
                  <c:v>5473</c:v>
                </c:pt>
                <c:pt idx="69">
                  <c:v>4986</c:v>
                </c:pt>
                <c:pt idx="70">
                  <c:v>5577</c:v>
                </c:pt>
                <c:pt idx="71">
                  <c:v>4588</c:v>
                </c:pt>
                <c:pt idx="72">
                  <c:v>4945</c:v>
                </c:pt>
                <c:pt idx="73">
                  <c:v>3662</c:v>
                </c:pt>
                <c:pt idx="74">
                  <c:v>4075</c:v>
                </c:pt>
                <c:pt idx="75">
                  <c:v>4182</c:v>
                </c:pt>
                <c:pt idx="76">
                  <c:v>4258</c:v>
                </c:pt>
                <c:pt idx="77">
                  <c:v>4020</c:v>
                </c:pt>
                <c:pt idx="78">
                  <c:v>4241</c:v>
                </c:pt>
                <c:pt idx="79">
                  <c:v>4217</c:v>
                </c:pt>
                <c:pt idx="80">
                  <c:v>3386</c:v>
                </c:pt>
                <c:pt idx="81">
                  <c:v>2860</c:v>
                </c:pt>
                <c:pt idx="82">
                  <c:v>2793</c:v>
                </c:pt>
                <c:pt idx="83">
                  <c:v>3162</c:v>
                </c:pt>
                <c:pt idx="84">
                  <c:v>3157</c:v>
                </c:pt>
                <c:pt idx="85">
                  <c:v>2811</c:v>
                </c:pt>
                <c:pt idx="86">
                  <c:v>2739</c:v>
                </c:pt>
                <c:pt idx="87">
                  <c:v>2443</c:v>
                </c:pt>
                <c:pt idx="88">
                  <c:v>3158</c:v>
                </c:pt>
                <c:pt idx="89">
                  <c:v>3644</c:v>
                </c:pt>
                <c:pt idx="90">
                  <c:v>2639</c:v>
                </c:pt>
                <c:pt idx="91">
                  <c:v>2134</c:v>
                </c:pt>
                <c:pt idx="92">
                  <c:v>2160</c:v>
                </c:pt>
                <c:pt idx="93">
                  <c:v>2358</c:v>
                </c:pt>
                <c:pt idx="94">
                  <c:v>2844</c:v>
                </c:pt>
                <c:pt idx="95">
                  <c:v>2342</c:v>
                </c:pt>
                <c:pt idx="96">
                  <c:v>2618</c:v>
                </c:pt>
                <c:pt idx="97">
                  <c:v>2886</c:v>
                </c:pt>
                <c:pt idx="98">
                  <c:v>3102</c:v>
                </c:pt>
                <c:pt idx="99">
                  <c:v>2536</c:v>
                </c:pt>
                <c:pt idx="100">
                  <c:v>3090</c:v>
                </c:pt>
                <c:pt idx="101">
                  <c:v>3250</c:v>
                </c:pt>
                <c:pt idx="102">
                  <c:v>3700</c:v>
                </c:pt>
                <c:pt idx="103">
                  <c:v>3240</c:v>
                </c:pt>
                <c:pt idx="104">
                  <c:v>3860</c:v>
                </c:pt>
                <c:pt idx="105">
                  <c:v>3070</c:v>
                </c:pt>
                <c:pt idx="106">
                  <c:v>3220</c:v>
                </c:pt>
                <c:pt idx="107">
                  <c:v>2970</c:v>
                </c:pt>
                <c:pt idx="108">
                  <c:v>3040</c:v>
                </c:pt>
                <c:pt idx="109">
                  <c:v>2850</c:v>
                </c:pt>
                <c:pt idx="110">
                  <c:v>3100</c:v>
                </c:pt>
                <c:pt idx="111">
                  <c:v>2820</c:v>
                </c:pt>
                <c:pt idx="112">
                  <c:v>2720</c:v>
                </c:pt>
                <c:pt idx="113">
                  <c:v>2900</c:v>
                </c:pt>
                <c:pt idx="114">
                  <c:v>2810</c:v>
                </c:pt>
                <c:pt idx="115">
                  <c:v>2680</c:v>
                </c:pt>
                <c:pt idx="116">
                  <c:v>2760</c:v>
                </c:pt>
                <c:pt idx="117">
                  <c:v>2090</c:v>
                </c:pt>
                <c:pt idx="118">
                  <c:v>2200</c:v>
                </c:pt>
                <c:pt idx="119">
                  <c:v>2140</c:v>
                </c:pt>
                <c:pt idx="120">
                  <c:v>2760</c:v>
                </c:pt>
                <c:pt idx="121">
                  <c:v>2600</c:v>
                </c:pt>
                <c:pt idx="122">
                  <c:v>1490</c:v>
                </c:pt>
                <c:pt idx="123">
                  <c:v>2190</c:v>
                </c:pt>
                <c:pt idx="124">
                  <c:v>2680</c:v>
                </c:pt>
                <c:pt idx="125">
                  <c:v>2670</c:v>
                </c:pt>
                <c:pt idx="126">
                  <c:v>2450</c:v>
                </c:pt>
                <c:pt idx="127">
                  <c:v>2880</c:v>
                </c:pt>
                <c:pt idx="128">
                  <c:v>2480</c:v>
                </c:pt>
                <c:pt idx="129">
                  <c:v>2020</c:v>
                </c:pt>
                <c:pt idx="130">
                  <c:v>2970</c:v>
                </c:pt>
                <c:pt idx="131">
                  <c:v>1890</c:v>
                </c:pt>
                <c:pt idx="132">
                  <c:v>2580</c:v>
                </c:pt>
                <c:pt idx="133">
                  <c:v>1880</c:v>
                </c:pt>
                <c:pt idx="134">
                  <c:v>1880</c:v>
                </c:pt>
                <c:pt idx="135">
                  <c:v>2480</c:v>
                </c:pt>
                <c:pt idx="136">
                  <c:v>2940</c:v>
                </c:pt>
                <c:pt idx="137">
                  <c:v>2430</c:v>
                </c:pt>
                <c:pt idx="138">
                  <c:v>2930</c:v>
                </c:pt>
                <c:pt idx="139">
                  <c:v>2420</c:v>
                </c:pt>
                <c:pt idx="140">
                  <c:v>2730</c:v>
                </c:pt>
                <c:pt idx="141">
                  <c:v>2490</c:v>
                </c:pt>
                <c:pt idx="142">
                  <c:v>2240</c:v>
                </c:pt>
                <c:pt idx="143">
                  <c:v>2710</c:v>
                </c:pt>
                <c:pt idx="144">
                  <c:v>2720</c:v>
                </c:pt>
                <c:pt idx="145">
                  <c:v>1810</c:v>
                </c:pt>
                <c:pt idx="146">
                  <c:v>1770</c:v>
                </c:pt>
              </c:numCache>
            </c:numRef>
          </c:val>
          <c:smooth val="0"/>
          <c:extLst xmlns:c16r2="http://schemas.microsoft.com/office/drawing/2015/06/chart">
            <c:ext xmlns:c16="http://schemas.microsoft.com/office/drawing/2014/chart" uri="{C3380CC4-5D6E-409C-BE32-E72D297353CC}">
              <c16:uniqueId val="{00000001-7707-41BE-A7C1-FE892B917DA8}"/>
            </c:ext>
          </c:extLst>
        </c:ser>
        <c:dLbls>
          <c:showLegendKey val="0"/>
          <c:showVal val="0"/>
          <c:showCatName val="0"/>
          <c:showSerName val="0"/>
          <c:showPercent val="0"/>
          <c:showBubbleSize val="0"/>
        </c:dLbls>
        <c:marker val="1"/>
        <c:smooth val="0"/>
        <c:axId val="379519744"/>
        <c:axId val="379521280"/>
      </c:lineChart>
      <c:catAx>
        <c:axId val="379519744"/>
        <c:scaling>
          <c:orientation val="minMax"/>
        </c:scaling>
        <c:delete val="0"/>
        <c:axPos val="b"/>
        <c:numFmt formatCode="General" sourceLinked="1"/>
        <c:majorTickMark val="out"/>
        <c:minorTickMark val="out"/>
        <c:tickLblPos val="low"/>
        <c:spPr>
          <a:noFill/>
          <a:ln w="12700" cap="flat" cmpd="sng" algn="ctr">
            <a:solidFill>
              <a:schemeClr val="tx1"/>
            </a:solidFill>
            <a:prstDash val="solid"/>
            <a:round/>
          </a:ln>
          <a:effectLst/>
        </c:spPr>
        <c:txPr>
          <a:bodyPr rot="0" spcFirstLastPara="1" vertOverflow="ellipsis" vert="horz" wrap="square" anchor="ctr" anchorCtr="1"/>
          <a:lstStyle/>
          <a:p>
            <a:pPr>
              <a:defRPr lang="zh-CN" sz="800" b="0" i="0" u="none" strike="noStrike" kern="1200" baseline="0">
                <a:solidFill>
                  <a:sysClr val="windowText" lastClr="000000"/>
                </a:solidFill>
                <a:latin typeface="Times New Roman" panose="02020603050405020304" charset="0"/>
                <a:ea typeface="楷体" panose="02010609060101010101" pitchFamily="3" charset="-122"/>
                <a:cs typeface="Times New Roman" panose="02020603050405020304" charset="0"/>
              </a:defRPr>
            </a:pPr>
            <a:endParaRPr lang="zh-CN"/>
          </a:p>
        </c:txPr>
        <c:crossAx val="379521280"/>
        <c:crosses val="autoZero"/>
        <c:auto val="1"/>
        <c:lblAlgn val="ctr"/>
        <c:lblOffset val="100"/>
        <c:tickLblSkip val="12"/>
        <c:tickMarkSkip val="3"/>
        <c:noMultiLvlLbl val="0"/>
      </c:catAx>
      <c:valAx>
        <c:axId val="379521280"/>
        <c:scaling>
          <c:orientation val="minMax"/>
        </c:scaling>
        <c:delete val="0"/>
        <c:axPos val="l"/>
        <c:title>
          <c:tx>
            <c:rich>
              <a:bodyPr rot="0" spcFirstLastPara="1" vertOverflow="ellipsis" vert="horz" wrap="square" anchor="ctr" anchorCtr="1"/>
              <a:lstStyle/>
              <a:p>
                <a:pPr>
                  <a:defRPr lang="zh-CN" sz="1000" b="0" i="0" u="none" strike="noStrike" kern="1200" baseline="0">
                    <a:solidFill>
                      <a:schemeClr val="tx1">
                        <a:lumMod val="65000"/>
                        <a:lumOff val="35000"/>
                      </a:schemeClr>
                    </a:solidFill>
                    <a:latin typeface="楷体" panose="02010609060101010101" pitchFamily="3" charset="-122"/>
                    <a:ea typeface="楷体" panose="02010609060101010101" pitchFamily="3" charset="-122"/>
                    <a:cs typeface="+mn-cs"/>
                  </a:defRPr>
                </a:pPr>
                <a:r>
                  <a:rPr lang="zh-CN" altLang="en-US" sz="800">
                    <a:solidFill>
                      <a:sysClr val="windowText" lastClr="000000"/>
                    </a:solidFill>
                    <a:latin typeface="楷体" panose="02010609060101010101" pitchFamily="3" charset="-122"/>
                    <a:ea typeface="楷体" panose="02010609060101010101" pitchFamily="3" charset="-122"/>
                  </a:rPr>
                  <a:t>千桶</a:t>
                </a:r>
                <a:r>
                  <a:rPr lang="en-US" altLang="zh-CN" sz="800">
                    <a:solidFill>
                      <a:sysClr val="windowText" lastClr="000000"/>
                    </a:solidFill>
                    <a:latin typeface="楷体" panose="02010609060101010101" pitchFamily="3" charset="-122"/>
                    <a:ea typeface="楷体" panose="02010609060101010101" pitchFamily="3" charset="-122"/>
                  </a:rPr>
                  <a:t>/</a:t>
                </a:r>
                <a:r>
                  <a:rPr lang="zh-CN" altLang="en-US" sz="800">
                    <a:solidFill>
                      <a:sysClr val="windowText" lastClr="000000"/>
                    </a:solidFill>
                    <a:latin typeface="楷体" panose="02010609060101010101" pitchFamily="3" charset="-122"/>
                    <a:ea typeface="楷体" panose="02010609060101010101" pitchFamily="3" charset="-122"/>
                  </a:rPr>
                  <a:t>日</a:t>
                </a:r>
              </a:p>
            </c:rich>
          </c:tx>
          <c:layout>
            <c:manualLayout>
              <c:xMode val="edge"/>
              <c:yMode val="edge"/>
              <c:x val="0.12641215277777801"/>
              <c:y val="3.1874999999999998E-3"/>
            </c:manualLayout>
          </c:layout>
          <c:overlay val="0"/>
          <c:spPr>
            <a:noFill/>
            <a:ln w="25400">
              <a:noFill/>
            </a:ln>
          </c:spPr>
        </c:title>
        <c:numFmt formatCode="0_ " sourceLinked="0"/>
        <c:majorTickMark val="out"/>
        <c:minorTickMark val="none"/>
        <c:tickLblPos val="nextTo"/>
        <c:spPr>
          <a:noFill/>
          <a:ln w="12700" cap="flat" cmpd="sng" algn="ctr">
            <a:solidFill>
              <a:schemeClr val="tx1"/>
            </a:solidFill>
            <a:prstDash val="solid"/>
            <a:round/>
          </a:ln>
          <a:effectLst/>
        </c:spPr>
        <c:txPr>
          <a:bodyPr rot="-60000000" spcFirstLastPara="1" vertOverflow="ellipsis" vert="horz" wrap="square" anchor="ctr" anchorCtr="1"/>
          <a:lstStyle/>
          <a:p>
            <a:pPr>
              <a:defRPr lang="zh-CN" sz="800" b="0" i="0" u="none" strike="noStrike" kern="1200" baseline="0">
                <a:solidFill>
                  <a:sysClr val="windowText" lastClr="000000"/>
                </a:solidFill>
                <a:latin typeface="Times New Roman" panose="02020603050405020304" charset="0"/>
                <a:ea typeface="+mn-ea"/>
                <a:cs typeface="Times New Roman" panose="02020603050405020304" charset="0"/>
              </a:defRPr>
            </a:pPr>
            <a:endParaRPr lang="zh-CN"/>
          </a:p>
        </c:txPr>
        <c:crossAx val="379519744"/>
        <c:crosses val="autoZero"/>
        <c:crossBetween val="between"/>
      </c:valAx>
      <c:spPr>
        <a:noFill/>
        <a:ln w="25400">
          <a:noFill/>
        </a:ln>
      </c:spPr>
    </c:plotArea>
    <c:legend>
      <c:legendPos val="t"/>
      <c:legendEntry>
        <c:idx val="0"/>
        <c:delete val="1"/>
      </c:legendEntry>
      <c:layout>
        <c:manualLayout>
          <c:xMode val="edge"/>
          <c:yMode val="edge"/>
          <c:x val="0.27234074074074099"/>
          <c:y val="0"/>
          <c:w val="0.53320699017803497"/>
          <c:h val="7.9732205435450301E-2"/>
        </c:manualLayout>
      </c:layout>
      <c:overlay val="0"/>
      <c:txPr>
        <a:bodyPr rot="0" spcFirstLastPara="0" vertOverflow="ellipsis" vert="horz" wrap="square" anchor="ctr" anchorCtr="1"/>
        <a:lstStyle/>
        <a:p>
          <a:pPr>
            <a:defRPr lang="zh-CN" sz="800" b="0" i="0" u="none" strike="noStrike" kern="1200" baseline="0">
              <a:solidFill>
                <a:schemeClr val="tx1"/>
              </a:solidFill>
              <a:latin typeface="楷体" panose="02010609060101010101" pitchFamily="3" charset="-122"/>
              <a:ea typeface="楷体" panose="02010609060101010101" pitchFamily="3" charset="-122"/>
              <a:cs typeface="+mn-cs"/>
            </a:defRPr>
          </a:pPr>
          <a:endParaRPr lang="zh-CN"/>
        </a:p>
      </c:txPr>
    </c:legend>
    <c:plotVisOnly val="1"/>
    <c:dispBlanksAs val="gap"/>
    <c:showDLblsOverMax val="0"/>
    <c:extLst xmlns:c16r2="http://schemas.microsoft.com/office/drawing/2015/06/chart">
      <c:ext uri="{0b15fc19-7d7d-44ad-8c2d-2c3a37ce22c3}">
        <chartProps xmlns="https://web.wps.cn/et/2018/main" chartId="{a738ab23-ed97-4a38-8e64-42f663623150}"/>
      </c:ext>
    </c:extLst>
  </c:chart>
  <c:spPr>
    <a:solidFill>
      <a:srgbClr val="FFFFFF"/>
    </a:solidFill>
    <a:ln w="3175" cap="flat" cmpd="sng" algn="ctr">
      <a:solidFill>
        <a:srgbClr val="FFFFFF"/>
      </a:solidFill>
      <a:prstDash val="solid"/>
      <a:round/>
    </a:ln>
  </c:spPr>
  <c:txPr>
    <a:bodyPr/>
    <a:lstStyle/>
    <a:p>
      <a:pPr>
        <a:defRPr lang="zh-CN"/>
      </a:pPr>
      <a:endParaRPr lang="zh-CN"/>
    </a:p>
  </c:txPr>
  <c:externalData r:id="rId2">
    <c:autoUpdate val="0"/>
  </c:externalData>
  <c:userShapes r:id="rId3"/>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5424603174603"/>
          <c:y val="8.4938888888888897E-2"/>
          <c:w val="0.87624927849927803"/>
          <c:h val="0.70358472992167798"/>
        </c:manualLayout>
      </c:layout>
      <c:lineChart>
        <c:grouping val="standard"/>
        <c:varyColors val="0"/>
        <c:ser>
          <c:idx val="0"/>
          <c:order val="0"/>
          <c:tx>
            <c:strRef>
              <c:f>炼油厂开工率!$B$2</c:f>
              <c:strCache>
                <c:ptCount val="1"/>
                <c:pt idx="0">
                  <c:v>炼油厂开工率:美国</c:v>
                </c:pt>
              </c:strCache>
            </c:strRef>
          </c:tx>
          <c:spPr>
            <a:ln w="25400" cap="rnd" cmpd="sng" algn="ctr">
              <a:solidFill>
                <a:srgbClr val="106D9C"/>
              </a:solidFill>
              <a:prstDash val="solid"/>
              <a:round/>
            </a:ln>
          </c:spPr>
          <c:marker>
            <c:symbol val="none"/>
          </c:marker>
          <c:cat>
            <c:strRef>
              <c:f>炼油厂开工率!$E$187:$E$297</c:f>
              <c:strCache>
                <c:ptCount val="111"/>
                <c:pt idx="0">
                  <c:v>1月
2016</c:v>
                </c:pt>
                <c:pt idx="1">
                  <c:v>2月</c:v>
                </c:pt>
                <c:pt idx="2">
                  <c:v>3月</c:v>
                </c:pt>
                <c:pt idx="3">
                  <c:v>4月</c:v>
                </c:pt>
                <c:pt idx="4">
                  <c:v>5月</c:v>
                </c:pt>
                <c:pt idx="5">
                  <c:v>6月</c:v>
                </c:pt>
                <c:pt idx="6">
                  <c:v>7月</c:v>
                </c:pt>
                <c:pt idx="7">
                  <c:v>8月</c:v>
                </c:pt>
                <c:pt idx="8">
                  <c:v>9月</c:v>
                </c:pt>
                <c:pt idx="9">
                  <c:v>10月</c:v>
                </c:pt>
                <c:pt idx="10">
                  <c:v>11月</c:v>
                </c:pt>
                <c:pt idx="11">
                  <c:v>12月</c:v>
                </c:pt>
                <c:pt idx="12">
                  <c:v>1月
2017</c:v>
                </c:pt>
                <c:pt idx="13">
                  <c:v>2月</c:v>
                </c:pt>
                <c:pt idx="14">
                  <c:v>3月</c:v>
                </c:pt>
                <c:pt idx="15">
                  <c:v>4月</c:v>
                </c:pt>
                <c:pt idx="16">
                  <c:v>5月</c:v>
                </c:pt>
                <c:pt idx="17">
                  <c:v>6月</c:v>
                </c:pt>
                <c:pt idx="18">
                  <c:v>7月</c:v>
                </c:pt>
                <c:pt idx="19">
                  <c:v>8月</c:v>
                </c:pt>
                <c:pt idx="20">
                  <c:v>9月</c:v>
                </c:pt>
                <c:pt idx="21">
                  <c:v>10月</c:v>
                </c:pt>
                <c:pt idx="22">
                  <c:v>11月</c:v>
                </c:pt>
                <c:pt idx="23">
                  <c:v>12月</c:v>
                </c:pt>
                <c:pt idx="24">
                  <c:v>1月
2018</c:v>
                </c:pt>
                <c:pt idx="25">
                  <c:v>2月</c:v>
                </c:pt>
                <c:pt idx="26">
                  <c:v>3月</c:v>
                </c:pt>
                <c:pt idx="27">
                  <c:v>4月</c:v>
                </c:pt>
                <c:pt idx="28">
                  <c:v>5月</c:v>
                </c:pt>
                <c:pt idx="29">
                  <c:v>6月</c:v>
                </c:pt>
                <c:pt idx="30">
                  <c:v>7月</c:v>
                </c:pt>
                <c:pt idx="31">
                  <c:v>8月</c:v>
                </c:pt>
                <c:pt idx="32">
                  <c:v>9月</c:v>
                </c:pt>
                <c:pt idx="33">
                  <c:v>10月</c:v>
                </c:pt>
                <c:pt idx="34">
                  <c:v>11月</c:v>
                </c:pt>
                <c:pt idx="35">
                  <c:v>12月</c:v>
                </c:pt>
                <c:pt idx="36">
                  <c:v>1月
2019</c:v>
                </c:pt>
                <c:pt idx="37">
                  <c:v>2月</c:v>
                </c:pt>
                <c:pt idx="38">
                  <c:v>3月</c:v>
                </c:pt>
                <c:pt idx="39">
                  <c:v>4月</c:v>
                </c:pt>
                <c:pt idx="40">
                  <c:v>5月</c:v>
                </c:pt>
                <c:pt idx="41">
                  <c:v>6月</c:v>
                </c:pt>
                <c:pt idx="42">
                  <c:v>7月</c:v>
                </c:pt>
                <c:pt idx="43">
                  <c:v>8月</c:v>
                </c:pt>
                <c:pt idx="44">
                  <c:v>9月</c:v>
                </c:pt>
                <c:pt idx="45">
                  <c:v>10月</c:v>
                </c:pt>
                <c:pt idx="46">
                  <c:v>11月</c:v>
                </c:pt>
                <c:pt idx="47">
                  <c:v>12月</c:v>
                </c:pt>
                <c:pt idx="48">
                  <c:v>1月
2020</c:v>
                </c:pt>
                <c:pt idx="49">
                  <c:v>2月</c:v>
                </c:pt>
                <c:pt idx="50">
                  <c:v>3月</c:v>
                </c:pt>
                <c:pt idx="51">
                  <c:v>4月</c:v>
                </c:pt>
                <c:pt idx="52">
                  <c:v>5月</c:v>
                </c:pt>
                <c:pt idx="53">
                  <c:v>6月</c:v>
                </c:pt>
                <c:pt idx="54">
                  <c:v>7月</c:v>
                </c:pt>
                <c:pt idx="55">
                  <c:v>8月</c:v>
                </c:pt>
                <c:pt idx="56">
                  <c:v>9月</c:v>
                </c:pt>
                <c:pt idx="57">
                  <c:v>10月</c:v>
                </c:pt>
                <c:pt idx="58">
                  <c:v>11月</c:v>
                </c:pt>
                <c:pt idx="59">
                  <c:v>12月</c:v>
                </c:pt>
                <c:pt idx="60">
                  <c:v>1月
2021</c:v>
                </c:pt>
                <c:pt idx="61">
                  <c:v>2月</c:v>
                </c:pt>
                <c:pt idx="62">
                  <c:v>3月</c:v>
                </c:pt>
                <c:pt idx="63">
                  <c:v>4月</c:v>
                </c:pt>
                <c:pt idx="64">
                  <c:v>5月</c:v>
                </c:pt>
                <c:pt idx="65">
                  <c:v>6月</c:v>
                </c:pt>
                <c:pt idx="66">
                  <c:v>7月</c:v>
                </c:pt>
                <c:pt idx="67">
                  <c:v>8月</c:v>
                </c:pt>
                <c:pt idx="68">
                  <c:v>9月</c:v>
                </c:pt>
                <c:pt idx="69">
                  <c:v>10月</c:v>
                </c:pt>
                <c:pt idx="70">
                  <c:v>11月</c:v>
                </c:pt>
                <c:pt idx="71">
                  <c:v>12月</c:v>
                </c:pt>
                <c:pt idx="72">
                  <c:v>1月
2022</c:v>
                </c:pt>
                <c:pt idx="73">
                  <c:v>2月</c:v>
                </c:pt>
                <c:pt idx="74">
                  <c:v>3月</c:v>
                </c:pt>
                <c:pt idx="75">
                  <c:v>4月</c:v>
                </c:pt>
                <c:pt idx="76">
                  <c:v>5月</c:v>
                </c:pt>
                <c:pt idx="77">
                  <c:v>6月</c:v>
                </c:pt>
                <c:pt idx="78">
                  <c:v>7月</c:v>
                </c:pt>
                <c:pt idx="79">
                  <c:v>8月</c:v>
                </c:pt>
                <c:pt idx="80">
                  <c:v>9月</c:v>
                </c:pt>
                <c:pt idx="81">
                  <c:v>10月</c:v>
                </c:pt>
                <c:pt idx="82">
                  <c:v>11月</c:v>
                </c:pt>
                <c:pt idx="83">
                  <c:v>12月</c:v>
                </c:pt>
                <c:pt idx="84">
                  <c:v>1月
2023</c:v>
                </c:pt>
                <c:pt idx="85">
                  <c:v>2月</c:v>
                </c:pt>
                <c:pt idx="86">
                  <c:v>3月</c:v>
                </c:pt>
                <c:pt idx="87">
                  <c:v>4月</c:v>
                </c:pt>
                <c:pt idx="88">
                  <c:v>5月</c:v>
                </c:pt>
                <c:pt idx="89">
                  <c:v>6月</c:v>
                </c:pt>
                <c:pt idx="90">
                  <c:v>7月</c:v>
                </c:pt>
                <c:pt idx="91">
                  <c:v>8月</c:v>
                </c:pt>
                <c:pt idx="92">
                  <c:v>9月</c:v>
                </c:pt>
                <c:pt idx="93">
                  <c:v>10月</c:v>
                </c:pt>
                <c:pt idx="94">
                  <c:v>11月</c:v>
                </c:pt>
                <c:pt idx="95">
                  <c:v>12月</c:v>
                </c:pt>
                <c:pt idx="96">
                  <c:v>1月</c:v>
                </c:pt>
                <c:pt idx="97">
                  <c:v>2月</c:v>
                </c:pt>
                <c:pt idx="98">
                  <c:v>3月
2024</c:v>
                </c:pt>
                <c:pt idx="99">
                  <c:v>4月</c:v>
                </c:pt>
                <c:pt idx="100">
                  <c:v>5月</c:v>
                </c:pt>
                <c:pt idx="101">
                  <c:v>6月</c:v>
                </c:pt>
                <c:pt idx="102">
                  <c:v>7月</c:v>
                </c:pt>
                <c:pt idx="103">
                  <c:v>8月</c:v>
                </c:pt>
                <c:pt idx="104">
                  <c:v>9月
2024</c:v>
                </c:pt>
                <c:pt idx="105">
                  <c:v>10月</c:v>
                </c:pt>
                <c:pt idx="106">
                  <c:v>11月</c:v>
                </c:pt>
                <c:pt idx="107">
                  <c:v>12月</c:v>
                </c:pt>
                <c:pt idx="108">
                  <c:v>1月</c:v>
                </c:pt>
                <c:pt idx="109">
                  <c:v>2月</c:v>
                </c:pt>
                <c:pt idx="110">
                  <c:v>3月
2025</c:v>
                </c:pt>
              </c:strCache>
            </c:strRef>
          </c:cat>
          <c:val>
            <c:numRef>
              <c:f>炼油厂开工率!$B$187:$B$297</c:f>
              <c:numCache>
                <c:formatCode>#,##0.00_ </c:formatCode>
                <c:ptCount val="111"/>
                <c:pt idx="0">
                  <c:v>89.76</c:v>
                </c:pt>
                <c:pt idx="1">
                  <c:v>87.68</c:v>
                </c:pt>
                <c:pt idx="2">
                  <c:v>89.21</c:v>
                </c:pt>
                <c:pt idx="3">
                  <c:v>89.61</c:v>
                </c:pt>
                <c:pt idx="4">
                  <c:v>90.71</c:v>
                </c:pt>
                <c:pt idx="5">
                  <c:v>91.96</c:v>
                </c:pt>
                <c:pt idx="6">
                  <c:v>93.2</c:v>
                </c:pt>
                <c:pt idx="7">
                  <c:v>93.11</c:v>
                </c:pt>
                <c:pt idx="8">
                  <c:v>90.31</c:v>
                </c:pt>
                <c:pt idx="9">
                  <c:v>84.61</c:v>
                </c:pt>
                <c:pt idx="10">
                  <c:v>88.3</c:v>
                </c:pt>
                <c:pt idx="11">
                  <c:v>90.51</c:v>
                </c:pt>
                <c:pt idx="12">
                  <c:v>89.59</c:v>
                </c:pt>
                <c:pt idx="13">
                  <c:v>84.36</c:v>
                </c:pt>
                <c:pt idx="14">
                  <c:v>86.05</c:v>
                </c:pt>
                <c:pt idx="15">
                  <c:v>92.23</c:v>
                </c:pt>
                <c:pt idx="16">
                  <c:v>93.01</c:v>
                </c:pt>
                <c:pt idx="17">
                  <c:v>92.82</c:v>
                </c:pt>
                <c:pt idx="18">
                  <c:v>93.53</c:v>
                </c:pt>
                <c:pt idx="19">
                  <c:v>95.24</c:v>
                </c:pt>
                <c:pt idx="20">
                  <c:v>85.3</c:v>
                </c:pt>
                <c:pt idx="21">
                  <c:v>87.52</c:v>
                </c:pt>
                <c:pt idx="22">
                  <c:v>91.86</c:v>
                </c:pt>
                <c:pt idx="23">
                  <c:v>95.05</c:v>
                </c:pt>
                <c:pt idx="24">
                  <c:v>91.33</c:v>
                </c:pt>
                <c:pt idx="25">
                  <c:v>89.02</c:v>
                </c:pt>
                <c:pt idx="26">
                  <c:v>89.86</c:v>
                </c:pt>
                <c:pt idx="27">
                  <c:v>92.33</c:v>
                </c:pt>
                <c:pt idx="28">
                  <c:v>92.63</c:v>
                </c:pt>
                <c:pt idx="29">
                  <c:v>96.45</c:v>
                </c:pt>
                <c:pt idx="30">
                  <c:v>95.35</c:v>
                </c:pt>
                <c:pt idx="31">
                  <c:v>97.21</c:v>
                </c:pt>
                <c:pt idx="32">
                  <c:v>93.14</c:v>
                </c:pt>
                <c:pt idx="33">
                  <c:v>89.14</c:v>
                </c:pt>
                <c:pt idx="34">
                  <c:v>93.77</c:v>
                </c:pt>
                <c:pt idx="35">
                  <c:v>95.74</c:v>
                </c:pt>
                <c:pt idx="36">
                  <c:v>91.1</c:v>
                </c:pt>
                <c:pt idx="37">
                  <c:v>86.71</c:v>
                </c:pt>
                <c:pt idx="38">
                  <c:v>87.39</c:v>
                </c:pt>
                <c:pt idx="39">
                  <c:v>88.86</c:v>
                </c:pt>
                <c:pt idx="40">
                  <c:v>90.88</c:v>
                </c:pt>
                <c:pt idx="41">
                  <c:v>93.93</c:v>
                </c:pt>
                <c:pt idx="42">
                  <c:v>94.16</c:v>
                </c:pt>
                <c:pt idx="43">
                  <c:v>95.25</c:v>
                </c:pt>
                <c:pt idx="44">
                  <c:v>89.98</c:v>
                </c:pt>
                <c:pt idx="45">
                  <c:v>85.51</c:v>
                </c:pt>
                <c:pt idx="46">
                  <c:v>89.54</c:v>
                </c:pt>
                <c:pt idx="47">
                  <c:v>92.4</c:v>
                </c:pt>
                <c:pt idx="48">
                  <c:v>89.68</c:v>
                </c:pt>
                <c:pt idx="49">
                  <c:v>88.11</c:v>
                </c:pt>
                <c:pt idx="50">
                  <c:v>84.28</c:v>
                </c:pt>
                <c:pt idx="51">
                  <c:v>69.8</c:v>
                </c:pt>
                <c:pt idx="52">
                  <c:v>70.31</c:v>
                </c:pt>
                <c:pt idx="53">
                  <c:v>74.53</c:v>
                </c:pt>
                <c:pt idx="54">
                  <c:v>78.819999999999993</c:v>
                </c:pt>
                <c:pt idx="55">
                  <c:v>79.34</c:v>
                </c:pt>
                <c:pt idx="56">
                  <c:v>76.900000000000006</c:v>
                </c:pt>
                <c:pt idx="57">
                  <c:v>74.650000000000006</c:v>
                </c:pt>
                <c:pt idx="58">
                  <c:v>77.56</c:v>
                </c:pt>
                <c:pt idx="59">
                  <c:v>79.33</c:v>
                </c:pt>
                <c:pt idx="60">
                  <c:v>82.14</c:v>
                </c:pt>
                <c:pt idx="61">
                  <c:v>70.8</c:v>
                </c:pt>
                <c:pt idx="62">
                  <c:v>79.23</c:v>
                </c:pt>
                <c:pt idx="63">
                  <c:v>85.2</c:v>
                </c:pt>
                <c:pt idx="64">
                  <c:v>89</c:v>
                </c:pt>
                <c:pt idx="65">
                  <c:v>92.59</c:v>
                </c:pt>
                <c:pt idx="66">
                  <c:v>91.53</c:v>
                </c:pt>
                <c:pt idx="67">
                  <c:v>91.71</c:v>
                </c:pt>
                <c:pt idx="68">
                  <c:v>86.13</c:v>
                </c:pt>
                <c:pt idx="69">
                  <c:v>85.47</c:v>
                </c:pt>
                <c:pt idx="70">
                  <c:v>88.33</c:v>
                </c:pt>
                <c:pt idx="71">
                  <c:v>91.1</c:v>
                </c:pt>
                <c:pt idx="72">
                  <c:v>87.79</c:v>
                </c:pt>
                <c:pt idx="73">
                  <c:v>86.74</c:v>
                </c:pt>
                <c:pt idx="74">
                  <c:v>91.01</c:v>
                </c:pt>
                <c:pt idx="75">
                  <c:v>90.02</c:v>
                </c:pt>
                <c:pt idx="76">
                  <c:v>92.9</c:v>
                </c:pt>
                <c:pt idx="77">
                  <c:v>95.2</c:v>
                </c:pt>
                <c:pt idx="78">
                  <c:v>93.46</c:v>
                </c:pt>
                <c:pt idx="79">
                  <c:v>93.32</c:v>
                </c:pt>
                <c:pt idx="80">
                  <c:v>92.5</c:v>
                </c:pt>
                <c:pt idx="81">
                  <c:v>90.3</c:v>
                </c:pt>
                <c:pt idx="82">
                  <c:v>94.18</c:v>
                </c:pt>
                <c:pt idx="83">
                  <c:v>92.22</c:v>
                </c:pt>
                <c:pt idx="84">
                  <c:v>85.67</c:v>
                </c:pt>
                <c:pt idx="85">
                  <c:v>86.25</c:v>
                </c:pt>
                <c:pt idx="86">
                  <c:v>89.26</c:v>
                </c:pt>
                <c:pt idx="87">
                  <c:v>90.63</c:v>
                </c:pt>
                <c:pt idx="88">
                  <c:v>92.09</c:v>
                </c:pt>
                <c:pt idx="89">
                  <c:v>92.52</c:v>
                </c:pt>
                <c:pt idx="90">
                  <c:v>93.8</c:v>
                </c:pt>
                <c:pt idx="91">
                  <c:v>93.93</c:v>
                </c:pt>
                <c:pt idx="92">
                  <c:v>91.5</c:v>
                </c:pt>
                <c:pt idx="93">
                  <c:v>86.7</c:v>
                </c:pt>
                <c:pt idx="94">
                  <c:v>89.9</c:v>
                </c:pt>
                <c:pt idx="95">
                  <c:v>93.1</c:v>
                </c:pt>
                <c:pt idx="96">
                  <c:v>87.07</c:v>
                </c:pt>
                <c:pt idx="97">
                  <c:v>81.290000000000006</c:v>
                </c:pt>
                <c:pt idx="98">
                  <c:v>88.9</c:v>
                </c:pt>
                <c:pt idx="99">
                  <c:v>88.64</c:v>
                </c:pt>
                <c:pt idx="100">
                  <c:v>93.7</c:v>
                </c:pt>
                <c:pt idx="101">
                  <c:v>93.67</c:v>
                </c:pt>
                <c:pt idx="102">
                  <c:v>92.5</c:v>
                </c:pt>
                <c:pt idx="103">
                  <c:v>92.53</c:v>
                </c:pt>
                <c:pt idx="104">
                  <c:v>87.46</c:v>
                </c:pt>
                <c:pt idx="105">
                  <c:v>90</c:v>
                </c:pt>
                <c:pt idx="106">
                  <c:v>91.7</c:v>
                </c:pt>
                <c:pt idx="107">
                  <c:v>92.47</c:v>
                </c:pt>
                <c:pt idx="108">
                  <c:v>86.76</c:v>
                </c:pt>
                <c:pt idx="109">
                  <c:v>85.58</c:v>
                </c:pt>
                <c:pt idx="110">
                  <c:v>87.06</c:v>
                </c:pt>
              </c:numCache>
            </c:numRef>
          </c:val>
          <c:smooth val="0"/>
          <c:extLst xmlns:c16r2="http://schemas.microsoft.com/office/drawing/2015/06/chart">
            <c:ext xmlns:c16="http://schemas.microsoft.com/office/drawing/2014/chart" uri="{C3380CC4-5D6E-409C-BE32-E72D297353CC}">
              <c16:uniqueId val="{00000000-2F0B-44CA-9816-96DE0B16BA56}"/>
            </c:ext>
          </c:extLst>
        </c:ser>
        <c:ser>
          <c:idx val="1"/>
          <c:order val="1"/>
          <c:tx>
            <c:strRef>
              <c:f>炼油厂开工率!$C$2</c:f>
              <c:strCache>
                <c:ptCount val="1"/>
                <c:pt idx="0">
                  <c:v>炼油厂开工率:欧洲16国</c:v>
                </c:pt>
              </c:strCache>
            </c:strRef>
          </c:tx>
          <c:spPr>
            <a:ln w="25400" cap="rnd" cmpd="sng" algn="ctr">
              <a:solidFill>
                <a:srgbClr val="74A3BA"/>
              </a:solidFill>
              <a:prstDash val="solid"/>
              <a:round/>
              <a:headEnd type="none" w="med" len="med"/>
              <a:tailEnd type="none" w="med" len="med"/>
            </a:ln>
          </c:spPr>
          <c:marker>
            <c:symbol val="none"/>
          </c:marker>
          <c:cat>
            <c:strRef>
              <c:f>炼油厂开工率!$E$187:$E$297</c:f>
              <c:strCache>
                <c:ptCount val="111"/>
                <c:pt idx="0">
                  <c:v>1月
2016</c:v>
                </c:pt>
                <c:pt idx="1">
                  <c:v>2月</c:v>
                </c:pt>
                <c:pt idx="2">
                  <c:v>3月</c:v>
                </c:pt>
                <c:pt idx="3">
                  <c:v>4月</c:v>
                </c:pt>
                <c:pt idx="4">
                  <c:v>5月</c:v>
                </c:pt>
                <c:pt idx="5">
                  <c:v>6月</c:v>
                </c:pt>
                <c:pt idx="6">
                  <c:v>7月</c:v>
                </c:pt>
                <c:pt idx="7">
                  <c:v>8月</c:v>
                </c:pt>
                <c:pt idx="8">
                  <c:v>9月</c:v>
                </c:pt>
                <c:pt idx="9">
                  <c:v>10月</c:v>
                </c:pt>
                <c:pt idx="10">
                  <c:v>11月</c:v>
                </c:pt>
                <c:pt idx="11">
                  <c:v>12月</c:v>
                </c:pt>
                <c:pt idx="12">
                  <c:v>1月
2017</c:v>
                </c:pt>
                <c:pt idx="13">
                  <c:v>2月</c:v>
                </c:pt>
                <c:pt idx="14">
                  <c:v>3月</c:v>
                </c:pt>
                <c:pt idx="15">
                  <c:v>4月</c:v>
                </c:pt>
                <c:pt idx="16">
                  <c:v>5月</c:v>
                </c:pt>
                <c:pt idx="17">
                  <c:v>6月</c:v>
                </c:pt>
                <c:pt idx="18">
                  <c:v>7月</c:v>
                </c:pt>
                <c:pt idx="19">
                  <c:v>8月</c:v>
                </c:pt>
                <c:pt idx="20">
                  <c:v>9月</c:v>
                </c:pt>
                <c:pt idx="21">
                  <c:v>10月</c:v>
                </c:pt>
                <c:pt idx="22">
                  <c:v>11月</c:v>
                </c:pt>
                <c:pt idx="23">
                  <c:v>12月</c:v>
                </c:pt>
                <c:pt idx="24">
                  <c:v>1月
2018</c:v>
                </c:pt>
                <c:pt idx="25">
                  <c:v>2月</c:v>
                </c:pt>
                <c:pt idx="26">
                  <c:v>3月</c:v>
                </c:pt>
                <c:pt idx="27">
                  <c:v>4月</c:v>
                </c:pt>
                <c:pt idx="28">
                  <c:v>5月</c:v>
                </c:pt>
                <c:pt idx="29">
                  <c:v>6月</c:v>
                </c:pt>
                <c:pt idx="30">
                  <c:v>7月</c:v>
                </c:pt>
                <c:pt idx="31">
                  <c:v>8月</c:v>
                </c:pt>
                <c:pt idx="32">
                  <c:v>9月</c:v>
                </c:pt>
                <c:pt idx="33">
                  <c:v>10月</c:v>
                </c:pt>
                <c:pt idx="34">
                  <c:v>11月</c:v>
                </c:pt>
                <c:pt idx="35">
                  <c:v>12月</c:v>
                </c:pt>
                <c:pt idx="36">
                  <c:v>1月
2019</c:v>
                </c:pt>
                <c:pt idx="37">
                  <c:v>2月</c:v>
                </c:pt>
                <c:pt idx="38">
                  <c:v>3月</c:v>
                </c:pt>
                <c:pt idx="39">
                  <c:v>4月</c:v>
                </c:pt>
                <c:pt idx="40">
                  <c:v>5月</c:v>
                </c:pt>
                <c:pt idx="41">
                  <c:v>6月</c:v>
                </c:pt>
                <c:pt idx="42">
                  <c:v>7月</c:v>
                </c:pt>
                <c:pt idx="43">
                  <c:v>8月</c:v>
                </c:pt>
                <c:pt idx="44">
                  <c:v>9月</c:v>
                </c:pt>
                <c:pt idx="45">
                  <c:v>10月</c:v>
                </c:pt>
                <c:pt idx="46">
                  <c:v>11月</c:v>
                </c:pt>
                <c:pt idx="47">
                  <c:v>12月</c:v>
                </c:pt>
                <c:pt idx="48">
                  <c:v>1月
2020</c:v>
                </c:pt>
                <c:pt idx="49">
                  <c:v>2月</c:v>
                </c:pt>
                <c:pt idx="50">
                  <c:v>3月</c:v>
                </c:pt>
                <c:pt idx="51">
                  <c:v>4月</c:v>
                </c:pt>
                <c:pt idx="52">
                  <c:v>5月</c:v>
                </c:pt>
                <c:pt idx="53">
                  <c:v>6月</c:v>
                </c:pt>
                <c:pt idx="54">
                  <c:v>7月</c:v>
                </c:pt>
                <c:pt idx="55">
                  <c:v>8月</c:v>
                </c:pt>
                <c:pt idx="56">
                  <c:v>9月</c:v>
                </c:pt>
                <c:pt idx="57">
                  <c:v>10月</c:v>
                </c:pt>
                <c:pt idx="58">
                  <c:v>11月</c:v>
                </c:pt>
                <c:pt idx="59">
                  <c:v>12月</c:v>
                </c:pt>
                <c:pt idx="60">
                  <c:v>1月
2021</c:v>
                </c:pt>
                <c:pt idx="61">
                  <c:v>2月</c:v>
                </c:pt>
                <c:pt idx="62">
                  <c:v>3月</c:v>
                </c:pt>
                <c:pt idx="63">
                  <c:v>4月</c:v>
                </c:pt>
                <c:pt idx="64">
                  <c:v>5月</c:v>
                </c:pt>
                <c:pt idx="65">
                  <c:v>6月</c:v>
                </c:pt>
                <c:pt idx="66">
                  <c:v>7月</c:v>
                </c:pt>
                <c:pt idx="67">
                  <c:v>8月</c:v>
                </c:pt>
                <c:pt idx="68">
                  <c:v>9月</c:v>
                </c:pt>
                <c:pt idx="69">
                  <c:v>10月</c:v>
                </c:pt>
                <c:pt idx="70">
                  <c:v>11月</c:v>
                </c:pt>
                <c:pt idx="71">
                  <c:v>12月</c:v>
                </c:pt>
                <c:pt idx="72">
                  <c:v>1月
2022</c:v>
                </c:pt>
                <c:pt idx="73">
                  <c:v>2月</c:v>
                </c:pt>
                <c:pt idx="74">
                  <c:v>3月</c:v>
                </c:pt>
                <c:pt idx="75">
                  <c:v>4月</c:v>
                </c:pt>
                <c:pt idx="76">
                  <c:v>5月</c:v>
                </c:pt>
                <c:pt idx="77">
                  <c:v>6月</c:v>
                </c:pt>
                <c:pt idx="78">
                  <c:v>7月</c:v>
                </c:pt>
                <c:pt idx="79">
                  <c:v>8月</c:v>
                </c:pt>
                <c:pt idx="80">
                  <c:v>9月</c:v>
                </c:pt>
                <c:pt idx="81">
                  <c:v>10月</c:v>
                </c:pt>
                <c:pt idx="82">
                  <c:v>11月</c:v>
                </c:pt>
                <c:pt idx="83">
                  <c:v>12月</c:v>
                </c:pt>
                <c:pt idx="84">
                  <c:v>1月
2023</c:v>
                </c:pt>
                <c:pt idx="85">
                  <c:v>2月</c:v>
                </c:pt>
                <c:pt idx="86">
                  <c:v>3月</c:v>
                </c:pt>
                <c:pt idx="87">
                  <c:v>4月</c:v>
                </c:pt>
                <c:pt idx="88">
                  <c:v>5月</c:v>
                </c:pt>
                <c:pt idx="89">
                  <c:v>6月</c:v>
                </c:pt>
                <c:pt idx="90">
                  <c:v>7月</c:v>
                </c:pt>
                <c:pt idx="91">
                  <c:v>8月</c:v>
                </c:pt>
                <c:pt idx="92">
                  <c:v>9月</c:v>
                </c:pt>
                <c:pt idx="93">
                  <c:v>10月</c:v>
                </c:pt>
                <c:pt idx="94">
                  <c:v>11月</c:v>
                </c:pt>
                <c:pt idx="95">
                  <c:v>12月</c:v>
                </c:pt>
                <c:pt idx="96">
                  <c:v>1月</c:v>
                </c:pt>
                <c:pt idx="97">
                  <c:v>2月</c:v>
                </c:pt>
                <c:pt idx="98">
                  <c:v>3月
2024</c:v>
                </c:pt>
                <c:pt idx="99">
                  <c:v>4月</c:v>
                </c:pt>
                <c:pt idx="100">
                  <c:v>5月</c:v>
                </c:pt>
                <c:pt idx="101">
                  <c:v>6月</c:v>
                </c:pt>
                <c:pt idx="102">
                  <c:v>7月</c:v>
                </c:pt>
                <c:pt idx="103">
                  <c:v>8月</c:v>
                </c:pt>
                <c:pt idx="104">
                  <c:v>9月
2024</c:v>
                </c:pt>
                <c:pt idx="105">
                  <c:v>10月</c:v>
                </c:pt>
                <c:pt idx="106">
                  <c:v>11月</c:v>
                </c:pt>
                <c:pt idx="107">
                  <c:v>12月</c:v>
                </c:pt>
                <c:pt idx="108">
                  <c:v>1月</c:v>
                </c:pt>
                <c:pt idx="109">
                  <c:v>2月</c:v>
                </c:pt>
                <c:pt idx="110">
                  <c:v>3月
2025</c:v>
                </c:pt>
              </c:strCache>
            </c:strRef>
          </c:cat>
          <c:val>
            <c:numRef>
              <c:f>炼油厂开工率!$C$187:$C$297</c:f>
              <c:numCache>
                <c:formatCode>#,##0.00_ </c:formatCode>
                <c:ptCount val="111"/>
                <c:pt idx="0">
                  <c:v>88.77</c:v>
                </c:pt>
                <c:pt idx="1">
                  <c:v>88.56</c:v>
                </c:pt>
                <c:pt idx="2">
                  <c:v>85.81</c:v>
                </c:pt>
                <c:pt idx="3">
                  <c:v>84.97</c:v>
                </c:pt>
                <c:pt idx="4">
                  <c:v>81.569999999999993</c:v>
                </c:pt>
                <c:pt idx="5">
                  <c:v>84.5</c:v>
                </c:pt>
                <c:pt idx="6">
                  <c:v>88.84</c:v>
                </c:pt>
                <c:pt idx="7">
                  <c:v>90.2</c:v>
                </c:pt>
                <c:pt idx="8">
                  <c:v>88.97</c:v>
                </c:pt>
                <c:pt idx="9">
                  <c:v>88.74</c:v>
                </c:pt>
                <c:pt idx="10">
                  <c:v>90.3</c:v>
                </c:pt>
                <c:pt idx="11">
                  <c:v>90.63</c:v>
                </c:pt>
                <c:pt idx="12">
                  <c:v>89.06</c:v>
                </c:pt>
                <c:pt idx="13">
                  <c:v>87.45</c:v>
                </c:pt>
                <c:pt idx="14">
                  <c:v>89.17</c:v>
                </c:pt>
                <c:pt idx="15">
                  <c:v>89.93</c:v>
                </c:pt>
                <c:pt idx="16">
                  <c:v>87.61</c:v>
                </c:pt>
                <c:pt idx="17">
                  <c:v>90.35</c:v>
                </c:pt>
                <c:pt idx="18">
                  <c:v>92.57</c:v>
                </c:pt>
                <c:pt idx="19">
                  <c:v>90.72</c:v>
                </c:pt>
                <c:pt idx="20">
                  <c:v>92.4</c:v>
                </c:pt>
                <c:pt idx="21">
                  <c:v>89.86</c:v>
                </c:pt>
                <c:pt idx="22">
                  <c:v>92.17</c:v>
                </c:pt>
                <c:pt idx="23">
                  <c:v>89.7</c:v>
                </c:pt>
                <c:pt idx="24">
                  <c:v>90.43</c:v>
                </c:pt>
                <c:pt idx="25">
                  <c:v>87.69</c:v>
                </c:pt>
                <c:pt idx="26">
                  <c:v>80.78</c:v>
                </c:pt>
                <c:pt idx="27">
                  <c:v>84.9</c:v>
                </c:pt>
                <c:pt idx="28">
                  <c:v>85.61</c:v>
                </c:pt>
                <c:pt idx="29">
                  <c:v>86.57</c:v>
                </c:pt>
                <c:pt idx="30">
                  <c:v>86.75</c:v>
                </c:pt>
                <c:pt idx="31">
                  <c:v>88.79</c:v>
                </c:pt>
                <c:pt idx="32">
                  <c:v>85.62</c:v>
                </c:pt>
                <c:pt idx="33">
                  <c:v>87.81</c:v>
                </c:pt>
                <c:pt idx="34">
                  <c:v>82.99</c:v>
                </c:pt>
                <c:pt idx="35">
                  <c:v>85.02</c:v>
                </c:pt>
                <c:pt idx="36">
                  <c:v>85.36</c:v>
                </c:pt>
                <c:pt idx="37">
                  <c:v>87</c:v>
                </c:pt>
                <c:pt idx="38">
                  <c:v>81.650000000000006</c:v>
                </c:pt>
                <c:pt idx="39">
                  <c:v>83.3</c:v>
                </c:pt>
                <c:pt idx="40">
                  <c:v>78.55</c:v>
                </c:pt>
                <c:pt idx="41">
                  <c:v>78.069999999999993</c:v>
                </c:pt>
                <c:pt idx="42">
                  <c:v>86.03</c:v>
                </c:pt>
                <c:pt idx="43">
                  <c:v>83.52</c:v>
                </c:pt>
                <c:pt idx="44">
                  <c:v>79.739999999999995</c:v>
                </c:pt>
                <c:pt idx="45">
                  <c:v>79.03</c:v>
                </c:pt>
                <c:pt idx="46">
                  <c:v>79.64</c:v>
                </c:pt>
                <c:pt idx="47">
                  <c:v>84.09</c:v>
                </c:pt>
                <c:pt idx="48">
                  <c:v>82.23</c:v>
                </c:pt>
                <c:pt idx="49">
                  <c:v>81.64</c:v>
                </c:pt>
                <c:pt idx="50">
                  <c:v>75.3</c:v>
                </c:pt>
                <c:pt idx="51">
                  <c:v>68.319999999999993</c:v>
                </c:pt>
                <c:pt idx="52">
                  <c:v>68.069999999999993</c:v>
                </c:pt>
                <c:pt idx="53">
                  <c:v>68.3</c:v>
                </c:pt>
                <c:pt idx="54">
                  <c:v>69.59</c:v>
                </c:pt>
                <c:pt idx="55">
                  <c:v>71.459999999999994</c:v>
                </c:pt>
                <c:pt idx="56">
                  <c:v>72.040000000000006</c:v>
                </c:pt>
                <c:pt idx="57">
                  <c:v>67.790000000000006</c:v>
                </c:pt>
                <c:pt idx="58">
                  <c:v>72.69</c:v>
                </c:pt>
                <c:pt idx="59">
                  <c:v>69.94</c:v>
                </c:pt>
                <c:pt idx="60">
                  <c:v>69.44</c:v>
                </c:pt>
                <c:pt idx="61">
                  <c:v>72.59</c:v>
                </c:pt>
                <c:pt idx="62">
                  <c:v>73.459999999999994</c:v>
                </c:pt>
                <c:pt idx="63">
                  <c:v>74.09</c:v>
                </c:pt>
                <c:pt idx="64">
                  <c:v>76.099999999999994</c:v>
                </c:pt>
                <c:pt idx="65">
                  <c:v>76.680000000000007</c:v>
                </c:pt>
                <c:pt idx="66">
                  <c:v>79.010000000000005</c:v>
                </c:pt>
                <c:pt idx="67">
                  <c:v>82.69</c:v>
                </c:pt>
                <c:pt idx="68">
                  <c:v>79.489999999999995</c:v>
                </c:pt>
                <c:pt idx="69">
                  <c:v>79.3</c:v>
                </c:pt>
                <c:pt idx="70">
                  <c:v>83.95</c:v>
                </c:pt>
                <c:pt idx="71">
                  <c:v>82.46</c:v>
                </c:pt>
                <c:pt idx="72">
                  <c:v>81.430000000000007</c:v>
                </c:pt>
                <c:pt idx="73">
                  <c:v>80.42</c:v>
                </c:pt>
                <c:pt idx="74">
                  <c:v>78.41</c:v>
                </c:pt>
                <c:pt idx="75">
                  <c:v>81.81</c:v>
                </c:pt>
                <c:pt idx="76">
                  <c:v>83.61</c:v>
                </c:pt>
                <c:pt idx="77">
                  <c:v>85.41</c:v>
                </c:pt>
                <c:pt idx="78">
                  <c:v>86.08</c:v>
                </c:pt>
                <c:pt idx="79">
                  <c:v>85.43</c:v>
                </c:pt>
                <c:pt idx="80">
                  <c:v>84.4</c:v>
                </c:pt>
                <c:pt idx="81">
                  <c:v>78.430000000000007</c:v>
                </c:pt>
                <c:pt idx="82">
                  <c:v>83.34</c:v>
                </c:pt>
                <c:pt idx="83">
                  <c:v>84.34</c:v>
                </c:pt>
                <c:pt idx="84">
                  <c:v>85.92</c:v>
                </c:pt>
                <c:pt idx="85">
                  <c:v>83.58</c:v>
                </c:pt>
                <c:pt idx="86">
                  <c:v>77.3</c:v>
                </c:pt>
                <c:pt idx="87">
                  <c:v>80.84</c:v>
                </c:pt>
                <c:pt idx="88">
                  <c:v>80.02</c:v>
                </c:pt>
                <c:pt idx="89">
                  <c:v>80.58</c:v>
                </c:pt>
                <c:pt idx="90">
                  <c:v>81.75</c:v>
                </c:pt>
                <c:pt idx="91">
                  <c:v>82.69</c:v>
                </c:pt>
                <c:pt idx="92">
                  <c:v>83.76</c:v>
                </c:pt>
                <c:pt idx="93">
                  <c:v>79.97</c:v>
                </c:pt>
                <c:pt idx="94">
                  <c:v>81.25</c:v>
                </c:pt>
                <c:pt idx="95">
                  <c:v>82.99</c:v>
                </c:pt>
                <c:pt idx="96">
                  <c:v>81.8</c:v>
                </c:pt>
                <c:pt idx="97">
                  <c:v>83.03</c:v>
                </c:pt>
                <c:pt idx="98">
                  <c:v>77.17</c:v>
                </c:pt>
                <c:pt idx="99">
                  <c:v>82.61</c:v>
                </c:pt>
                <c:pt idx="100">
                  <c:v>78.91</c:v>
                </c:pt>
                <c:pt idx="101">
                  <c:v>81.150000000000006</c:v>
                </c:pt>
                <c:pt idx="102">
                  <c:v>82.37</c:v>
                </c:pt>
                <c:pt idx="103">
                  <c:v>83.13</c:v>
                </c:pt>
                <c:pt idx="104">
                  <c:v>81.99</c:v>
                </c:pt>
                <c:pt idx="105">
                  <c:v>79.97</c:v>
                </c:pt>
                <c:pt idx="106">
                  <c:v>84.67</c:v>
                </c:pt>
                <c:pt idx="107">
                  <c:v>83.11</c:v>
                </c:pt>
                <c:pt idx="108">
                  <c:v>82.69</c:v>
                </c:pt>
                <c:pt idx="109">
                  <c:v>78.930000000000007</c:v>
                </c:pt>
                <c:pt idx="110">
                  <c:v>77.02</c:v>
                </c:pt>
              </c:numCache>
            </c:numRef>
          </c:val>
          <c:smooth val="0"/>
          <c:extLst xmlns:c16r2="http://schemas.microsoft.com/office/drawing/2015/06/chart">
            <c:ext xmlns:c16="http://schemas.microsoft.com/office/drawing/2014/chart" uri="{C3380CC4-5D6E-409C-BE32-E72D297353CC}">
              <c16:uniqueId val="{00000001-2F0B-44CA-9816-96DE0B16BA56}"/>
            </c:ext>
          </c:extLst>
        </c:ser>
        <c:dLbls>
          <c:showLegendKey val="0"/>
          <c:showVal val="0"/>
          <c:showCatName val="0"/>
          <c:showSerName val="0"/>
          <c:showPercent val="0"/>
          <c:showBubbleSize val="0"/>
        </c:dLbls>
        <c:marker val="1"/>
        <c:smooth val="0"/>
        <c:axId val="379581952"/>
        <c:axId val="379583488"/>
      </c:lineChart>
      <c:dateAx>
        <c:axId val="379581952"/>
        <c:scaling>
          <c:orientation val="minMax"/>
        </c:scaling>
        <c:delete val="0"/>
        <c:axPos val="b"/>
        <c:numFmt formatCode="m&quot;月&quot;;@" sourceLinked="0"/>
        <c:majorTickMark val="out"/>
        <c:minorTickMark val="none"/>
        <c:tickLblPos val="low"/>
        <c:spPr>
          <a:ln w="15875" cap="flat" cmpd="sng" algn="ctr">
            <a:solidFill>
              <a:srgbClr val="000000"/>
            </a:solidFill>
            <a:prstDash val="solid"/>
            <a:round/>
          </a:ln>
        </c:spPr>
        <c:txPr>
          <a:bodyPr rot="0" spcFirstLastPara="0" vertOverflow="ellipsis" vert="horz" wrap="square" anchor="ctr" anchorCtr="1" forceAA="0"/>
          <a:lstStyle/>
          <a:p>
            <a:pPr algn="ctr">
              <a:defRPr lang="zh-CN" altLang="en-US" sz="800" b="0" i="0" u="none" strike="noStrike" kern="1200" baseline="0">
                <a:solidFill>
                  <a:sysClr val="windowText" lastClr="000000"/>
                </a:solidFill>
                <a:latin typeface="+mj-lt"/>
                <a:ea typeface="楷体" panose="02010609060101010101" pitchFamily="3" charset="-122"/>
                <a:cs typeface="Arial Unicode MS" pitchFamily="2" charset="-122"/>
              </a:defRPr>
            </a:pPr>
            <a:endParaRPr lang="zh-CN"/>
          </a:p>
        </c:txPr>
        <c:crossAx val="379583488"/>
        <c:crosses val="autoZero"/>
        <c:auto val="0"/>
        <c:lblOffset val="100"/>
        <c:baseTimeUnit val="days"/>
      </c:dateAx>
      <c:valAx>
        <c:axId val="379583488"/>
        <c:scaling>
          <c:orientation val="minMax"/>
          <c:min val="60"/>
        </c:scaling>
        <c:delete val="0"/>
        <c:axPos val="l"/>
        <c:numFmt formatCode="General" sourceLinked="0"/>
        <c:majorTickMark val="out"/>
        <c:minorTickMark val="none"/>
        <c:tickLblPos val="nextTo"/>
        <c:spPr>
          <a:ln w="15875" cap="flat" cmpd="sng" algn="ctr">
            <a:solidFill>
              <a:srgbClr val="000000"/>
            </a:solidFill>
            <a:prstDash val="solid"/>
            <a:round/>
          </a:ln>
        </c:spPr>
        <c:txPr>
          <a:bodyPr rot="-60000000" spcFirstLastPara="0" vertOverflow="ellipsis" vert="horz" wrap="square" anchor="ctr" anchorCtr="1"/>
          <a:lstStyle/>
          <a:p>
            <a:pPr>
              <a:defRPr lang="zh-CN" altLang="en-US" sz="800" b="0" i="0" u="none" strike="noStrike" kern="1200" baseline="0">
                <a:solidFill>
                  <a:sysClr val="windowText" lastClr="000000"/>
                </a:solidFill>
                <a:latin typeface="+mj-lt"/>
                <a:ea typeface="Arial Unicode MS" pitchFamily="2" charset="-122"/>
                <a:cs typeface="Arial Unicode MS" pitchFamily="2" charset="-122"/>
              </a:defRPr>
            </a:pPr>
            <a:endParaRPr lang="zh-CN"/>
          </a:p>
        </c:txPr>
        <c:crossAx val="379581952"/>
        <c:crosses val="autoZero"/>
        <c:crossBetween val="between"/>
      </c:valAx>
      <c:spPr>
        <a:solidFill>
          <a:srgbClr val="FFFFFF"/>
        </a:solidFill>
        <a:ln w="25400">
          <a:noFill/>
        </a:ln>
        <a:effectLst>
          <a:innerShdw>
            <a:srgbClr val="4F81BD">
              <a:lumMod val="40000"/>
              <a:lumOff val="60000"/>
            </a:srgbClr>
          </a:innerShdw>
        </a:effectLst>
      </c:spPr>
    </c:plotArea>
    <c:legend>
      <c:legendPos val="r"/>
      <c:layout>
        <c:manualLayout>
          <c:xMode val="edge"/>
          <c:yMode val="edge"/>
          <c:x val="0.25902370370370398"/>
          <c:y val="2.52879842321978E-3"/>
          <c:w val="0.52890407407407403"/>
          <c:h val="0.114658524585469"/>
        </c:manualLayout>
      </c:layout>
      <c:overlay val="0"/>
      <c:txPr>
        <a:bodyPr rot="0" spcFirstLastPara="0" vertOverflow="ellipsis" vert="horz" wrap="square" anchor="ctr" anchorCtr="1"/>
        <a:lstStyle/>
        <a:p>
          <a:pPr>
            <a:defRPr lang="zh-CN" altLang="en-US" sz="800" b="0" i="0" u="none" strike="noStrike" kern="1200" baseline="0">
              <a:solidFill>
                <a:sysClr val="windowText" lastClr="000000"/>
              </a:solidFill>
              <a:latin typeface="Cambria Math" panose="02040503050406030204" pitchFamily="18" charset="0"/>
              <a:ea typeface="楷体" panose="02010609060101010101" pitchFamily="3" charset="-122"/>
              <a:cs typeface="Arial Unicode MS" pitchFamily="2" charset="-122"/>
            </a:defRPr>
          </a:pPr>
          <a:endParaRPr lang="zh-CN"/>
        </a:p>
      </c:txPr>
    </c:legend>
    <c:plotVisOnly val="1"/>
    <c:dispBlanksAs val="gap"/>
    <c:showDLblsOverMax val="0"/>
    <c:extLst xmlns:c16r2="http://schemas.microsoft.com/office/drawing/2015/06/chart">
      <c:ext uri="{0b15fc19-7d7d-44ad-8c2d-2c3a37ce22c3}">
        <chartProps xmlns="https://web.wps.cn/et/2018/main" chartId="{61ded621-ce39-4735-8644-c7ac32dae048}"/>
      </c:ext>
    </c:extLst>
  </c:chart>
  <c:spPr>
    <a:solidFill>
      <a:srgbClr val="FFFFFF"/>
    </a:solidFill>
    <a:ln w="25400" cap="flat" cmpd="sng" algn="ctr">
      <a:noFill/>
      <a:prstDash val="solid"/>
      <a:round/>
    </a:ln>
  </c:spPr>
  <c:txPr>
    <a:bodyPr/>
    <a:lstStyle/>
    <a:p>
      <a:pPr algn="ctr">
        <a:defRPr lang="zh-CN" altLang="en-US" sz="800" b="0" i="0" u="none" strike="noStrike" kern="1200" baseline="0">
          <a:solidFill>
            <a:sysClr val="windowText" lastClr="000000"/>
          </a:solidFill>
          <a:latin typeface="Arial Unicode MS" pitchFamily="2" charset="-122"/>
          <a:ea typeface="Arial Unicode MS" pitchFamily="2" charset="-122"/>
          <a:cs typeface="Arial Unicode MS" pitchFamily="2" charset="-122"/>
        </a:defRPr>
      </a:pPr>
      <a:endParaRPr lang="zh-CN"/>
    </a:p>
  </c:txPr>
  <c:externalData r:id="rId2">
    <c:autoUpdate val="0"/>
  </c:externalData>
  <c:userShapes r:id="rId3"/>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7986327290483996E-2"/>
          <c:y val="9.0803846153846096E-2"/>
          <c:w val="0.79292673611111097"/>
          <c:h val="0.68308333333333304"/>
        </c:manualLayout>
      </c:layout>
      <c:barChart>
        <c:barDir val="col"/>
        <c:grouping val="clustered"/>
        <c:varyColors val="0"/>
        <c:ser>
          <c:idx val="1"/>
          <c:order val="0"/>
          <c:tx>
            <c:strRef>
              <c:f>美国商业原油库存增减</c:f>
              <c:strCache>
                <c:ptCount val="1"/>
                <c:pt idx="0">
                  <c:v>美国商业原油库存增减</c:v>
                </c:pt>
              </c:strCache>
            </c:strRef>
          </c:tx>
          <c:spPr>
            <a:solidFill>
              <a:srgbClr val="106D9C"/>
            </a:solidFill>
            <a:ln w="25400" cap="flat" cmpd="sng" algn="ctr">
              <a:solidFill>
                <a:srgbClr val="106D9C"/>
              </a:solidFill>
              <a:prstDash val="solid"/>
            </a:ln>
            <a:effectLst/>
          </c:spPr>
          <c:invertIfNegative val="0"/>
          <c:cat>
            <c:numRef>
              <c:f>'美国原油（周）'!$K$269:$K$544</c:f>
              <c:numCache>
                <c:formatCode>yyyy\-mm\-dd</c:formatCode>
                <c:ptCount val="276"/>
                <c:pt idx="0">
                  <c:v>43833</c:v>
                </c:pt>
                <c:pt idx="1">
                  <c:v>43840</c:v>
                </c:pt>
                <c:pt idx="2">
                  <c:v>43847</c:v>
                </c:pt>
                <c:pt idx="3">
                  <c:v>43854</c:v>
                </c:pt>
                <c:pt idx="4">
                  <c:v>43861</c:v>
                </c:pt>
                <c:pt idx="5">
                  <c:v>43868</c:v>
                </c:pt>
                <c:pt idx="6">
                  <c:v>43875</c:v>
                </c:pt>
                <c:pt idx="7">
                  <c:v>43882</c:v>
                </c:pt>
                <c:pt idx="8">
                  <c:v>43889</c:v>
                </c:pt>
                <c:pt idx="9">
                  <c:v>43896</c:v>
                </c:pt>
                <c:pt idx="10">
                  <c:v>43903</c:v>
                </c:pt>
                <c:pt idx="11">
                  <c:v>43910</c:v>
                </c:pt>
                <c:pt idx="12">
                  <c:v>43917</c:v>
                </c:pt>
                <c:pt idx="13">
                  <c:v>43924</c:v>
                </c:pt>
                <c:pt idx="14">
                  <c:v>43931</c:v>
                </c:pt>
                <c:pt idx="15">
                  <c:v>43938</c:v>
                </c:pt>
                <c:pt idx="16">
                  <c:v>43945</c:v>
                </c:pt>
                <c:pt idx="17">
                  <c:v>43952</c:v>
                </c:pt>
                <c:pt idx="18">
                  <c:v>43959</c:v>
                </c:pt>
                <c:pt idx="19">
                  <c:v>43966</c:v>
                </c:pt>
                <c:pt idx="20">
                  <c:v>43973</c:v>
                </c:pt>
                <c:pt idx="21">
                  <c:v>43980</c:v>
                </c:pt>
                <c:pt idx="22">
                  <c:v>43987</c:v>
                </c:pt>
                <c:pt idx="23">
                  <c:v>43994</c:v>
                </c:pt>
                <c:pt idx="24">
                  <c:v>44001</c:v>
                </c:pt>
                <c:pt idx="25">
                  <c:v>44008</c:v>
                </c:pt>
                <c:pt idx="26">
                  <c:v>44015</c:v>
                </c:pt>
                <c:pt idx="27">
                  <c:v>44022</c:v>
                </c:pt>
                <c:pt idx="28">
                  <c:v>44029</c:v>
                </c:pt>
                <c:pt idx="29">
                  <c:v>44036</c:v>
                </c:pt>
                <c:pt idx="30">
                  <c:v>44043</c:v>
                </c:pt>
                <c:pt idx="31">
                  <c:v>44050</c:v>
                </c:pt>
                <c:pt idx="32">
                  <c:v>44057</c:v>
                </c:pt>
                <c:pt idx="33">
                  <c:v>44064</c:v>
                </c:pt>
                <c:pt idx="34">
                  <c:v>44071</c:v>
                </c:pt>
                <c:pt idx="35">
                  <c:v>44078</c:v>
                </c:pt>
                <c:pt idx="36">
                  <c:v>44085</c:v>
                </c:pt>
                <c:pt idx="37">
                  <c:v>44092</c:v>
                </c:pt>
                <c:pt idx="38">
                  <c:v>44099</c:v>
                </c:pt>
                <c:pt idx="39">
                  <c:v>44106</c:v>
                </c:pt>
                <c:pt idx="40">
                  <c:v>44113</c:v>
                </c:pt>
                <c:pt idx="41">
                  <c:v>44120</c:v>
                </c:pt>
                <c:pt idx="42">
                  <c:v>44127</c:v>
                </c:pt>
                <c:pt idx="43">
                  <c:v>44134</c:v>
                </c:pt>
                <c:pt idx="44">
                  <c:v>44141</c:v>
                </c:pt>
                <c:pt idx="45">
                  <c:v>44148</c:v>
                </c:pt>
                <c:pt idx="46">
                  <c:v>44155</c:v>
                </c:pt>
                <c:pt idx="47">
                  <c:v>44162</c:v>
                </c:pt>
                <c:pt idx="48">
                  <c:v>44169</c:v>
                </c:pt>
                <c:pt idx="49">
                  <c:v>44176</c:v>
                </c:pt>
                <c:pt idx="50">
                  <c:v>44183</c:v>
                </c:pt>
                <c:pt idx="51">
                  <c:v>44190</c:v>
                </c:pt>
                <c:pt idx="52">
                  <c:v>44197</c:v>
                </c:pt>
                <c:pt idx="53">
                  <c:v>44204</c:v>
                </c:pt>
                <c:pt idx="54">
                  <c:v>44211</c:v>
                </c:pt>
                <c:pt idx="55">
                  <c:v>44218</c:v>
                </c:pt>
                <c:pt idx="56">
                  <c:v>44225</c:v>
                </c:pt>
                <c:pt idx="57">
                  <c:v>44232</c:v>
                </c:pt>
                <c:pt idx="58">
                  <c:v>44239</c:v>
                </c:pt>
                <c:pt idx="59">
                  <c:v>44246</c:v>
                </c:pt>
                <c:pt idx="60">
                  <c:v>44253</c:v>
                </c:pt>
                <c:pt idx="61">
                  <c:v>44260</c:v>
                </c:pt>
                <c:pt idx="62">
                  <c:v>44267</c:v>
                </c:pt>
                <c:pt idx="63">
                  <c:v>44274</c:v>
                </c:pt>
                <c:pt idx="64">
                  <c:v>44281</c:v>
                </c:pt>
                <c:pt idx="65">
                  <c:v>44288</c:v>
                </c:pt>
                <c:pt idx="66">
                  <c:v>44295</c:v>
                </c:pt>
                <c:pt idx="67">
                  <c:v>44302</c:v>
                </c:pt>
                <c:pt idx="68">
                  <c:v>44309</c:v>
                </c:pt>
                <c:pt idx="69">
                  <c:v>44316</c:v>
                </c:pt>
                <c:pt idx="70">
                  <c:v>44323</c:v>
                </c:pt>
                <c:pt idx="71">
                  <c:v>44330</c:v>
                </c:pt>
                <c:pt idx="72">
                  <c:v>44337</c:v>
                </c:pt>
                <c:pt idx="73">
                  <c:v>44344</c:v>
                </c:pt>
                <c:pt idx="74">
                  <c:v>44351</c:v>
                </c:pt>
                <c:pt idx="75">
                  <c:v>44358</c:v>
                </c:pt>
                <c:pt idx="76">
                  <c:v>44365</c:v>
                </c:pt>
                <c:pt idx="77">
                  <c:v>44372</c:v>
                </c:pt>
                <c:pt idx="78">
                  <c:v>44379</c:v>
                </c:pt>
                <c:pt idx="79">
                  <c:v>44386</c:v>
                </c:pt>
                <c:pt idx="80">
                  <c:v>44393</c:v>
                </c:pt>
                <c:pt idx="81">
                  <c:v>44400</c:v>
                </c:pt>
                <c:pt idx="82">
                  <c:v>44407</c:v>
                </c:pt>
                <c:pt idx="83">
                  <c:v>44414</c:v>
                </c:pt>
                <c:pt idx="84">
                  <c:v>44421</c:v>
                </c:pt>
                <c:pt idx="85">
                  <c:v>44428</c:v>
                </c:pt>
                <c:pt idx="86">
                  <c:v>44435</c:v>
                </c:pt>
                <c:pt idx="87">
                  <c:v>44442</c:v>
                </c:pt>
                <c:pt idx="88">
                  <c:v>44449</c:v>
                </c:pt>
                <c:pt idx="89">
                  <c:v>44456</c:v>
                </c:pt>
                <c:pt idx="90">
                  <c:v>44463</c:v>
                </c:pt>
                <c:pt idx="91">
                  <c:v>44470</c:v>
                </c:pt>
                <c:pt idx="92">
                  <c:v>44477</c:v>
                </c:pt>
                <c:pt idx="93">
                  <c:v>44484</c:v>
                </c:pt>
                <c:pt idx="94">
                  <c:v>44491</c:v>
                </c:pt>
                <c:pt idx="95">
                  <c:v>44498</c:v>
                </c:pt>
                <c:pt idx="96">
                  <c:v>44505</c:v>
                </c:pt>
                <c:pt idx="97">
                  <c:v>44512</c:v>
                </c:pt>
                <c:pt idx="98">
                  <c:v>44519</c:v>
                </c:pt>
                <c:pt idx="99">
                  <c:v>44526</c:v>
                </c:pt>
                <c:pt idx="100">
                  <c:v>44533</c:v>
                </c:pt>
                <c:pt idx="101">
                  <c:v>44540</c:v>
                </c:pt>
                <c:pt idx="102">
                  <c:v>44547</c:v>
                </c:pt>
                <c:pt idx="103">
                  <c:v>44554</c:v>
                </c:pt>
                <c:pt idx="104">
                  <c:v>44561</c:v>
                </c:pt>
                <c:pt idx="105">
                  <c:v>44568</c:v>
                </c:pt>
                <c:pt idx="106">
                  <c:v>44575</c:v>
                </c:pt>
                <c:pt idx="107">
                  <c:v>44582</c:v>
                </c:pt>
                <c:pt idx="108">
                  <c:v>44589</c:v>
                </c:pt>
                <c:pt idx="109">
                  <c:v>44596</c:v>
                </c:pt>
                <c:pt idx="110">
                  <c:v>44603</c:v>
                </c:pt>
                <c:pt idx="111">
                  <c:v>44610</c:v>
                </c:pt>
                <c:pt idx="112">
                  <c:v>44617</c:v>
                </c:pt>
                <c:pt idx="113">
                  <c:v>44624</c:v>
                </c:pt>
                <c:pt idx="114">
                  <c:v>44631</c:v>
                </c:pt>
                <c:pt idx="115">
                  <c:v>44638</c:v>
                </c:pt>
                <c:pt idx="116">
                  <c:v>44645</c:v>
                </c:pt>
                <c:pt idx="117">
                  <c:v>44652</c:v>
                </c:pt>
                <c:pt idx="118">
                  <c:v>44659</c:v>
                </c:pt>
                <c:pt idx="119">
                  <c:v>44666</c:v>
                </c:pt>
                <c:pt idx="120">
                  <c:v>44673</c:v>
                </c:pt>
                <c:pt idx="121">
                  <c:v>44680</c:v>
                </c:pt>
                <c:pt idx="122">
                  <c:v>44687</c:v>
                </c:pt>
                <c:pt idx="123">
                  <c:v>44694</c:v>
                </c:pt>
                <c:pt idx="124">
                  <c:v>44701</c:v>
                </c:pt>
                <c:pt idx="125">
                  <c:v>44708</c:v>
                </c:pt>
                <c:pt idx="126">
                  <c:v>44715</c:v>
                </c:pt>
                <c:pt idx="127">
                  <c:v>44722</c:v>
                </c:pt>
                <c:pt idx="128">
                  <c:v>44729</c:v>
                </c:pt>
                <c:pt idx="129">
                  <c:v>44736</c:v>
                </c:pt>
                <c:pt idx="130">
                  <c:v>44743</c:v>
                </c:pt>
                <c:pt idx="131">
                  <c:v>44750</c:v>
                </c:pt>
                <c:pt idx="132">
                  <c:v>44757</c:v>
                </c:pt>
                <c:pt idx="133">
                  <c:v>44764</c:v>
                </c:pt>
                <c:pt idx="134">
                  <c:v>44771</c:v>
                </c:pt>
                <c:pt idx="135">
                  <c:v>44778</c:v>
                </c:pt>
                <c:pt idx="136">
                  <c:v>44785</c:v>
                </c:pt>
                <c:pt idx="137">
                  <c:v>44792</c:v>
                </c:pt>
                <c:pt idx="138">
                  <c:v>44799</c:v>
                </c:pt>
                <c:pt idx="139">
                  <c:v>44806</c:v>
                </c:pt>
                <c:pt idx="140">
                  <c:v>44813</c:v>
                </c:pt>
                <c:pt idx="141">
                  <c:v>44820</c:v>
                </c:pt>
                <c:pt idx="142">
                  <c:v>44827</c:v>
                </c:pt>
                <c:pt idx="143">
                  <c:v>44834</c:v>
                </c:pt>
                <c:pt idx="144">
                  <c:v>44841</c:v>
                </c:pt>
                <c:pt idx="145">
                  <c:v>44848</c:v>
                </c:pt>
                <c:pt idx="146">
                  <c:v>44855</c:v>
                </c:pt>
                <c:pt idx="147">
                  <c:v>44862</c:v>
                </c:pt>
                <c:pt idx="148">
                  <c:v>44869</c:v>
                </c:pt>
                <c:pt idx="149">
                  <c:v>44876</c:v>
                </c:pt>
                <c:pt idx="150">
                  <c:v>44883</c:v>
                </c:pt>
                <c:pt idx="151">
                  <c:v>44890</c:v>
                </c:pt>
                <c:pt idx="152">
                  <c:v>44897</c:v>
                </c:pt>
                <c:pt idx="153">
                  <c:v>44904</c:v>
                </c:pt>
                <c:pt idx="154">
                  <c:v>44911</c:v>
                </c:pt>
                <c:pt idx="155">
                  <c:v>44918</c:v>
                </c:pt>
                <c:pt idx="156">
                  <c:v>44925</c:v>
                </c:pt>
                <c:pt idx="157">
                  <c:v>44932</c:v>
                </c:pt>
                <c:pt idx="158">
                  <c:v>44939</c:v>
                </c:pt>
                <c:pt idx="159">
                  <c:v>44946</c:v>
                </c:pt>
                <c:pt idx="160">
                  <c:v>44953</c:v>
                </c:pt>
                <c:pt idx="161">
                  <c:v>44960</c:v>
                </c:pt>
                <c:pt idx="162">
                  <c:v>44967</c:v>
                </c:pt>
                <c:pt idx="163">
                  <c:v>44974</c:v>
                </c:pt>
                <c:pt idx="164">
                  <c:v>44981</c:v>
                </c:pt>
                <c:pt idx="165">
                  <c:v>44988</c:v>
                </c:pt>
                <c:pt idx="166">
                  <c:v>44995</c:v>
                </c:pt>
                <c:pt idx="167">
                  <c:v>45002</c:v>
                </c:pt>
                <c:pt idx="168">
                  <c:v>45009</c:v>
                </c:pt>
                <c:pt idx="169">
                  <c:v>45016</c:v>
                </c:pt>
                <c:pt idx="170">
                  <c:v>45023</c:v>
                </c:pt>
                <c:pt idx="171">
                  <c:v>45030</c:v>
                </c:pt>
                <c:pt idx="172">
                  <c:v>45037</c:v>
                </c:pt>
                <c:pt idx="173">
                  <c:v>45044</c:v>
                </c:pt>
                <c:pt idx="174">
                  <c:v>45051</c:v>
                </c:pt>
                <c:pt idx="175">
                  <c:v>45058</c:v>
                </c:pt>
                <c:pt idx="176">
                  <c:v>45065</c:v>
                </c:pt>
                <c:pt idx="177">
                  <c:v>45072</c:v>
                </c:pt>
                <c:pt idx="178">
                  <c:v>45079</c:v>
                </c:pt>
                <c:pt idx="179">
                  <c:v>45086</c:v>
                </c:pt>
                <c:pt idx="180">
                  <c:v>45093</c:v>
                </c:pt>
                <c:pt idx="181">
                  <c:v>45100</c:v>
                </c:pt>
                <c:pt idx="182">
                  <c:v>45107</c:v>
                </c:pt>
                <c:pt idx="183">
                  <c:v>45114</c:v>
                </c:pt>
                <c:pt idx="184">
                  <c:v>45121</c:v>
                </c:pt>
                <c:pt idx="185">
                  <c:v>45128</c:v>
                </c:pt>
                <c:pt idx="186">
                  <c:v>45135</c:v>
                </c:pt>
                <c:pt idx="187">
                  <c:v>45142</c:v>
                </c:pt>
                <c:pt idx="188">
                  <c:v>45149</c:v>
                </c:pt>
                <c:pt idx="189">
                  <c:v>45156</c:v>
                </c:pt>
                <c:pt idx="190">
                  <c:v>45163</c:v>
                </c:pt>
                <c:pt idx="191">
                  <c:v>45170</c:v>
                </c:pt>
                <c:pt idx="192">
                  <c:v>45177</c:v>
                </c:pt>
                <c:pt idx="193">
                  <c:v>45184</c:v>
                </c:pt>
                <c:pt idx="194">
                  <c:v>45191</c:v>
                </c:pt>
                <c:pt idx="195">
                  <c:v>45198</c:v>
                </c:pt>
                <c:pt idx="196">
                  <c:v>45205</c:v>
                </c:pt>
                <c:pt idx="197">
                  <c:v>45212</c:v>
                </c:pt>
                <c:pt idx="198">
                  <c:v>45219</c:v>
                </c:pt>
                <c:pt idx="199">
                  <c:v>45226</c:v>
                </c:pt>
                <c:pt idx="200">
                  <c:v>45233</c:v>
                </c:pt>
                <c:pt idx="201">
                  <c:v>45240</c:v>
                </c:pt>
                <c:pt idx="202">
                  <c:v>45247</c:v>
                </c:pt>
                <c:pt idx="203">
                  <c:v>45254</c:v>
                </c:pt>
                <c:pt idx="204">
                  <c:v>45261</c:v>
                </c:pt>
                <c:pt idx="205">
                  <c:v>45268</c:v>
                </c:pt>
                <c:pt idx="206">
                  <c:v>45275</c:v>
                </c:pt>
                <c:pt idx="207">
                  <c:v>45282</c:v>
                </c:pt>
                <c:pt idx="208">
                  <c:v>45289</c:v>
                </c:pt>
                <c:pt idx="209">
                  <c:v>45296</c:v>
                </c:pt>
                <c:pt idx="210">
                  <c:v>45303</c:v>
                </c:pt>
                <c:pt idx="211">
                  <c:v>45310</c:v>
                </c:pt>
                <c:pt idx="212">
                  <c:v>45317</c:v>
                </c:pt>
                <c:pt idx="213">
                  <c:v>45324</c:v>
                </c:pt>
                <c:pt idx="214">
                  <c:v>45331</c:v>
                </c:pt>
                <c:pt idx="215">
                  <c:v>45338</c:v>
                </c:pt>
                <c:pt idx="216">
                  <c:v>45345</c:v>
                </c:pt>
                <c:pt idx="217">
                  <c:v>45352</c:v>
                </c:pt>
                <c:pt idx="218">
                  <c:v>45359</c:v>
                </c:pt>
                <c:pt idx="219">
                  <c:v>45366</c:v>
                </c:pt>
                <c:pt idx="220">
                  <c:v>45373</c:v>
                </c:pt>
                <c:pt idx="221">
                  <c:v>45380</c:v>
                </c:pt>
                <c:pt idx="222">
                  <c:v>45387</c:v>
                </c:pt>
                <c:pt idx="223">
                  <c:v>45394</c:v>
                </c:pt>
                <c:pt idx="224">
                  <c:v>45401</c:v>
                </c:pt>
                <c:pt idx="225">
                  <c:v>45408</c:v>
                </c:pt>
                <c:pt idx="226">
                  <c:v>45415</c:v>
                </c:pt>
                <c:pt idx="227">
                  <c:v>45422</c:v>
                </c:pt>
                <c:pt idx="228">
                  <c:v>45429</c:v>
                </c:pt>
                <c:pt idx="229">
                  <c:v>45436</c:v>
                </c:pt>
                <c:pt idx="230">
                  <c:v>45443</c:v>
                </c:pt>
                <c:pt idx="231">
                  <c:v>45450</c:v>
                </c:pt>
                <c:pt idx="232">
                  <c:v>45457</c:v>
                </c:pt>
                <c:pt idx="233">
                  <c:v>45464</c:v>
                </c:pt>
                <c:pt idx="234">
                  <c:v>45471</c:v>
                </c:pt>
                <c:pt idx="235">
                  <c:v>45478</c:v>
                </c:pt>
                <c:pt idx="236">
                  <c:v>45485</c:v>
                </c:pt>
                <c:pt idx="237">
                  <c:v>45492</c:v>
                </c:pt>
                <c:pt idx="238">
                  <c:v>45499</c:v>
                </c:pt>
                <c:pt idx="239">
                  <c:v>45506</c:v>
                </c:pt>
                <c:pt idx="240">
                  <c:v>45513</c:v>
                </c:pt>
                <c:pt idx="241">
                  <c:v>45520</c:v>
                </c:pt>
                <c:pt idx="242">
                  <c:v>45527</c:v>
                </c:pt>
                <c:pt idx="243">
                  <c:v>45534</c:v>
                </c:pt>
                <c:pt idx="244">
                  <c:v>45541</c:v>
                </c:pt>
                <c:pt idx="245">
                  <c:v>45548</c:v>
                </c:pt>
                <c:pt idx="246">
                  <c:v>45555</c:v>
                </c:pt>
                <c:pt idx="247">
                  <c:v>45562</c:v>
                </c:pt>
                <c:pt idx="248">
                  <c:v>45569</c:v>
                </c:pt>
                <c:pt idx="249">
                  <c:v>45576</c:v>
                </c:pt>
                <c:pt idx="250">
                  <c:v>45583</c:v>
                </c:pt>
                <c:pt idx="251">
                  <c:v>45590</c:v>
                </c:pt>
                <c:pt idx="252">
                  <c:v>45597</c:v>
                </c:pt>
                <c:pt idx="253">
                  <c:v>45604</c:v>
                </c:pt>
                <c:pt idx="254">
                  <c:v>45611</c:v>
                </c:pt>
                <c:pt idx="255">
                  <c:v>45618</c:v>
                </c:pt>
                <c:pt idx="256">
                  <c:v>45625</c:v>
                </c:pt>
                <c:pt idx="257">
                  <c:v>45632</c:v>
                </c:pt>
                <c:pt idx="258">
                  <c:v>45639</c:v>
                </c:pt>
                <c:pt idx="259">
                  <c:v>45646</c:v>
                </c:pt>
                <c:pt idx="260">
                  <c:v>45653</c:v>
                </c:pt>
                <c:pt idx="261">
                  <c:v>45660</c:v>
                </c:pt>
                <c:pt idx="262">
                  <c:v>45667</c:v>
                </c:pt>
                <c:pt idx="263">
                  <c:v>45674</c:v>
                </c:pt>
                <c:pt idx="264">
                  <c:v>45681</c:v>
                </c:pt>
                <c:pt idx="265">
                  <c:v>45688</c:v>
                </c:pt>
                <c:pt idx="266">
                  <c:v>45695</c:v>
                </c:pt>
                <c:pt idx="267">
                  <c:v>45702</c:v>
                </c:pt>
                <c:pt idx="268">
                  <c:v>45709</c:v>
                </c:pt>
                <c:pt idx="269">
                  <c:v>45716</c:v>
                </c:pt>
                <c:pt idx="270">
                  <c:v>45723</c:v>
                </c:pt>
                <c:pt idx="271">
                  <c:v>45730</c:v>
                </c:pt>
                <c:pt idx="272">
                  <c:v>45737</c:v>
                </c:pt>
                <c:pt idx="273">
                  <c:v>45744</c:v>
                </c:pt>
                <c:pt idx="274">
                  <c:v>45751</c:v>
                </c:pt>
                <c:pt idx="275">
                  <c:v>45758</c:v>
                </c:pt>
              </c:numCache>
            </c:numRef>
          </c:cat>
          <c:val>
            <c:numRef>
              <c:f>'美国原油（周）'!$L$269:$L$544</c:f>
              <c:numCache>
                <c:formatCode>#,##0.00_ </c:formatCode>
                <c:ptCount val="276"/>
                <c:pt idx="0">
                  <c:v>1164</c:v>
                </c:pt>
                <c:pt idx="1">
                  <c:v>-2549</c:v>
                </c:pt>
                <c:pt idx="2">
                  <c:v>-405</c:v>
                </c:pt>
                <c:pt idx="3">
                  <c:v>3548</c:v>
                </c:pt>
                <c:pt idx="4">
                  <c:v>3355</c:v>
                </c:pt>
                <c:pt idx="5">
                  <c:v>7459</c:v>
                </c:pt>
                <c:pt idx="6">
                  <c:v>415</c:v>
                </c:pt>
                <c:pt idx="7">
                  <c:v>452</c:v>
                </c:pt>
                <c:pt idx="8">
                  <c:v>784</c:v>
                </c:pt>
                <c:pt idx="9">
                  <c:v>7664</c:v>
                </c:pt>
                <c:pt idx="10">
                  <c:v>1954</c:v>
                </c:pt>
                <c:pt idx="11">
                  <c:v>1623</c:v>
                </c:pt>
                <c:pt idx="12">
                  <c:v>13833</c:v>
                </c:pt>
                <c:pt idx="13">
                  <c:v>15177</c:v>
                </c:pt>
                <c:pt idx="14">
                  <c:v>19248</c:v>
                </c:pt>
                <c:pt idx="15">
                  <c:v>15022</c:v>
                </c:pt>
                <c:pt idx="16">
                  <c:v>8991</c:v>
                </c:pt>
                <c:pt idx="17">
                  <c:v>4590</c:v>
                </c:pt>
                <c:pt idx="18">
                  <c:v>-745</c:v>
                </c:pt>
                <c:pt idx="19">
                  <c:v>-4982</c:v>
                </c:pt>
                <c:pt idx="20">
                  <c:v>7928</c:v>
                </c:pt>
                <c:pt idx="21">
                  <c:v>-2077</c:v>
                </c:pt>
                <c:pt idx="22">
                  <c:v>5720</c:v>
                </c:pt>
                <c:pt idx="23">
                  <c:v>1215</c:v>
                </c:pt>
                <c:pt idx="24">
                  <c:v>1442</c:v>
                </c:pt>
                <c:pt idx="25">
                  <c:v>-7195</c:v>
                </c:pt>
                <c:pt idx="26">
                  <c:v>5654</c:v>
                </c:pt>
                <c:pt idx="27">
                  <c:v>-7493</c:v>
                </c:pt>
                <c:pt idx="28">
                  <c:v>4892</c:v>
                </c:pt>
                <c:pt idx="29">
                  <c:v>-10611</c:v>
                </c:pt>
                <c:pt idx="30">
                  <c:v>-7373</c:v>
                </c:pt>
                <c:pt idx="31">
                  <c:v>-4512</c:v>
                </c:pt>
                <c:pt idx="32">
                  <c:v>-1632</c:v>
                </c:pt>
                <c:pt idx="33">
                  <c:v>-4689</c:v>
                </c:pt>
                <c:pt idx="34">
                  <c:v>-9362</c:v>
                </c:pt>
                <c:pt idx="35">
                  <c:v>2033</c:v>
                </c:pt>
                <c:pt idx="36">
                  <c:v>-4389</c:v>
                </c:pt>
                <c:pt idx="37">
                  <c:v>-1639</c:v>
                </c:pt>
                <c:pt idx="38">
                  <c:v>-1980</c:v>
                </c:pt>
                <c:pt idx="39">
                  <c:v>501</c:v>
                </c:pt>
                <c:pt idx="40">
                  <c:v>-3818</c:v>
                </c:pt>
                <c:pt idx="41">
                  <c:v>-1002</c:v>
                </c:pt>
                <c:pt idx="42">
                  <c:v>4320</c:v>
                </c:pt>
                <c:pt idx="43">
                  <c:v>-7998</c:v>
                </c:pt>
                <c:pt idx="44">
                  <c:v>4277</c:v>
                </c:pt>
                <c:pt idx="45">
                  <c:v>769</c:v>
                </c:pt>
                <c:pt idx="46">
                  <c:v>-754</c:v>
                </c:pt>
                <c:pt idx="47">
                  <c:v>-679</c:v>
                </c:pt>
                <c:pt idx="48">
                  <c:v>15189</c:v>
                </c:pt>
                <c:pt idx="49">
                  <c:v>-3135</c:v>
                </c:pt>
                <c:pt idx="50">
                  <c:v>-562</c:v>
                </c:pt>
                <c:pt idx="51">
                  <c:v>-6065</c:v>
                </c:pt>
                <c:pt idx="52">
                  <c:v>-8010</c:v>
                </c:pt>
                <c:pt idx="53">
                  <c:v>-3248</c:v>
                </c:pt>
                <c:pt idx="54">
                  <c:v>4352</c:v>
                </c:pt>
                <c:pt idx="55">
                  <c:v>-9910</c:v>
                </c:pt>
                <c:pt idx="56">
                  <c:v>-994</c:v>
                </c:pt>
                <c:pt idx="57">
                  <c:v>-6645</c:v>
                </c:pt>
                <c:pt idx="58">
                  <c:v>-7257</c:v>
                </c:pt>
                <c:pt idx="59">
                  <c:v>1285</c:v>
                </c:pt>
                <c:pt idx="60">
                  <c:v>21563</c:v>
                </c:pt>
                <c:pt idx="61">
                  <c:v>13798</c:v>
                </c:pt>
                <c:pt idx="62">
                  <c:v>2396</c:v>
                </c:pt>
                <c:pt idx="63">
                  <c:v>1912</c:v>
                </c:pt>
                <c:pt idx="64">
                  <c:v>-876</c:v>
                </c:pt>
                <c:pt idx="65">
                  <c:v>-3522</c:v>
                </c:pt>
                <c:pt idx="66">
                  <c:v>-5890</c:v>
                </c:pt>
                <c:pt idx="67">
                  <c:v>594</c:v>
                </c:pt>
                <c:pt idx="68">
                  <c:v>90</c:v>
                </c:pt>
                <c:pt idx="69">
                  <c:v>-7990</c:v>
                </c:pt>
                <c:pt idx="70">
                  <c:v>-426</c:v>
                </c:pt>
                <c:pt idx="71">
                  <c:v>1320</c:v>
                </c:pt>
                <c:pt idx="72">
                  <c:v>-1662</c:v>
                </c:pt>
                <c:pt idx="73">
                  <c:v>-5079</c:v>
                </c:pt>
                <c:pt idx="74">
                  <c:v>-5241</c:v>
                </c:pt>
                <c:pt idx="75">
                  <c:v>-7355</c:v>
                </c:pt>
                <c:pt idx="76">
                  <c:v>-7614</c:v>
                </c:pt>
                <c:pt idx="77">
                  <c:v>-6718</c:v>
                </c:pt>
                <c:pt idx="78">
                  <c:v>-6866</c:v>
                </c:pt>
                <c:pt idx="79">
                  <c:v>-7896</c:v>
                </c:pt>
                <c:pt idx="80">
                  <c:v>2107</c:v>
                </c:pt>
                <c:pt idx="81">
                  <c:v>-4089</c:v>
                </c:pt>
                <c:pt idx="82">
                  <c:v>3627</c:v>
                </c:pt>
                <c:pt idx="83">
                  <c:v>-448</c:v>
                </c:pt>
                <c:pt idx="84">
                  <c:v>-3233</c:v>
                </c:pt>
                <c:pt idx="85">
                  <c:v>-2980</c:v>
                </c:pt>
                <c:pt idx="86">
                  <c:v>-7169</c:v>
                </c:pt>
                <c:pt idx="87">
                  <c:v>-1528</c:v>
                </c:pt>
                <c:pt idx="88">
                  <c:v>-6422</c:v>
                </c:pt>
                <c:pt idx="89">
                  <c:v>-3481</c:v>
                </c:pt>
                <c:pt idx="90">
                  <c:v>4578</c:v>
                </c:pt>
                <c:pt idx="91">
                  <c:v>2345</c:v>
                </c:pt>
                <c:pt idx="92">
                  <c:v>6088</c:v>
                </c:pt>
                <c:pt idx="93">
                  <c:v>-431</c:v>
                </c:pt>
                <c:pt idx="94">
                  <c:v>4268</c:v>
                </c:pt>
                <c:pt idx="95">
                  <c:v>3290</c:v>
                </c:pt>
                <c:pt idx="96">
                  <c:v>1002</c:v>
                </c:pt>
                <c:pt idx="97">
                  <c:v>-2101</c:v>
                </c:pt>
                <c:pt idx="98">
                  <c:v>1017</c:v>
                </c:pt>
                <c:pt idx="99">
                  <c:v>-909</c:v>
                </c:pt>
                <c:pt idx="100">
                  <c:v>-241</c:v>
                </c:pt>
                <c:pt idx="101">
                  <c:v>-4584</c:v>
                </c:pt>
                <c:pt idx="102">
                  <c:v>-4715</c:v>
                </c:pt>
                <c:pt idx="103">
                  <c:v>-3576</c:v>
                </c:pt>
                <c:pt idx="104">
                  <c:v>-2144</c:v>
                </c:pt>
                <c:pt idx="105">
                  <c:v>-4553</c:v>
                </c:pt>
                <c:pt idx="106">
                  <c:v>515</c:v>
                </c:pt>
                <c:pt idx="107">
                  <c:v>2377</c:v>
                </c:pt>
                <c:pt idx="108">
                  <c:v>-1047</c:v>
                </c:pt>
                <c:pt idx="109">
                  <c:v>-4756</c:v>
                </c:pt>
                <c:pt idx="110">
                  <c:v>1121</c:v>
                </c:pt>
                <c:pt idx="111">
                  <c:v>4514</c:v>
                </c:pt>
                <c:pt idx="112">
                  <c:v>-2597</c:v>
                </c:pt>
                <c:pt idx="113">
                  <c:v>-1863</c:v>
                </c:pt>
                <c:pt idx="114">
                  <c:v>4345</c:v>
                </c:pt>
                <c:pt idx="115">
                  <c:v>-2508</c:v>
                </c:pt>
                <c:pt idx="116">
                  <c:v>-3449</c:v>
                </c:pt>
                <c:pt idx="117">
                  <c:v>2421</c:v>
                </c:pt>
                <c:pt idx="118">
                  <c:v>9382</c:v>
                </c:pt>
                <c:pt idx="119">
                  <c:v>-8020</c:v>
                </c:pt>
                <c:pt idx="120">
                  <c:v>691</c:v>
                </c:pt>
                <c:pt idx="121">
                  <c:v>1303</c:v>
                </c:pt>
                <c:pt idx="122">
                  <c:v>8487</c:v>
                </c:pt>
                <c:pt idx="123">
                  <c:v>-3394</c:v>
                </c:pt>
                <c:pt idx="124">
                  <c:v>-1019</c:v>
                </c:pt>
                <c:pt idx="125">
                  <c:v>-5068</c:v>
                </c:pt>
                <c:pt idx="126">
                  <c:v>2025</c:v>
                </c:pt>
                <c:pt idx="127">
                  <c:v>1956</c:v>
                </c:pt>
                <c:pt idx="128">
                  <c:v>-386</c:v>
                </c:pt>
                <c:pt idx="129">
                  <c:v>-2762</c:v>
                </c:pt>
                <c:pt idx="130">
                  <c:v>8234</c:v>
                </c:pt>
                <c:pt idx="131">
                  <c:v>3254</c:v>
                </c:pt>
                <c:pt idx="132">
                  <c:v>-445</c:v>
                </c:pt>
                <c:pt idx="133">
                  <c:v>-4523</c:v>
                </c:pt>
                <c:pt idx="134">
                  <c:v>4467</c:v>
                </c:pt>
                <c:pt idx="135">
                  <c:v>5457</c:v>
                </c:pt>
                <c:pt idx="136">
                  <c:v>-7056</c:v>
                </c:pt>
                <c:pt idx="137">
                  <c:v>-3282</c:v>
                </c:pt>
                <c:pt idx="138">
                  <c:v>-3326</c:v>
                </c:pt>
                <c:pt idx="139">
                  <c:v>8845</c:v>
                </c:pt>
                <c:pt idx="140">
                  <c:v>2442</c:v>
                </c:pt>
                <c:pt idx="141">
                  <c:v>1141</c:v>
                </c:pt>
                <c:pt idx="142">
                  <c:v>-215</c:v>
                </c:pt>
                <c:pt idx="143">
                  <c:v>-1356</c:v>
                </c:pt>
                <c:pt idx="144">
                  <c:v>9879</c:v>
                </c:pt>
                <c:pt idx="145">
                  <c:v>-1725</c:v>
                </c:pt>
                <c:pt idx="146">
                  <c:v>2588</c:v>
                </c:pt>
                <c:pt idx="147">
                  <c:v>-3115</c:v>
                </c:pt>
                <c:pt idx="148">
                  <c:v>3925</c:v>
                </c:pt>
                <c:pt idx="149">
                  <c:v>-5400</c:v>
                </c:pt>
                <c:pt idx="150">
                  <c:v>-3690</c:v>
                </c:pt>
                <c:pt idx="151">
                  <c:v>-12581</c:v>
                </c:pt>
                <c:pt idx="152">
                  <c:v>-5186</c:v>
                </c:pt>
                <c:pt idx="153">
                  <c:v>10231</c:v>
                </c:pt>
                <c:pt idx="154">
                  <c:v>-5895</c:v>
                </c:pt>
                <c:pt idx="155">
                  <c:v>718</c:v>
                </c:pt>
                <c:pt idx="156">
                  <c:v>1694</c:v>
                </c:pt>
                <c:pt idx="157">
                  <c:v>18961</c:v>
                </c:pt>
                <c:pt idx="158">
                  <c:v>8408</c:v>
                </c:pt>
                <c:pt idx="159">
                  <c:v>533</c:v>
                </c:pt>
                <c:pt idx="160">
                  <c:v>4140</c:v>
                </c:pt>
                <c:pt idx="161">
                  <c:v>2423</c:v>
                </c:pt>
                <c:pt idx="162">
                  <c:v>16283</c:v>
                </c:pt>
                <c:pt idx="163">
                  <c:v>7647</c:v>
                </c:pt>
                <c:pt idx="164">
                  <c:v>1166</c:v>
                </c:pt>
                <c:pt idx="165">
                  <c:v>-1694</c:v>
                </c:pt>
                <c:pt idx="166">
                  <c:v>1550</c:v>
                </c:pt>
                <c:pt idx="167">
                  <c:v>1117</c:v>
                </c:pt>
                <c:pt idx="168">
                  <c:v>-7489</c:v>
                </c:pt>
                <c:pt idx="169">
                  <c:v>-3739</c:v>
                </c:pt>
                <c:pt idx="170">
                  <c:v>597</c:v>
                </c:pt>
                <c:pt idx="171">
                  <c:v>-4581</c:v>
                </c:pt>
                <c:pt idx="172">
                  <c:v>-5054</c:v>
                </c:pt>
                <c:pt idx="173">
                  <c:v>-1281</c:v>
                </c:pt>
                <c:pt idx="174">
                  <c:v>2951</c:v>
                </c:pt>
                <c:pt idx="175">
                  <c:v>5040</c:v>
                </c:pt>
                <c:pt idx="176">
                  <c:v>-12456</c:v>
                </c:pt>
                <c:pt idx="177">
                  <c:v>4489</c:v>
                </c:pt>
                <c:pt idx="178">
                  <c:v>-452</c:v>
                </c:pt>
                <c:pt idx="179">
                  <c:v>7919</c:v>
                </c:pt>
                <c:pt idx="180">
                  <c:v>-3831</c:v>
                </c:pt>
                <c:pt idx="181">
                  <c:v>-9603</c:v>
                </c:pt>
                <c:pt idx="182">
                  <c:v>-1508</c:v>
                </c:pt>
                <c:pt idx="183">
                  <c:v>5946</c:v>
                </c:pt>
                <c:pt idx="184">
                  <c:v>-708</c:v>
                </c:pt>
                <c:pt idx="185">
                  <c:v>-600</c:v>
                </c:pt>
                <c:pt idx="186">
                  <c:v>-17049</c:v>
                </c:pt>
                <c:pt idx="187">
                  <c:v>5851</c:v>
                </c:pt>
                <c:pt idx="188">
                  <c:v>-5960</c:v>
                </c:pt>
                <c:pt idx="189">
                  <c:v>-6134</c:v>
                </c:pt>
                <c:pt idx="190">
                  <c:v>-10584</c:v>
                </c:pt>
                <c:pt idx="191">
                  <c:v>-6307</c:v>
                </c:pt>
                <c:pt idx="192">
                  <c:v>3955</c:v>
                </c:pt>
                <c:pt idx="193">
                  <c:v>-2136</c:v>
                </c:pt>
                <c:pt idx="194">
                  <c:v>-2169</c:v>
                </c:pt>
                <c:pt idx="195">
                  <c:v>-2224</c:v>
                </c:pt>
                <c:pt idx="196">
                  <c:v>10176</c:v>
                </c:pt>
                <c:pt idx="197">
                  <c:v>-4491</c:v>
                </c:pt>
                <c:pt idx="198">
                  <c:v>1372</c:v>
                </c:pt>
                <c:pt idx="199">
                  <c:v>773</c:v>
                </c:pt>
                <c:pt idx="200">
                  <c:v>13869</c:v>
                </c:pt>
                <c:pt idx="201">
                  <c:v>3592</c:v>
                </c:pt>
                <c:pt idx="202">
                  <c:v>8700</c:v>
                </c:pt>
                <c:pt idx="203">
                  <c:v>1610</c:v>
                </c:pt>
                <c:pt idx="204">
                  <c:v>-4633</c:v>
                </c:pt>
                <c:pt idx="205">
                  <c:v>-4258</c:v>
                </c:pt>
                <c:pt idx="206">
                  <c:v>2909</c:v>
                </c:pt>
                <c:pt idx="207">
                  <c:v>-7114</c:v>
                </c:pt>
                <c:pt idx="208">
                  <c:v>-5503</c:v>
                </c:pt>
                <c:pt idx="209">
                  <c:v>1338</c:v>
                </c:pt>
                <c:pt idx="210">
                  <c:v>-2492</c:v>
                </c:pt>
                <c:pt idx="211">
                  <c:v>-9233</c:v>
                </c:pt>
                <c:pt idx="212">
                  <c:v>1234</c:v>
                </c:pt>
                <c:pt idx="213">
                  <c:v>5520</c:v>
                </c:pt>
                <c:pt idx="214">
                  <c:v>12018</c:v>
                </c:pt>
                <c:pt idx="215">
                  <c:v>3514</c:v>
                </c:pt>
                <c:pt idx="216">
                  <c:v>4199</c:v>
                </c:pt>
                <c:pt idx="217">
                  <c:v>1367</c:v>
                </c:pt>
                <c:pt idx="218">
                  <c:v>-1536</c:v>
                </c:pt>
                <c:pt idx="219">
                  <c:v>-1952</c:v>
                </c:pt>
                <c:pt idx="220">
                  <c:v>3165</c:v>
                </c:pt>
                <c:pt idx="221">
                  <c:v>3210</c:v>
                </c:pt>
                <c:pt idx="222">
                  <c:v>5841</c:v>
                </c:pt>
                <c:pt idx="223">
                  <c:v>2735</c:v>
                </c:pt>
                <c:pt idx="224">
                  <c:v>-6368</c:v>
                </c:pt>
                <c:pt idx="225">
                  <c:v>7265</c:v>
                </c:pt>
                <c:pt idx="226">
                  <c:v>-1362</c:v>
                </c:pt>
                <c:pt idx="227">
                  <c:v>-2508</c:v>
                </c:pt>
                <c:pt idx="228">
                  <c:v>1825</c:v>
                </c:pt>
                <c:pt idx="229">
                  <c:v>-4156</c:v>
                </c:pt>
                <c:pt idx="230">
                  <c:v>1233</c:v>
                </c:pt>
                <c:pt idx="231">
                  <c:v>3730</c:v>
                </c:pt>
                <c:pt idx="232">
                  <c:v>-2547</c:v>
                </c:pt>
                <c:pt idx="233">
                  <c:v>3591</c:v>
                </c:pt>
                <c:pt idx="234">
                  <c:v>-12157</c:v>
                </c:pt>
                <c:pt idx="235">
                  <c:v>-3443</c:v>
                </c:pt>
                <c:pt idx="236">
                  <c:v>-4870</c:v>
                </c:pt>
                <c:pt idx="237">
                  <c:v>-3741</c:v>
                </c:pt>
                <c:pt idx="238">
                  <c:v>-3436</c:v>
                </c:pt>
                <c:pt idx="239">
                  <c:v>-3728</c:v>
                </c:pt>
                <c:pt idx="240">
                  <c:v>1357</c:v>
                </c:pt>
                <c:pt idx="241">
                  <c:v>-4649</c:v>
                </c:pt>
                <c:pt idx="242">
                  <c:v>-846</c:v>
                </c:pt>
                <c:pt idx="243">
                  <c:v>-6873</c:v>
                </c:pt>
                <c:pt idx="244">
                  <c:v>833</c:v>
                </c:pt>
                <c:pt idx="245">
                  <c:v>-1630</c:v>
                </c:pt>
                <c:pt idx="246">
                  <c:v>-4471</c:v>
                </c:pt>
                <c:pt idx="247">
                  <c:v>3889</c:v>
                </c:pt>
                <c:pt idx="248">
                  <c:v>5810</c:v>
                </c:pt>
                <c:pt idx="249">
                  <c:v>-2191</c:v>
                </c:pt>
                <c:pt idx="250">
                  <c:v>5474</c:v>
                </c:pt>
                <c:pt idx="251">
                  <c:v>-515</c:v>
                </c:pt>
                <c:pt idx="252">
                  <c:v>2149</c:v>
                </c:pt>
                <c:pt idx="253">
                  <c:v>2089</c:v>
                </c:pt>
                <c:pt idx="254">
                  <c:v>545</c:v>
                </c:pt>
                <c:pt idx="255">
                  <c:v>-1844</c:v>
                </c:pt>
                <c:pt idx="256">
                  <c:v>-5073</c:v>
                </c:pt>
                <c:pt idx="257">
                  <c:v>-1425</c:v>
                </c:pt>
                <c:pt idx="258">
                  <c:v>-934</c:v>
                </c:pt>
                <c:pt idx="259">
                  <c:v>-4237</c:v>
                </c:pt>
                <c:pt idx="260">
                  <c:v>-1178</c:v>
                </c:pt>
                <c:pt idx="261">
                  <c:v>-959</c:v>
                </c:pt>
                <c:pt idx="262">
                  <c:v>-1962</c:v>
                </c:pt>
                <c:pt idx="263">
                  <c:v>-1017</c:v>
                </c:pt>
                <c:pt idx="264">
                  <c:v>3463</c:v>
                </c:pt>
                <c:pt idx="265">
                  <c:v>8664</c:v>
                </c:pt>
                <c:pt idx="266">
                  <c:v>4070</c:v>
                </c:pt>
                <c:pt idx="267">
                  <c:v>4633</c:v>
                </c:pt>
                <c:pt idx="268">
                  <c:v>-2332</c:v>
                </c:pt>
                <c:pt idx="269">
                  <c:v>3614</c:v>
                </c:pt>
                <c:pt idx="270">
                  <c:v>1448</c:v>
                </c:pt>
                <c:pt idx="271">
                  <c:v>1745</c:v>
                </c:pt>
                <c:pt idx="272">
                  <c:v>-3341</c:v>
                </c:pt>
                <c:pt idx="273">
                  <c:v>6165</c:v>
                </c:pt>
                <c:pt idx="274">
                  <c:v>2553</c:v>
                </c:pt>
                <c:pt idx="275">
                  <c:v>515</c:v>
                </c:pt>
              </c:numCache>
            </c:numRef>
          </c:val>
          <c:extLst xmlns:c16r2="http://schemas.microsoft.com/office/drawing/2015/06/chart">
            <c:ext xmlns:c16="http://schemas.microsoft.com/office/drawing/2014/chart" uri="{C3380CC4-5D6E-409C-BE32-E72D297353CC}">
              <c16:uniqueId val="{00000000-BA49-4A9F-B2E8-0C548B1D27C6}"/>
            </c:ext>
          </c:extLst>
        </c:ser>
        <c:dLbls>
          <c:showLegendKey val="0"/>
          <c:showVal val="0"/>
          <c:showCatName val="0"/>
          <c:showSerName val="0"/>
          <c:showPercent val="0"/>
          <c:showBubbleSize val="0"/>
        </c:dLbls>
        <c:gapWidth val="150"/>
        <c:axId val="379732352"/>
        <c:axId val="379733888"/>
      </c:barChart>
      <c:dateAx>
        <c:axId val="379732352"/>
        <c:scaling>
          <c:orientation val="minMax"/>
        </c:scaling>
        <c:delete val="0"/>
        <c:axPos val="b"/>
        <c:numFmt formatCode="m&quot;月&quot;;@" sourceLinked="0"/>
        <c:majorTickMark val="out"/>
        <c:minorTickMark val="none"/>
        <c:tickLblPos val="low"/>
        <c:spPr>
          <a:ln w="15875" cap="flat" cmpd="sng" algn="ctr">
            <a:solidFill>
              <a:sysClr val="windowText" lastClr="000000"/>
            </a:solidFill>
            <a:prstDash val="solid"/>
            <a:round/>
          </a:ln>
          <a:effectLst>
            <a:softEdge rad="38100"/>
          </a:effectLst>
        </c:spPr>
        <c:txPr>
          <a:bodyPr rot="0" spcFirstLastPara="0" vertOverflow="ellipsis" vert="horz" wrap="square" anchor="ctr" anchorCtr="1" forceAA="0"/>
          <a:lstStyle/>
          <a:p>
            <a:pPr>
              <a:defRPr lang="zh-CN" sz="800" b="0" i="0" u="none" strike="noStrike" kern="1200" baseline="0">
                <a:solidFill>
                  <a:sysClr val="windowText" lastClr="000000"/>
                </a:solidFill>
                <a:latin typeface="Cambria Math" panose="02040503050406030204" pitchFamily="18" charset="0"/>
                <a:ea typeface="楷体" panose="02010609060101010101" pitchFamily="3" charset="-122"/>
                <a:cs typeface="+mn-cs"/>
              </a:defRPr>
            </a:pPr>
            <a:endParaRPr lang="zh-CN"/>
          </a:p>
        </c:txPr>
        <c:crossAx val="379733888"/>
        <c:crosses val="autoZero"/>
        <c:auto val="0"/>
        <c:lblOffset val="100"/>
        <c:baseTimeUnit val="days"/>
        <c:majorUnit val="6"/>
        <c:majorTimeUnit val="months"/>
      </c:dateAx>
      <c:valAx>
        <c:axId val="379733888"/>
        <c:scaling>
          <c:orientation val="minMax"/>
          <c:min val="-10000"/>
        </c:scaling>
        <c:delete val="0"/>
        <c:axPos val="l"/>
        <c:numFmt formatCode="0_ " sourceLinked="0"/>
        <c:majorTickMark val="out"/>
        <c:minorTickMark val="none"/>
        <c:tickLblPos val="nextTo"/>
        <c:spPr>
          <a:ln w="15875" cap="flat" cmpd="sng" algn="ctr">
            <a:solidFill>
              <a:sysClr val="windowText" lastClr="000000"/>
            </a:solidFill>
            <a:prstDash val="solid"/>
            <a:round/>
          </a:ln>
        </c:spPr>
        <c:txPr>
          <a:bodyPr rot="-60000000" spcFirstLastPara="0" vertOverflow="ellipsis" vert="horz" wrap="square" anchor="ctr" anchorCtr="1"/>
          <a:lstStyle/>
          <a:p>
            <a:pPr>
              <a:defRPr lang="zh-CN" sz="800" b="0" i="0" u="none" strike="noStrike" kern="1200" baseline="0">
                <a:solidFill>
                  <a:schemeClr val="tx1"/>
                </a:solidFill>
                <a:latin typeface="+mj-lt"/>
                <a:ea typeface="+mn-ea"/>
                <a:cs typeface="+mn-cs"/>
              </a:defRPr>
            </a:pPr>
            <a:endParaRPr lang="zh-CN"/>
          </a:p>
        </c:txPr>
        <c:crossAx val="379732352"/>
        <c:crosses val="autoZero"/>
        <c:crossBetween val="between"/>
      </c:valAx>
      <c:spPr>
        <a:solidFill>
          <a:srgbClr val="FFFFFF"/>
        </a:solidFill>
      </c:spPr>
    </c:plotArea>
    <c:legend>
      <c:legendPos val="r"/>
      <c:layout>
        <c:manualLayout>
          <c:xMode val="edge"/>
          <c:yMode val="edge"/>
          <c:x val="0.36438909731659302"/>
          <c:y val="6.4121005103183096E-2"/>
          <c:w val="0.58590707230960304"/>
          <c:h val="7.1417683277269897E-2"/>
        </c:manualLayout>
      </c:layout>
      <c:overlay val="0"/>
      <c:txPr>
        <a:bodyPr rot="0" spcFirstLastPara="0" vertOverflow="ellipsis" vert="horz" wrap="square" anchor="ctr" anchorCtr="1"/>
        <a:lstStyle/>
        <a:p>
          <a:pPr>
            <a:defRPr lang="zh-CN" sz="800" b="0" i="0" u="none" strike="noStrike" kern="1200" baseline="0">
              <a:solidFill>
                <a:schemeClr val="tx1"/>
              </a:solidFill>
              <a:latin typeface="楷体" panose="02010609060101010101" pitchFamily="3" charset="-122"/>
              <a:ea typeface="楷体" panose="02010609060101010101" pitchFamily="3" charset="-122"/>
              <a:cs typeface="+mn-cs"/>
            </a:defRPr>
          </a:pPr>
          <a:endParaRPr lang="zh-CN"/>
        </a:p>
      </c:txPr>
    </c:legend>
    <c:plotVisOnly val="1"/>
    <c:dispBlanksAs val="gap"/>
    <c:showDLblsOverMax val="0"/>
    <c:extLst xmlns:c16r2="http://schemas.microsoft.com/office/drawing/2015/06/chart">
      <c:ext uri="{0b15fc19-7d7d-44ad-8c2d-2c3a37ce22c3}">
        <chartProps xmlns="https://web.wps.cn/et/2018/main" chartId="{85b43f64-25d8-45df-a416-3482d688ea68}"/>
      </c:ext>
    </c:extLst>
  </c:chart>
  <c:spPr>
    <a:solidFill>
      <a:srgbClr val="FFFFFF"/>
    </a:solidFill>
    <a:ln w="9525" cap="flat" cmpd="sng" algn="ctr">
      <a:noFill/>
      <a:prstDash val="solid"/>
      <a:round/>
    </a:ln>
  </c:spPr>
  <c:txPr>
    <a:bodyPr/>
    <a:lstStyle/>
    <a:p>
      <a:pPr>
        <a:defRPr lang="zh-CN"/>
      </a:pPr>
      <a:endParaRPr lang="zh-CN"/>
    </a:p>
  </c:txPr>
  <c:externalData r:id="rId2">
    <c:autoUpdate val="0"/>
  </c:externalData>
  <c:userShapes r:id="rId3"/>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1895366880958"/>
          <c:y val="9.0517241379310304E-2"/>
          <c:w val="0.71571713589004704"/>
          <c:h val="0.70899784482758599"/>
        </c:manualLayout>
      </c:layout>
      <c:lineChart>
        <c:grouping val="standard"/>
        <c:varyColors val="0"/>
        <c:ser>
          <c:idx val="0"/>
          <c:order val="0"/>
          <c:tx>
            <c:strRef>
              <c:f>LME铜铝价格f48!$B$2:$B$3</c:f>
              <c:strCache>
                <c:ptCount val="1"/>
                <c:pt idx="0">
                  <c:v>现货结算价:LME铜 美元/吨</c:v>
                </c:pt>
              </c:strCache>
            </c:strRef>
          </c:tx>
          <c:spPr>
            <a:ln w="28575" cap="rnd" cmpd="sng" algn="ctr">
              <a:solidFill>
                <a:srgbClr val="106D9C"/>
              </a:solidFill>
              <a:prstDash val="solid"/>
              <a:round/>
            </a:ln>
            <a:effectLst/>
          </c:spPr>
          <c:marker>
            <c:symbol val="none"/>
          </c:marker>
          <c:cat>
            <c:numRef>
              <c:f>LME铜铝价格f48!$A$4:$A$829</c:f>
              <c:numCache>
                <c:formatCode>yyyy\-mm\-dd</c:formatCode>
                <c:ptCount val="826"/>
                <c:pt idx="0">
                  <c:v>45758</c:v>
                </c:pt>
                <c:pt idx="1">
                  <c:v>45757</c:v>
                </c:pt>
                <c:pt idx="2">
                  <c:v>45756</c:v>
                </c:pt>
                <c:pt idx="3">
                  <c:v>45755</c:v>
                </c:pt>
                <c:pt idx="4">
                  <c:v>45754</c:v>
                </c:pt>
                <c:pt idx="5">
                  <c:v>45751</c:v>
                </c:pt>
                <c:pt idx="6">
                  <c:v>45750</c:v>
                </c:pt>
                <c:pt idx="7">
                  <c:v>45749</c:v>
                </c:pt>
                <c:pt idx="8">
                  <c:v>45748</c:v>
                </c:pt>
                <c:pt idx="9">
                  <c:v>45747</c:v>
                </c:pt>
                <c:pt idx="10">
                  <c:v>45744</c:v>
                </c:pt>
                <c:pt idx="11">
                  <c:v>45743</c:v>
                </c:pt>
                <c:pt idx="12">
                  <c:v>45742</c:v>
                </c:pt>
                <c:pt idx="13">
                  <c:v>45741</c:v>
                </c:pt>
                <c:pt idx="14">
                  <c:v>45740</c:v>
                </c:pt>
                <c:pt idx="15">
                  <c:v>45737</c:v>
                </c:pt>
                <c:pt idx="16">
                  <c:v>45736</c:v>
                </c:pt>
                <c:pt idx="17">
                  <c:v>45735</c:v>
                </c:pt>
                <c:pt idx="18">
                  <c:v>45734</c:v>
                </c:pt>
                <c:pt idx="19">
                  <c:v>45733</c:v>
                </c:pt>
                <c:pt idx="20">
                  <c:v>45730</c:v>
                </c:pt>
                <c:pt idx="21">
                  <c:v>45729</c:v>
                </c:pt>
                <c:pt idx="22">
                  <c:v>45728</c:v>
                </c:pt>
                <c:pt idx="23">
                  <c:v>45727</c:v>
                </c:pt>
                <c:pt idx="24">
                  <c:v>45726</c:v>
                </c:pt>
                <c:pt idx="25">
                  <c:v>45723</c:v>
                </c:pt>
                <c:pt idx="26">
                  <c:v>45722</c:v>
                </c:pt>
                <c:pt idx="27">
                  <c:v>45721</c:v>
                </c:pt>
                <c:pt idx="28">
                  <c:v>45720</c:v>
                </c:pt>
                <c:pt idx="29">
                  <c:v>45719</c:v>
                </c:pt>
                <c:pt idx="30">
                  <c:v>45716</c:v>
                </c:pt>
                <c:pt idx="31">
                  <c:v>45715</c:v>
                </c:pt>
                <c:pt idx="32">
                  <c:v>45714</c:v>
                </c:pt>
                <c:pt idx="33">
                  <c:v>45713</c:v>
                </c:pt>
                <c:pt idx="34">
                  <c:v>45712</c:v>
                </c:pt>
                <c:pt idx="35">
                  <c:v>45709</c:v>
                </c:pt>
                <c:pt idx="36">
                  <c:v>45708</c:v>
                </c:pt>
                <c:pt idx="37">
                  <c:v>45707</c:v>
                </c:pt>
                <c:pt idx="38">
                  <c:v>45706</c:v>
                </c:pt>
                <c:pt idx="39">
                  <c:v>45705</c:v>
                </c:pt>
                <c:pt idx="40">
                  <c:v>45702</c:v>
                </c:pt>
                <c:pt idx="41">
                  <c:v>45701</c:v>
                </c:pt>
                <c:pt idx="42">
                  <c:v>45700</c:v>
                </c:pt>
                <c:pt idx="43">
                  <c:v>45699</c:v>
                </c:pt>
                <c:pt idx="44">
                  <c:v>45698</c:v>
                </c:pt>
                <c:pt idx="45">
                  <c:v>45695</c:v>
                </c:pt>
                <c:pt idx="46">
                  <c:v>45694</c:v>
                </c:pt>
                <c:pt idx="47">
                  <c:v>45693</c:v>
                </c:pt>
                <c:pt idx="48">
                  <c:v>45692</c:v>
                </c:pt>
                <c:pt idx="49">
                  <c:v>45691</c:v>
                </c:pt>
                <c:pt idx="50">
                  <c:v>45688</c:v>
                </c:pt>
                <c:pt idx="51">
                  <c:v>45687</c:v>
                </c:pt>
                <c:pt idx="52">
                  <c:v>45686</c:v>
                </c:pt>
                <c:pt idx="53">
                  <c:v>45685</c:v>
                </c:pt>
                <c:pt idx="54">
                  <c:v>45684</c:v>
                </c:pt>
                <c:pt idx="55">
                  <c:v>45681</c:v>
                </c:pt>
                <c:pt idx="56">
                  <c:v>45680</c:v>
                </c:pt>
                <c:pt idx="57">
                  <c:v>45679</c:v>
                </c:pt>
                <c:pt idx="58">
                  <c:v>45678</c:v>
                </c:pt>
                <c:pt idx="59">
                  <c:v>45677</c:v>
                </c:pt>
                <c:pt idx="60">
                  <c:v>45674</c:v>
                </c:pt>
                <c:pt idx="61">
                  <c:v>45673</c:v>
                </c:pt>
                <c:pt idx="62">
                  <c:v>45672</c:v>
                </c:pt>
                <c:pt idx="63">
                  <c:v>45671</c:v>
                </c:pt>
                <c:pt idx="64">
                  <c:v>45670</c:v>
                </c:pt>
                <c:pt idx="65">
                  <c:v>45667</c:v>
                </c:pt>
                <c:pt idx="66">
                  <c:v>45666</c:v>
                </c:pt>
                <c:pt idx="67">
                  <c:v>45665</c:v>
                </c:pt>
                <c:pt idx="68">
                  <c:v>45664</c:v>
                </c:pt>
                <c:pt idx="69">
                  <c:v>45663</c:v>
                </c:pt>
                <c:pt idx="70">
                  <c:v>45660</c:v>
                </c:pt>
                <c:pt idx="71">
                  <c:v>45659</c:v>
                </c:pt>
                <c:pt idx="72">
                  <c:v>45657</c:v>
                </c:pt>
                <c:pt idx="73">
                  <c:v>45656</c:v>
                </c:pt>
                <c:pt idx="74">
                  <c:v>45653</c:v>
                </c:pt>
                <c:pt idx="75">
                  <c:v>45650</c:v>
                </c:pt>
                <c:pt idx="76">
                  <c:v>45649</c:v>
                </c:pt>
                <c:pt idx="77">
                  <c:v>45646</c:v>
                </c:pt>
                <c:pt idx="78">
                  <c:v>45645</c:v>
                </c:pt>
                <c:pt idx="79">
                  <c:v>45644</c:v>
                </c:pt>
                <c:pt idx="80">
                  <c:v>45643</c:v>
                </c:pt>
                <c:pt idx="81">
                  <c:v>45642</c:v>
                </c:pt>
                <c:pt idx="82">
                  <c:v>45639</c:v>
                </c:pt>
                <c:pt idx="83">
                  <c:v>45638</c:v>
                </c:pt>
                <c:pt idx="84">
                  <c:v>45637</c:v>
                </c:pt>
                <c:pt idx="85">
                  <c:v>45636</c:v>
                </c:pt>
                <c:pt idx="86">
                  <c:v>45635</c:v>
                </c:pt>
                <c:pt idx="87">
                  <c:v>45632</c:v>
                </c:pt>
                <c:pt idx="88">
                  <c:v>45631</c:v>
                </c:pt>
                <c:pt idx="89">
                  <c:v>45630</c:v>
                </c:pt>
                <c:pt idx="90">
                  <c:v>45629</c:v>
                </c:pt>
                <c:pt idx="91">
                  <c:v>45628</c:v>
                </c:pt>
                <c:pt idx="92">
                  <c:v>45625</c:v>
                </c:pt>
                <c:pt idx="93">
                  <c:v>45624</c:v>
                </c:pt>
                <c:pt idx="94">
                  <c:v>45623</c:v>
                </c:pt>
                <c:pt idx="95">
                  <c:v>45622</c:v>
                </c:pt>
                <c:pt idx="96">
                  <c:v>45621</c:v>
                </c:pt>
                <c:pt idx="97">
                  <c:v>45618</c:v>
                </c:pt>
                <c:pt idx="98">
                  <c:v>45617</c:v>
                </c:pt>
                <c:pt idx="99">
                  <c:v>45616</c:v>
                </c:pt>
                <c:pt idx="100">
                  <c:v>45615</c:v>
                </c:pt>
                <c:pt idx="101">
                  <c:v>45614</c:v>
                </c:pt>
                <c:pt idx="102">
                  <c:v>45611</c:v>
                </c:pt>
                <c:pt idx="103">
                  <c:v>45610</c:v>
                </c:pt>
                <c:pt idx="104">
                  <c:v>45609</c:v>
                </c:pt>
                <c:pt idx="105">
                  <c:v>45608</c:v>
                </c:pt>
                <c:pt idx="106">
                  <c:v>45607</c:v>
                </c:pt>
                <c:pt idx="107">
                  <c:v>45604</c:v>
                </c:pt>
                <c:pt idx="108">
                  <c:v>45603</c:v>
                </c:pt>
                <c:pt idx="109">
                  <c:v>45602</c:v>
                </c:pt>
                <c:pt idx="110">
                  <c:v>45601</c:v>
                </c:pt>
                <c:pt idx="111">
                  <c:v>45600</c:v>
                </c:pt>
                <c:pt idx="112">
                  <c:v>45597</c:v>
                </c:pt>
                <c:pt idx="113">
                  <c:v>45596</c:v>
                </c:pt>
                <c:pt idx="114">
                  <c:v>45595</c:v>
                </c:pt>
                <c:pt idx="115">
                  <c:v>45594</c:v>
                </c:pt>
                <c:pt idx="116">
                  <c:v>45593</c:v>
                </c:pt>
                <c:pt idx="117">
                  <c:v>45590</c:v>
                </c:pt>
                <c:pt idx="118">
                  <c:v>45589</c:v>
                </c:pt>
                <c:pt idx="119">
                  <c:v>45588</c:v>
                </c:pt>
                <c:pt idx="120">
                  <c:v>45587</c:v>
                </c:pt>
                <c:pt idx="121">
                  <c:v>45586</c:v>
                </c:pt>
                <c:pt idx="122">
                  <c:v>45583</c:v>
                </c:pt>
                <c:pt idx="123">
                  <c:v>45582</c:v>
                </c:pt>
                <c:pt idx="124">
                  <c:v>45581</c:v>
                </c:pt>
                <c:pt idx="125">
                  <c:v>45580</c:v>
                </c:pt>
                <c:pt idx="126">
                  <c:v>45579</c:v>
                </c:pt>
                <c:pt idx="127">
                  <c:v>45576</c:v>
                </c:pt>
                <c:pt idx="128">
                  <c:v>45575</c:v>
                </c:pt>
                <c:pt idx="129">
                  <c:v>45574</c:v>
                </c:pt>
                <c:pt idx="130">
                  <c:v>45573</c:v>
                </c:pt>
                <c:pt idx="131">
                  <c:v>45572</c:v>
                </c:pt>
                <c:pt idx="132">
                  <c:v>45569</c:v>
                </c:pt>
                <c:pt idx="133">
                  <c:v>45568</c:v>
                </c:pt>
                <c:pt idx="134">
                  <c:v>45567</c:v>
                </c:pt>
                <c:pt idx="135">
                  <c:v>45566</c:v>
                </c:pt>
                <c:pt idx="136">
                  <c:v>45565</c:v>
                </c:pt>
                <c:pt idx="137">
                  <c:v>45562</c:v>
                </c:pt>
                <c:pt idx="138">
                  <c:v>45561</c:v>
                </c:pt>
                <c:pt idx="139">
                  <c:v>45560</c:v>
                </c:pt>
                <c:pt idx="140">
                  <c:v>45559</c:v>
                </c:pt>
                <c:pt idx="141">
                  <c:v>45558</c:v>
                </c:pt>
                <c:pt idx="142">
                  <c:v>45555</c:v>
                </c:pt>
                <c:pt idx="143">
                  <c:v>45554</c:v>
                </c:pt>
                <c:pt idx="144">
                  <c:v>45553</c:v>
                </c:pt>
                <c:pt idx="145">
                  <c:v>45552</c:v>
                </c:pt>
                <c:pt idx="146">
                  <c:v>45551</c:v>
                </c:pt>
                <c:pt idx="147">
                  <c:v>45548</c:v>
                </c:pt>
                <c:pt idx="148">
                  <c:v>45547</c:v>
                </c:pt>
                <c:pt idx="149">
                  <c:v>45546</c:v>
                </c:pt>
                <c:pt idx="150">
                  <c:v>45545</c:v>
                </c:pt>
                <c:pt idx="151">
                  <c:v>45544</c:v>
                </c:pt>
                <c:pt idx="152">
                  <c:v>45541</c:v>
                </c:pt>
                <c:pt idx="153">
                  <c:v>45540</c:v>
                </c:pt>
                <c:pt idx="154">
                  <c:v>45539</c:v>
                </c:pt>
                <c:pt idx="155">
                  <c:v>45538</c:v>
                </c:pt>
                <c:pt idx="156">
                  <c:v>45537</c:v>
                </c:pt>
                <c:pt idx="157">
                  <c:v>45534</c:v>
                </c:pt>
                <c:pt idx="158">
                  <c:v>45533</c:v>
                </c:pt>
                <c:pt idx="159">
                  <c:v>45532</c:v>
                </c:pt>
                <c:pt idx="160">
                  <c:v>45531</c:v>
                </c:pt>
                <c:pt idx="161">
                  <c:v>45527</c:v>
                </c:pt>
                <c:pt idx="162">
                  <c:v>45526</c:v>
                </c:pt>
                <c:pt idx="163">
                  <c:v>45525</c:v>
                </c:pt>
                <c:pt idx="164">
                  <c:v>45524</c:v>
                </c:pt>
                <c:pt idx="165">
                  <c:v>45523</c:v>
                </c:pt>
                <c:pt idx="166">
                  <c:v>45520</c:v>
                </c:pt>
                <c:pt idx="167">
                  <c:v>45519</c:v>
                </c:pt>
                <c:pt idx="168">
                  <c:v>45518</c:v>
                </c:pt>
                <c:pt idx="169">
                  <c:v>45517</c:v>
                </c:pt>
                <c:pt idx="170">
                  <c:v>45516</c:v>
                </c:pt>
                <c:pt idx="171">
                  <c:v>45513</c:v>
                </c:pt>
                <c:pt idx="172">
                  <c:v>45512</c:v>
                </c:pt>
                <c:pt idx="173">
                  <c:v>45511</c:v>
                </c:pt>
                <c:pt idx="174">
                  <c:v>45510</c:v>
                </c:pt>
                <c:pt idx="175">
                  <c:v>45509</c:v>
                </c:pt>
                <c:pt idx="176">
                  <c:v>45506</c:v>
                </c:pt>
                <c:pt idx="177">
                  <c:v>45505</c:v>
                </c:pt>
                <c:pt idx="178">
                  <c:v>45504</c:v>
                </c:pt>
                <c:pt idx="179">
                  <c:v>45503</c:v>
                </c:pt>
                <c:pt idx="180">
                  <c:v>45502</c:v>
                </c:pt>
                <c:pt idx="181">
                  <c:v>45499</c:v>
                </c:pt>
                <c:pt idx="182">
                  <c:v>45498</c:v>
                </c:pt>
                <c:pt idx="183">
                  <c:v>45497</c:v>
                </c:pt>
                <c:pt idx="184">
                  <c:v>45496</c:v>
                </c:pt>
                <c:pt idx="185">
                  <c:v>45495</c:v>
                </c:pt>
                <c:pt idx="186">
                  <c:v>45492</c:v>
                </c:pt>
                <c:pt idx="187">
                  <c:v>45491</c:v>
                </c:pt>
                <c:pt idx="188">
                  <c:v>45490</c:v>
                </c:pt>
                <c:pt idx="189">
                  <c:v>45489</c:v>
                </c:pt>
                <c:pt idx="190">
                  <c:v>45488</c:v>
                </c:pt>
                <c:pt idx="191">
                  <c:v>45485</c:v>
                </c:pt>
                <c:pt idx="192">
                  <c:v>45484</c:v>
                </c:pt>
                <c:pt idx="193">
                  <c:v>45483</c:v>
                </c:pt>
                <c:pt idx="194">
                  <c:v>45482</c:v>
                </c:pt>
                <c:pt idx="195">
                  <c:v>45481</c:v>
                </c:pt>
                <c:pt idx="196">
                  <c:v>45478</c:v>
                </c:pt>
                <c:pt idx="197">
                  <c:v>45477</c:v>
                </c:pt>
                <c:pt idx="198">
                  <c:v>45476</c:v>
                </c:pt>
                <c:pt idx="199">
                  <c:v>45475</c:v>
                </c:pt>
                <c:pt idx="200">
                  <c:v>45474</c:v>
                </c:pt>
                <c:pt idx="201">
                  <c:v>45471</c:v>
                </c:pt>
                <c:pt idx="202">
                  <c:v>45470</c:v>
                </c:pt>
                <c:pt idx="203">
                  <c:v>45469</c:v>
                </c:pt>
                <c:pt idx="204">
                  <c:v>45468</c:v>
                </c:pt>
                <c:pt idx="205">
                  <c:v>45467</c:v>
                </c:pt>
                <c:pt idx="206">
                  <c:v>45464</c:v>
                </c:pt>
                <c:pt idx="207">
                  <c:v>45463</c:v>
                </c:pt>
                <c:pt idx="208">
                  <c:v>45462</c:v>
                </c:pt>
                <c:pt idx="209">
                  <c:v>45461</c:v>
                </c:pt>
                <c:pt idx="210">
                  <c:v>45460</c:v>
                </c:pt>
                <c:pt idx="211">
                  <c:v>45457</c:v>
                </c:pt>
                <c:pt idx="212">
                  <c:v>45456</c:v>
                </c:pt>
                <c:pt idx="213">
                  <c:v>45455</c:v>
                </c:pt>
                <c:pt idx="214">
                  <c:v>45454</c:v>
                </c:pt>
                <c:pt idx="215">
                  <c:v>45453</c:v>
                </c:pt>
                <c:pt idx="216">
                  <c:v>45450</c:v>
                </c:pt>
                <c:pt idx="217">
                  <c:v>45449</c:v>
                </c:pt>
                <c:pt idx="218">
                  <c:v>45448</c:v>
                </c:pt>
                <c:pt idx="219">
                  <c:v>45447</c:v>
                </c:pt>
                <c:pt idx="220">
                  <c:v>45446</c:v>
                </c:pt>
                <c:pt idx="221">
                  <c:v>45443</c:v>
                </c:pt>
                <c:pt idx="222">
                  <c:v>45442</c:v>
                </c:pt>
                <c:pt idx="223">
                  <c:v>45441</c:v>
                </c:pt>
                <c:pt idx="224">
                  <c:v>45440</c:v>
                </c:pt>
                <c:pt idx="225">
                  <c:v>45436</c:v>
                </c:pt>
                <c:pt idx="226">
                  <c:v>45435</c:v>
                </c:pt>
                <c:pt idx="227">
                  <c:v>45434</c:v>
                </c:pt>
                <c:pt idx="228">
                  <c:v>45433</c:v>
                </c:pt>
                <c:pt idx="229">
                  <c:v>45432</c:v>
                </c:pt>
                <c:pt idx="230">
                  <c:v>45429</c:v>
                </c:pt>
                <c:pt idx="231">
                  <c:v>45428</c:v>
                </c:pt>
                <c:pt idx="232">
                  <c:v>45427</c:v>
                </c:pt>
                <c:pt idx="233">
                  <c:v>45426</c:v>
                </c:pt>
                <c:pt idx="234">
                  <c:v>45425</c:v>
                </c:pt>
                <c:pt idx="235">
                  <c:v>45422</c:v>
                </c:pt>
                <c:pt idx="236">
                  <c:v>45421</c:v>
                </c:pt>
                <c:pt idx="237">
                  <c:v>45420</c:v>
                </c:pt>
                <c:pt idx="238">
                  <c:v>45419</c:v>
                </c:pt>
                <c:pt idx="239">
                  <c:v>45415</c:v>
                </c:pt>
                <c:pt idx="240">
                  <c:v>45414</c:v>
                </c:pt>
                <c:pt idx="241">
                  <c:v>45413</c:v>
                </c:pt>
                <c:pt idx="242">
                  <c:v>45412</c:v>
                </c:pt>
                <c:pt idx="243">
                  <c:v>45411</c:v>
                </c:pt>
                <c:pt idx="244">
                  <c:v>45408</c:v>
                </c:pt>
                <c:pt idx="245">
                  <c:v>45407</c:v>
                </c:pt>
                <c:pt idx="246">
                  <c:v>45406</c:v>
                </c:pt>
                <c:pt idx="247">
                  <c:v>45405</c:v>
                </c:pt>
                <c:pt idx="248">
                  <c:v>45404</c:v>
                </c:pt>
                <c:pt idx="249">
                  <c:v>45401</c:v>
                </c:pt>
                <c:pt idx="250">
                  <c:v>45400</c:v>
                </c:pt>
                <c:pt idx="251">
                  <c:v>45399</c:v>
                </c:pt>
                <c:pt idx="252">
                  <c:v>45398</c:v>
                </c:pt>
                <c:pt idx="253">
                  <c:v>45397</c:v>
                </c:pt>
                <c:pt idx="254">
                  <c:v>45394</c:v>
                </c:pt>
                <c:pt idx="255">
                  <c:v>45393</c:v>
                </c:pt>
                <c:pt idx="256">
                  <c:v>45392</c:v>
                </c:pt>
                <c:pt idx="257">
                  <c:v>45391</c:v>
                </c:pt>
                <c:pt idx="258">
                  <c:v>45390</c:v>
                </c:pt>
                <c:pt idx="259">
                  <c:v>45387</c:v>
                </c:pt>
                <c:pt idx="260">
                  <c:v>45386</c:v>
                </c:pt>
                <c:pt idx="261">
                  <c:v>45385</c:v>
                </c:pt>
                <c:pt idx="262">
                  <c:v>45384</c:v>
                </c:pt>
                <c:pt idx="263">
                  <c:v>45379</c:v>
                </c:pt>
                <c:pt idx="264">
                  <c:v>45378</c:v>
                </c:pt>
                <c:pt idx="265">
                  <c:v>45377</c:v>
                </c:pt>
                <c:pt idx="266">
                  <c:v>45376</c:v>
                </c:pt>
                <c:pt idx="267">
                  <c:v>45373</c:v>
                </c:pt>
                <c:pt idx="268">
                  <c:v>45372</c:v>
                </c:pt>
                <c:pt idx="269">
                  <c:v>45371</c:v>
                </c:pt>
                <c:pt idx="270">
                  <c:v>45370</c:v>
                </c:pt>
                <c:pt idx="271">
                  <c:v>45369</c:v>
                </c:pt>
                <c:pt idx="272">
                  <c:v>45366</c:v>
                </c:pt>
                <c:pt idx="273">
                  <c:v>45365</c:v>
                </c:pt>
                <c:pt idx="274">
                  <c:v>45364</c:v>
                </c:pt>
                <c:pt idx="275">
                  <c:v>45363</c:v>
                </c:pt>
                <c:pt idx="276">
                  <c:v>45362</c:v>
                </c:pt>
                <c:pt idx="277">
                  <c:v>45359</c:v>
                </c:pt>
                <c:pt idx="278">
                  <c:v>45358</c:v>
                </c:pt>
                <c:pt idx="279">
                  <c:v>45357</c:v>
                </c:pt>
                <c:pt idx="280">
                  <c:v>45356</c:v>
                </c:pt>
                <c:pt idx="281">
                  <c:v>45355</c:v>
                </c:pt>
                <c:pt idx="282">
                  <c:v>45352</c:v>
                </c:pt>
                <c:pt idx="283">
                  <c:v>45351</c:v>
                </c:pt>
                <c:pt idx="284">
                  <c:v>45350</c:v>
                </c:pt>
                <c:pt idx="285">
                  <c:v>45349</c:v>
                </c:pt>
                <c:pt idx="286">
                  <c:v>45348</c:v>
                </c:pt>
                <c:pt idx="287">
                  <c:v>45345</c:v>
                </c:pt>
                <c:pt idx="288">
                  <c:v>45344</c:v>
                </c:pt>
                <c:pt idx="289">
                  <c:v>45343</c:v>
                </c:pt>
                <c:pt idx="290">
                  <c:v>45342</c:v>
                </c:pt>
                <c:pt idx="291">
                  <c:v>45341</c:v>
                </c:pt>
                <c:pt idx="292">
                  <c:v>45338</c:v>
                </c:pt>
                <c:pt idx="293">
                  <c:v>45337</c:v>
                </c:pt>
                <c:pt idx="294">
                  <c:v>45336</c:v>
                </c:pt>
                <c:pt idx="295">
                  <c:v>45335</c:v>
                </c:pt>
                <c:pt idx="296">
                  <c:v>45334</c:v>
                </c:pt>
                <c:pt idx="297">
                  <c:v>45331</c:v>
                </c:pt>
                <c:pt idx="298">
                  <c:v>45330</c:v>
                </c:pt>
                <c:pt idx="299">
                  <c:v>45329</c:v>
                </c:pt>
                <c:pt idx="300">
                  <c:v>45328</c:v>
                </c:pt>
                <c:pt idx="301">
                  <c:v>45327</c:v>
                </c:pt>
                <c:pt idx="302">
                  <c:v>45324</c:v>
                </c:pt>
                <c:pt idx="303">
                  <c:v>45323</c:v>
                </c:pt>
                <c:pt idx="304">
                  <c:v>45322</c:v>
                </c:pt>
                <c:pt idx="305">
                  <c:v>45321</c:v>
                </c:pt>
                <c:pt idx="306">
                  <c:v>45320</c:v>
                </c:pt>
                <c:pt idx="307">
                  <c:v>45317</c:v>
                </c:pt>
                <c:pt idx="308">
                  <c:v>45316</c:v>
                </c:pt>
                <c:pt idx="309">
                  <c:v>45315</c:v>
                </c:pt>
                <c:pt idx="310">
                  <c:v>45314</c:v>
                </c:pt>
                <c:pt idx="311">
                  <c:v>45313</c:v>
                </c:pt>
                <c:pt idx="312">
                  <c:v>45310</c:v>
                </c:pt>
                <c:pt idx="313">
                  <c:v>45309</c:v>
                </c:pt>
                <c:pt idx="314">
                  <c:v>45308</c:v>
                </c:pt>
                <c:pt idx="315">
                  <c:v>45307</c:v>
                </c:pt>
                <c:pt idx="316">
                  <c:v>45306</c:v>
                </c:pt>
                <c:pt idx="317">
                  <c:v>45303</c:v>
                </c:pt>
                <c:pt idx="318">
                  <c:v>45302</c:v>
                </c:pt>
                <c:pt idx="319">
                  <c:v>45301</c:v>
                </c:pt>
                <c:pt idx="320">
                  <c:v>45300</c:v>
                </c:pt>
                <c:pt idx="321">
                  <c:v>45299</c:v>
                </c:pt>
                <c:pt idx="322">
                  <c:v>45296</c:v>
                </c:pt>
                <c:pt idx="323">
                  <c:v>45295</c:v>
                </c:pt>
                <c:pt idx="324">
                  <c:v>45294</c:v>
                </c:pt>
                <c:pt idx="325">
                  <c:v>45293</c:v>
                </c:pt>
                <c:pt idx="326">
                  <c:v>45289</c:v>
                </c:pt>
                <c:pt idx="327">
                  <c:v>45288</c:v>
                </c:pt>
                <c:pt idx="328">
                  <c:v>45287</c:v>
                </c:pt>
                <c:pt idx="329">
                  <c:v>45282</c:v>
                </c:pt>
                <c:pt idx="330">
                  <c:v>45281</c:v>
                </c:pt>
                <c:pt idx="331">
                  <c:v>45280</c:v>
                </c:pt>
                <c:pt idx="332">
                  <c:v>45279</c:v>
                </c:pt>
                <c:pt idx="333">
                  <c:v>45278</c:v>
                </c:pt>
                <c:pt idx="334">
                  <c:v>45275</c:v>
                </c:pt>
                <c:pt idx="335">
                  <c:v>45274</c:v>
                </c:pt>
                <c:pt idx="336">
                  <c:v>45273</c:v>
                </c:pt>
                <c:pt idx="337">
                  <c:v>45272</c:v>
                </c:pt>
                <c:pt idx="338">
                  <c:v>45271</c:v>
                </c:pt>
                <c:pt idx="339">
                  <c:v>45268</c:v>
                </c:pt>
                <c:pt idx="340">
                  <c:v>45267</c:v>
                </c:pt>
                <c:pt idx="341">
                  <c:v>45266</c:v>
                </c:pt>
                <c:pt idx="342">
                  <c:v>45265</c:v>
                </c:pt>
                <c:pt idx="343">
                  <c:v>45264</c:v>
                </c:pt>
                <c:pt idx="344">
                  <c:v>45261</c:v>
                </c:pt>
                <c:pt idx="345">
                  <c:v>45260</c:v>
                </c:pt>
                <c:pt idx="346">
                  <c:v>45259</c:v>
                </c:pt>
                <c:pt idx="347">
                  <c:v>45258</c:v>
                </c:pt>
                <c:pt idx="348">
                  <c:v>45257</c:v>
                </c:pt>
                <c:pt idx="349">
                  <c:v>45254</c:v>
                </c:pt>
                <c:pt idx="350">
                  <c:v>45253</c:v>
                </c:pt>
                <c:pt idx="351">
                  <c:v>45252</c:v>
                </c:pt>
                <c:pt idx="352">
                  <c:v>45251</c:v>
                </c:pt>
                <c:pt idx="353">
                  <c:v>45250</c:v>
                </c:pt>
                <c:pt idx="354">
                  <c:v>45247</c:v>
                </c:pt>
                <c:pt idx="355">
                  <c:v>45246</c:v>
                </c:pt>
                <c:pt idx="356">
                  <c:v>45245</c:v>
                </c:pt>
                <c:pt idx="357">
                  <c:v>45244</c:v>
                </c:pt>
                <c:pt idx="358">
                  <c:v>45243</c:v>
                </c:pt>
                <c:pt idx="359">
                  <c:v>45240</c:v>
                </c:pt>
                <c:pt idx="360">
                  <c:v>45239</c:v>
                </c:pt>
                <c:pt idx="361">
                  <c:v>45238</c:v>
                </c:pt>
                <c:pt idx="362">
                  <c:v>45237</c:v>
                </c:pt>
                <c:pt idx="363">
                  <c:v>45236</c:v>
                </c:pt>
                <c:pt idx="364">
                  <c:v>45233</c:v>
                </c:pt>
                <c:pt idx="365">
                  <c:v>45232</c:v>
                </c:pt>
                <c:pt idx="366">
                  <c:v>45231</c:v>
                </c:pt>
                <c:pt idx="367">
                  <c:v>45230</c:v>
                </c:pt>
                <c:pt idx="368">
                  <c:v>45229</c:v>
                </c:pt>
                <c:pt idx="369">
                  <c:v>45226</c:v>
                </c:pt>
                <c:pt idx="370">
                  <c:v>45225</c:v>
                </c:pt>
                <c:pt idx="371">
                  <c:v>45224</c:v>
                </c:pt>
                <c:pt idx="372">
                  <c:v>45223</c:v>
                </c:pt>
                <c:pt idx="373">
                  <c:v>45222</c:v>
                </c:pt>
                <c:pt idx="374">
                  <c:v>45219</c:v>
                </c:pt>
                <c:pt idx="375">
                  <c:v>45218</c:v>
                </c:pt>
                <c:pt idx="376">
                  <c:v>45217</c:v>
                </c:pt>
                <c:pt idx="377">
                  <c:v>45216</c:v>
                </c:pt>
                <c:pt idx="378">
                  <c:v>45215</c:v>
                </c:pt>
                <c:pt idx="379">
                  <c:v>45212</c:v>
                </c:pt>
                <c:pt idx="380">
                  <c:v>45211</c:v>
                </c:pt>
                <c:pt idx="381">
                  <c:v>45210</c:v>
                </c:pt>
                <c:pt idx="382">
                  <c:v>45209</c:v>
                </c:pt>
                <c:pt idx="383">
                  <c:v>45208</c:v>
                </c:pt>
                <c:pt idx="384">
                  <c:v>45205</c:v>
                </c:pt>
                <c:pt idx="385">
                  <c:v>45204</c:v>
                </c:pt>
                <c:pt idx="386">
                  <c:v>45203</c:v>
                </c:pt>
                <c:pt idx="387">
                  <c:v>45202</c:v>
                </c:pt>
                <c:pt idx="388">
                  <c:v>45201</c:v>
                </c:pt>
                <c:pt idx="389">
                  <c:v>45198</c:v>
                </c:pt>
                <c:pt idx="390">
                  <c:v>45197</c:v>
                </c:pt>
                <c:pt idx="391">
                  <c:v>45196</c:v>
                </c:pt>
                <c:pt idx="392">
                  <c:v>45195</c:v>
                </c:pt>
                <c:pt idx="393">
                  <c:v>45194</c:v>
                </c:pt>
                <c:pt idx="394">
                  <c:v>45191</c:v>
                </c:pt>
                <c:pt idx="395">
                  <c:v>45190</c:v>
                </c:pt>
                <c:pt idx="396">
                  <c:v>45189</c:v>
                </c:pt>
                <c:pt idx="397">
                  <c:v>45188</c:v>
                </c:pt>
                <c:pt idx="398">
                  <c:v>45187</c:v>
                </c:pt>
                <c:pt idx="399">
                  <c:v>45184</c:v>
                </c:pt>
                <c:pt idx="400">
                  <c:v>45183</c:v>
                </c:pt>
                <c:pt idx="401">
                  <c:v>45182</c:v>
                </c:pt>
                <c:pt idx="402">
                  <c:v>45181</c:v>
                </c:pt>
                <c:pt idx="403">
                  <c:v>45180</c:v>
                </c:pt>
                <c:pt idx="404">
                  <c:v>45177</c:v>
                </c:pt>
                <c:pt idx="405">
                  <c:v>45176</c:v>
                </c:pt>
                <c:pt idx="406">
                  <c:v>45175</c:v>
                </c:pt>
                <c:pt idx="407">
                  <c:v>45174</c:v>
                </c:pt>
                <c:pt idx="408">
                  <c:v>45173</c:v>
                </c:pt>
                <c:pt idx="409">
                  <c:v>45170</c:v>
                </c:pt>
                <c:pt idx="410">
                  <c:v>45169</c:v>
                </c:pt>
                <c:pt idx="411">
                  <c:v>45168</c:v>
                </c:pt>
                <c:pt idx="412">
                  <c:v>45167</c:v>
                </c:pt>
                <c:pt idx="413">
                  <c:v>45163</c:v>
                </c:pt>
                <c:pt idx="414">
                  <c:v>45162</c:v>
                </c:pt>
                <c:pt idx="415">
                  <c:v>45161</c:v>
                </c:pt>
                <c:pt idx="416">
                  <c:v>45160</c:v>
                </c:pt>
                <c:pt idx="417">
                  <c:v>45159</c:v>
                </c:pt>
                <c:pt idx="418">
                  <c:v>45156</c:v>
                </c:pt>
                <c:pt idx="419">
                  <c:v>45155</c:v>
                </c:pt>
                <c:pt idx="420">
                  <c:v>45154</c:v>
                </c:pt>
                <c:pt idx="421">
                  <c:v>45153</c:v>
                </c:pt>
                <c:pt idx="422">
                  <c:v>45152</c:v>
                </c:pt>
                <c:pt idx="423">
                  <c:v>45149</c:v>
                </c:pt>
                <c:pt idx="424">
                  <c:v>45148</c:v>
                </c:pt>
                <c:pt idx="425">
                  <c:v>45147</c:v>
                </c:pt>
                <c:pt idx="426">
                  <c:v>45146</c:v>
                </c:pt>
                <c:pt idx="427">
                  <c:v>45145</c:v>
                </c:pt>
                <c:pt idx="428">
                  <c:v>45142</c:v>
                </c:pt>
                <c:pt idx="429">
                  <c:v>45141</c:v>
                </c:pt>
                <c:pt idx="430">
                  <c:v>45140</c:v>
                </c:pt>
                <c:pt idx="431">
                  <c:v>45139</c:v>
                </c:pt>
                <c:pt idx="432">
                  <c:v>45138</c:v>
                </c:pt>
                <c:pt idx="433">
                  <c:v>45135</c:v>
                </c:pt>
                <c:pt idx="434">
                  <c:v>45134</c:v>
                </c:pt>
                <c:pt idx="435">
                  <c:v>45133</c:v>
                </c:pt>
                <c:pt idx="436">
                  <c:v>45132</c:v>
                </c:pt>
                <c:pt idx="437">
                  <c:v>45131</c:v>
                </c:pt>
                <c:pt idx="438">
                  <c:v>45128</c:v>
                </c:pt>
                <c:pt idx="439">
                  <c:v>45127</c:v>
                </c:pt>
                <c:pt idx="440">
                  <c:v>45126</c:v>
                </c:pt>
                <c:pt idx="441">
                  <c:v>45125</c:v>
                </c:pt>
                <c:pt idx="442">
                  <c:v>45124</c:v>
                </c:pt>
                <c:pt idx="443">
                  <c:v>45121</c:v>
                </c:pt>
                <c:pt idx="444">
                  <c:v>45120</c:v>
                </c:pt>
                <c:pt idx="445">
                  <c:v>45119</c:v>
                </c:pt>
                <c:pt idx="446">
                  <c:v>45118</c:v>
                </c:pt>
                <c:pt idx="447">
                  <c:v>45117</c:v>
                </c:pt>
                <c:pt idx="448">
                  <c:v>45114</c:v>
                </c:pt>
                <c:pt idx="449">
                  <c:v>45113</c:v>
                </c:pt>
                <c:pt idx="450">
                  <c:v>45112</c:v>
                </c:pt>
                <c:pt idx="451">
                  <c:v>45111</c:v>
                </c:pt>
                <c:pt idx="452">
                  <c:v>45110</c:v>
                </c:pt>
                <c:pt idx="453">
                  <c:v>45107</c:v>
                </c:pt>
                <c:pt idx="454">
                  <c:v>45106</c:v>
                </c:pt>
                <c:pt idx="455">
                  <c:v>45105</c:v>
                </c:pt>
                <c:pt idx="456">
                  <c:v>45104</c:v>
                </c:pt>
                <c:pt idx="457">
                  <c:v>45103</c:v>
                </c:pt>
                <c:pt idx="458">
                  <c:v>45100</c:v>
                </c:pt>
                <c:pt idx="459">
                  <c:v>45099</c:v>
                </c:pt>
                <c:pt idx="460">
                  <c:v>45098</c:v>
                </c:pt>
                <c:pt idx="461">
                  <c:v>45097</c:v>
                </c:pt>
                <c:pt idx="462">
                  <c:v>45096</c:v>
                </c:pt>
                <c:pt idx="463">
                  <c:v>45093</c:v>
                </c:pt>
                <c:pt idx="464">
                  <c:v>45092</c:v>
                </c:pt>
                <c:pt idx="465">
                  <c:v>45091</c:v>
                </c:pt>
                <c:pt idx="466">
                  <c:v>45090</c:v>
                </c:pt>
                <c:pt idx="467">
                  <c:v>45089</c:v>
                </c:pt>
                <c:pt idx="468">
                  <c:v>45086</c:v>
                </c:pt>
                <c:pt idx="469">
                  <c:v>45085</c:v>
                </c:pt>
                <c:pt idx="470">
                  <c:v>45084</c:v>
                </c:pt>
                <c:pt idx="471">
                  <c:v>45083</c:v>
                </c:pt>
                <c:pt idx="472">
                  <c:v>45082</c:v>
                </c:pt>
                <c:pt idx="473">
                  <c:v>45079</c:v>
                </c:pt>
                <c:pt idx="474">
                  <c:v>45078</c:v>
                </c:pt>
                <c:pt idx="475">
                  <c:v>45077</c:v>
                </c:pt>
                <c:pt idx="476">
                  <c:v>45076</c:v>
                </c:pt>
                <c:pt idx="477">
                  <c:v>45072</c:v>
                </c:pt>
                <c:pt idx="478">
                  <c:v>45071</c:v>
                </c:pt>
                <c:pt idx="479">
                  <c:v>45070</c:v>
                </c:pt>
                <c:pt idx="480">
                  <c:v>45069</c:v>
                </c:pt>
                <c:pt idx="481">
                  <c:v>45068</c:v>
                </c:pt>
                <c:pt idx="482">
                  <c:v>45065</c:v>
                </c:pt>
                <c:pt idx="483">
                  <c:v>45064</c:v>
                </c:pt>
                <c:pt idx="484">
                  <c:v>45063</c:v>
                </c:pt>
                <c:pt idx="485">
                  <c:v>45062</c:v>
                </c:pt>
                <c:pt idx="486">
                  <c:v>45061</c:v>
                </c:pt>
                <c:pt idx="487">
                  <c:v>45058</c:v>
                </c:pt>
                <c:pt idx="488">
                  <c:v>45057</c:v>
                </c:pt>
                <c:pt idx="489">
                  <c:v>45056</c:v>
                </c:pt>
                <c:pt idx="490">
                  <c:v>45055</c:v>
                </c:pt>
                <c:pt idx="491">
                  <c:v>45051</c:v>
                </c:pt>
                <c:pt idx="492">
                  <c:v>45050</c:v>
                </c:pt>
                <c:pt idx="493">
                  <c:v>45049</c:v>
                </c:pt>
                <c:pt idx="494">
                  <c:v>45048</c:v>
                </c:pt>
                <c:pt idx="495">
                  <c:v>45044</c:v>
                </c:pt>
                <c:pt idx="496">
                  <c:v>45043</c:v>
                </c:pt>
                <c:pt idx="497">
                  <c:v>45042</c:v>
                </c:pt>
                <c:pt idx="498">
                  <c:v>45041</c:v>
                </c:pt>
                <c:pt idx="499">
                  <c:v>45040</c:v>
                </c:pt>
                <c:pt idx="500">
                  <c:v>45037</c:v>
                </c:pt>
                <c:pt idx="501">
                  <c:v>45036</c:v>
                </c:pt>
                <c:pt idx="502">
                  <c:v>45035</c:v>
                </c:pt>
                <c:pt idx="503">
                  <c:v>45034</c:v>
                </c:pt>
                <c:pt idx="504">
                  <c:v>45033</c:v>
                </c:pt>
                <c:pt idx="505">
                  <c:v>45030</c:v>
                </c:pt>
                <c:pt idx="506">
                  <c:v>45029</c:v>
                </c:pt>
                <c:pt idx="507">
                  <c:v>45028</c:v>
                </c:pt>
                <c:pt idx="508">
                  <c:v>45027</c:v>
                </c:pt>
                <c:pt idx="509">
                  <c:v>45022</c:v>
                </c:pt>
                <c:pt idx="510">
                  <c:v>45021</c:v>
                </c:pt>
                <c:pt idx="511">
                  <c:v>45020</c:v>
                </c:pt>
                <c:pt idx="512">
                  <c:v>45019</c:v>
                </c:pt>
                <c:pt idx="513">
                  <c:v>45016</c:v>
                </c:pt>
                <c:pt idx="514">
                  <c:v>45015</c:v>
                </c:pt>
                <c:pt idx="515">
                  <c:v>45014</c:v>
                </c:pt>
                <c:pt idx="516">
                  <c:v>45013</c:v>
                </c:pt>
                <c:pt idx="517">
                  <c:v>45012</c:v>
                </c:pt>
                <c:pt idx="518">
                  <c:v>45009</c:v>
                </c:pt>
                <c:pt idx="519">
                  <c:v>45008</c:v>
                </c:pt>
                <c:pt idx="520">
                  <c:v>45007</c:v>
                </c:pt>
                <c:pt idx="521">
                  <c:v>45006</c:v>
                </c:pt>
                <c:pt idx="522">
                  <c:v>45005</c:v>
                </c:pt>
                <c:pt idx="523">
                  <c:v>45002</c:v>
                </c:pt>
                <c:pt idx="524">
                  <c:v>45001</c:v>
                </c:pt>
                <c:pt idx="525">
                  <c:v>45000</c:v>
                </c:pt>
                <c:pt idx="526">
                  <c:v>44999</c:v>
                </c:pt>
                <c:pt idx="527">
                  <c:v>44998</c:v>
                </c:pt>
                <c:pt idx="528">
                  <c:v>44995</c:v>
                </c:pt>
                <c:pt idx="529">
                  <c:v>44994</c:v>
                </c:pt>
                <c:pt idx="530">
                  <c:v>44993</c:v>
                </c:pt>
                <c:pt idx="531">
                  <c:v>44992</c:v>
                </c:pt>
                <c:pt idx="532">
                  <c:v>44991</c:v>
                </c:pt>
                <c:pt idx="533">
                  <c:v>44988</c:v>
                </c:pt>
                <c:pt idx="534">
                  <c:v>44987</c:v>
                </c:pt>
                <c:pt idx="535">
                  <c:v>44986</c:v>
                </c:pt>
                <c:pt idx="536">
                  <c:v>44985</c:v>
                </c:pt>
                <c:pt idx="537">
                  <c:v>44984</c:v>
                </c:pt>
                <c:pt idx="538">
                  <c:v>44981</c:v>
                </c:pt>
                <c:pt idx="539">
                  <c:v>44980</c:v>
                </c:pt>
                <c:pt idx="540">
                  <c:v>44979</c:v>
                </c:pt>
                <c:pt idx="541">
                  <c:v>44978</c:v>
                </c:pt>
                <c:pt idx="542">
                  <c:v>44977</c:v>
                </c:pt>
                <c:pt idx="543">
                  <c:v>44974</c:v>
                </c:pt>
                <c:pt idx="544">
                  <c:v>44973</c:v>
                </c:pt>
                <c:pt idx="545">
                  <c:v>44972</c:v>
                </c:pt>
                <c:pt idx="546">
                  <c:v>44971</c:v>
                </c:pt>
                <c:pt idx="547">
                  <c:v>44970</c:v>
                </c:pt>
                <c:pt idx="548">
                  <c:v>44967</c:v>
                </c:pt>
                <c:pt idx="549">
                  <c:v>44966</c:v>
                </c:pt>
                <c:pt idx="550">
                  <c:v>44965</c:v>
                </c:pt>
                <c:pt idx="551">
                  <c:v>44964</c:v>
                </c:pt>
                <c:pt idx="552">
                  <c:v>44963</c:v>
                </c:pt>
                <c:pt idx="553">
                  <c:v>44960</c:v>
                </c:pt>
                <c:pt idx="554">
                  <c:v>44959</c:v>
                </c:pt>
                <c:pt idx="555">
                  <c:v>44958</c:v>
                </c:pt>
                <c:pt idx="556">
                  <c:v>44957</c:v>
                </c:pt>
                <c:pt idx="557">
                  <c:v>44956</c:v>
                </c:pt>
                <c:pt idx="558">
                  <c:v>44953</c:v>
                </c:pt>
                <c:pt idx="559">
                  <c:v>44952</c:v>
                </c:pt>
                <c:pt idx="560">
                  <c:v>44951</c:v>
                </c:pt>
                <c:pt idx="561">
                  <c:v>44950</c:v>
                </c:pt>
                <c:pt idx="562">
                  <c:v>44949</c:v>
                </c:pt>
                <c:pt idx="563">
                  <c:v>44946</c:v>
                </c:pt>
                <c:pt idx="564">
                  <c:v>44945</c:v>
                </c:pt>
                <c:pt idx="565">
                  <c:v>44944</c:v>
                </c:pt>
                <c:pt idx="566">
                  <c:v>44943</c:v>
                </c:pt>
                <c:pt idx="567">
                  <c:v>44942</c:v>
                </c:pt>
                <c:pt idx="568">
                  <c:v>44939</c:v>
                </c:pt>
                <c:pt idx="569">
                  <c:v>44938</c:v>
                </c:pt>
                <c:pt idx="570">
                  <c:v>44937</c:v>
                </c:pt>
                <c:pt idx="571">
                  <c:v>44936</c:v>
                </c:pt>
                <c:pt idx="572">
                  <c:v>44935</c:v>
                </c:pt>
                <c:pt idx="573">
                  <c:v>44932</c:v>
                </c:pt>
                <c:pt idx="574">
                  <c:v>44931</c:v>
                </c:pt>
                <c:pt idx="575">
                  <c:v>44930</c:v>
                </c:pt>
                <c:pt idx="576">
                  <c:v>44929</c:v>
                </c:pt>
                <c:pt idx="577">
                  <c:v>44925</c:v>
                </c:pt>
                <c:pt idx="578">
                  <c:v>44924</c:v>
                </c:pt>
                <c:pt idx="579">
                  <c:v>44923</c:v>
                </c:pt>
                <c:pt idx="580">
                  <c:v>44918</c:v>
                </c:pt>
                <c:pt idx="581">
                  <c:v>44917</c:v>
                </c:pt>
                <c:pt idx="582">
                  <c:v>44916</c:v>
                </c:pt>
                <c:pt idx="583">
                  <c:v>44915</c:v>
                </c:pt>
                <c:pt idx="584">
                  <c:v>44914</c:v>
                </c:pt>
                <c:pt idx="585">
                  <c:v>44911</c:v>
                </c:pt>
                <c:pt idx="586">
                  <c:v>44910</c:v>
                </c:pt>
                <c:pt idx="587">
                  <c:v>44909</c:v>
                </c:pt>
                <c:pt idx="588">
                  <c:v>44908</c:v>
                </c:pt>
                <c:pt idx="589">
                  <c:v>44907</c:v>
                </c:pt>
                <c:pt idx="590">
                  <c:v>44904</c:v>
                </c:pt>
                <c:pt idx="591">
                  <c:v>44903</c:v>
                </c:pt>
                <c:pt idx="592">
                  <c:v>44902</c:v>
                </c:pt>
                <c:pt idx="593">
                  <c:v>44901</c:v>
                </c:pt>
                <c:pt idx="594">
                  <c:v>44900</c:v>
                </c:pt>
                <c:pt idx="595">
                  <c:v>44897</c:v>
                </c:pt>
                <c:pt idx="596">
                  <c:v>44896</c:v>
                </c:pt>
                <c:pt idx="597">
                  <c:v>44895</c:v>
                </c:pt>
                <c:pt idx="598">
                  <c:v>44894</c:v>
                </c:pt>
                <c:pt idx="599">
                  <c:v>44893</c:v>
                </c:pt>
                <c:pt idx="600">
                  <c:v>44890</c:v>
                </c:pt>
                <c:pt idx="601">
                  <c:v>44889</c:v>
                </c:pt>
                <c:pt idx="602">
                  <c:v>44888</c:v>
                </c:pt>
                <c:pt idx="603">
                  <c:v>44887</c:v>
                </c:pt>
                <c:pt idx="604">
                  <c:v>44886</c:v>
                </c:pt>
                <c:pt idx="605">
                  <c:v>44883</c:v>
                </c:pt>
                <c:pt idx="606">
                  <c:v>44882</c:v>
                </c:pt>
                <c:pt idx="607">
                  <c:v>44881</c:v>
                </c:pt>
                <c:pt idx="608">
                  <c:v>44880</c:v>
                </c:pt>
                <c:pt idx="609">
                  <c:v>44879</c:v>
                </c:pt>
                <c:pt idx="610">
                  <c:v>44876</c:v>
                </c:pt>
                <c:pt idx="611">
                  <c:v>44875</c:v>
                </c:pt>
                <c:pt idx="612">
                  <c:v>44874</c:v>
                </c:pt>
                <c:pt idx="613">
                  <c:v>44873</c:v>
                </c:pt>
                <c:pt idx="614">
                  <c:v>44872</c:v>
                </c:pt>
                <c:pt idx="615">
                  <c:v>44869</c:v>
                </c:pt>
                <c:pt idx="616">
                  <c:v>44868</c:v>
                </c:pt>
                <c:pt idx="617">
                  <c:v>44867</c:v>
                </c:pt>
                <c:pt idx="618">
                  <c:v>44866</c:v>
                </c:pt>
                <c:pt idx="619">
                  <c:v>44865</c:v>
                </c:pt>
                <c:pt idx="620">
                  <c:v>44862</c:v>
                </c:pt>
                <c:pt idx="621">
                  <c:v>44861</c:v>
                </c:pt>
                <c:pt idx="622">
                  <c:v>44860</c:v>
                </c:pt>
                <c:pt idx="623">
                  <c:v>44859</c:v>
                </c:pt>
                <c:pt idx="624">
                  <c:v>44858</c:v>
                </c:pt>
                <c:pt idx="625">
                  <c:v>44855</c:v>
                </c:pt>
                <c:pt idx="626">
                  <c:v>44854</c:v>
                </c:pt>
                <c:pt idx="627">
                  <c:v>44853</c:v>
                </c:pt>
                <c:pt idx="628">
                  <c:v>44852</c:v>
                </c:pt>
                <c:pt idx="629">
                  <c:v>44851</c:v>
                </c:pt>
                <c:pt idx="630">
                  <c:v>44848</c:v>
                </c:pt>
                <c:pt idx="631">
                  <c:v>44847</c:v>
                </c:pt>
                <c:pt idx="632">
                  <c:v>44846</c:v>
                </c:pt>
                <c:pt idx="633">
                  <c:v>44845</c:v>
                </c:pt>
                <c:pt idx="634">
                  <c:v>44844</c:v>
                </c:pt>
                <c:pt idx="635">
                  <c:v>44841</c:v>
                </c:pt>
                <c:pt idx="636">
                  <c:v>44840</c:v>
                </c:pt>
                <c:pt idx="637">
                  <c:v>44839</c:v>
                </c:pt>
                <c:pt idx="638">
                  <c:v>44838</c:v>
                </c:pt>
                <c:pt idx="639">
                  <c:v>44837</c:v>
                </c:pt>
                <c:pt idx="640">
                  <c:v>44834</c:v>
                </c:pt>
                <c:pt idx="641">
                  <c:v>44833</c:v>
                </c:pt>
                <c:pt idx="642">
                  <c:v>44832</c:v>
                </c:pt>
                <c:pt idx="643">
                  <c:v>44831</c:v>
                </c:pt>
                <c:pt idx="644">
                  <c:v>44830</c:v>
                </c:pt>
                <c:pt idx="645">
                  <c:v>44827</c:v>
                </c:pt>
                <c:pt idx="646">
                  <c:v>44826</c:v>
                </c:pt>
                <c:pt idx="647">
                  <c:v>44825</c:v>
                </c:pt>
                <c:pt idx="648">
                  <c:v>44824</c:v>
                </c:pt>
                <c:pt idx="649">
                  <c:v>44823</c:v>
                </c:pt>
                <c:pt idx="650">
                  <c:v>44820</c:v>
                </c:pt>
                <c:pt idx="651">
                  <c:v>44819</c:v>
                </c:pt>
                <c:pt idx="652">
                  <c:v>44818</c:v>
                </c:pt>
                <c:pt idx="653">
                  <c:v>44817</c:v>
                </c:pt>
                <c:pt idx="654">
                  <c:v>44816</c:v>
                </c:pt>
                <c:pt idx="655">
                  <c:v>44813</c:v>
                </c:pt>
                <c:pt idx="656">
                  <c:v>44812</c:v>
                </c:pt>
                <c:pt idx="657">
                  <c:v>44811</c:v>
                </c:pt>
                <c:pt idx="658">
                  <c:v>44810</c:v>
                </c:pt>
                <c:pt idx="659">
                  <c:v>44809</c:v>
                </c:pt>
                <c:pt idx="660">
                  <c:v>44806</c:v>
                </c:pt>
                <c:pt idx="661">
                  <c:v>44805</c:v>
                </c:pt>
                <c:pt idx="662">
                  <c:v>44804</c:v>
                </c:pt>
                <c:pt idx="663">
                  <c:v>44803</c:v>
                </c:pt>
                <c:pt idx="664">
                  <c:v>44799</c:v>
                </c:pt>
                <c:pt idx="665">
                  <c:v>44798</c:v>
                </c:pt>
                <c:pt idx="666">
                  <c:v>44797</c:v>
                </c:pt>
                <c:pt idx="667">
                  <c:v>44796</c:v>
                </c:pt>
                <c:pt idx="668">
                  <c:v>44795</c:v>
                </c:pt>
                <c:pt idx="669">
                  <c:v>44792</c:v>
                </c:pt>
                <c:pt idx="670">
                  <c:v>44791</c:v>
                </c:pt>
                <c:pt idx="671">
                  <c:v>44790</c:v>
                </c:pt>
                <c:pt idx="672">
                  <c:v>44789</c:v>
                </c:pt>
                <c:pt idx="673">
                  <c:v>44788</c:v>
                </c:pt>
                <c:pt idx="674">
                  <c:v>44785</c:v>
                </c:pt>
                <c:pt idx="675">
                  <c:v>44784</c:v>
                </c:pt>
                <c:pt idx="676">
                  <c:v>44783</c:v>
                </c:pt>
                <c:pt idx="677">
                  <c:v>44782</c:v>
                </c:pt>
                <c:pt idx="678">
                  <c:v>44781</c:v>
                </c:pt>
                <c:pt idx="679">
                  <c:v>44778</c:v>
                </c:pt>
                <c:pt idx="680">
                  <c:v>44777</c:v>
                </c:pt>
                <c:pt idx="681">
                  <c:v>44776</c:v>
                </c:pt>
                <c:pt idx="682">
                  <c:v>44775</c:v>
                </c:pt>
                <c:pt idx="683">
                  <c:v>44774</c:v>
                </c:pt>
                <c:pt idx="684">
                  <c:v>44771</c:v>
                </c:pt>
                <c:pt idx="685">
                  <c:v>44770</c:v>
                </c:pt>
                <c:pt idx="686">
                  <c:v>44769</c:v>
                </c:pt>
                <c:pt idx="687">
                  <c:v>44768</c:v>
                </c:pt>
                <c:pt idx="688">
                  <c:v>44767</c:v>
                </c:pt>
                <c:pt idx="689">
                  <c:v>44764</c:v>
                </c:pt>
                <c:pt idx="690">
                  <c:v>44763</c:v>
                </c:pt>
                <c:pt idx="691">
                  <c:v>44762</c:v>
                </c:pt>
                <c:pt idx="692">
                  <c:v>44761</c:v>
                </c:pt>
                <c:pt idx="693">
                  <c:v>44760</c:v>
                </c:pt>
                <c:pt idx="694">
                  <c:v>44757</c:v>
                </c:pt>
                <c:pt idx="695">
                  <c:v>44756</c:v>
                </c:pt>
                <c:pt idx="696">
                  <c:v>44755</c:v>
                </c:pt>
                <c:pt idx="697">
                  <c:v>44754</c:v>
                </c:pt>
                <c:pt idx="698">
                  <c:v>44753</c:v>
                </c:pt>
                <c:pt idx="699">
                  <c:v>44750</c:v>
                </c:pt>
                <c:pt idx="700">
                  <c:v>44749</c:v>
                </c:pt>
                <c:pt idx="701">
                  <c:v>44748</c:v>
                </c:pt>
                <c:pt idx="702">
                  <c:v>44747</c:v>
                </c:pt>
                <c:pt idx="703">
                  <c:v>44746</c:v>
                </c:pt>
                <c:pt idx="704">
                  <c:v>44743</c:v>
                </c:pt>
                <c:pt idx="705">
                  <c:v>44742</c:v>
                </c:pt>
                <c:pt idx="706">
                  <c:v>44741</c:v>
                </c:pt>
                <c:pt idx="707">
                  <c:v>44740</c:v>
                </c:pt>
                <c:pt idx="708">
                  <c:v>44739</c:v>
                </c:pt>
                <c:pt idx="709">
                  <c:v>44736</c:v>
                </c:pt>
                <c:pt idx="710">
                  <c:v>44735</c:v>
                </c:pt>
                <c:pt idx="711">
                  <c:v>44734</c:v>
                </c:pt>
                <c:pt idx="712">
                  <c:v>44733</c:v>
                </c:pt>
                <c:pt idx="713">
                  <c:v>44732</c:v>
                </c:pt>
                <c:pt idx="714">
                  <c:v>44729</c:v>
                </c:pt>
                <c:pt idx="715">
                  <c:v>44728</c:v>
                </c:pt>
                <c:pt idx="716">
                  <c:v>44727</c:v>
                </c:pt>
                <c:pt idx="717">
                  <c:v>44726</c:v>
                </c:pt>
                <c:pt idx="718">
                  <c:v>44725</c:v>
                </c:pt>
                <c:pt idx="719">
                  <c:v>44722</c:v>
                </c:pt>
                <c:pt idx="720">
                  <c:v>44721</c:v>
                </c:pt>
                <c:pt idx="721">
                  <c:v>44720</c:v>
                </c:pt>
                <c:pt idx="722">
                  <c:v>44719</c:v>
                </c:pt>
                <c:pt idx="723">
                  <c:v>44718</c:v>
                </c:pt>
                <c:pt idx="724">
                  <c:v>44713</c:v>
                </c:pt>
                <c:pt idx="725">
                  <c:v>44712</c:v>
                </c:pt>
                <c:pt idx="726">
                  <c:v>44711</c:v>
                </c:pt>
                <c:pt idx="727">
                  <c:v>44708</c:v>
                </c:pt>
                <c:pt idx="728">
                  <c:v>44707</c:v>
                </c:pt>
                <c:pt idx="729">
                  <c:v>44706</c:v>
                </c:pt>
                <c:pt idx="730">
                  <c:v>44705</c:v>
                </c:pt>
                <c:pt idx="731">
                  <c:v>44704</c:v>
                </c:pt>
                <c:pt idx="732">
                  <c:v>44701</c:v>
                </c:pt>
                <c:pt idx="733">
                  <c:v>44700</c:v>
                </c:pt>
                <c:pt idx="734">
                  <c:v>44699</c:v>
                </c:pt>
                <c:pt idx="735">
                  <c:v>44698</c:v>
                </c:pt>
                <c:pt idx="736">
                  <c:v>44697</c:v>
                </c:pt>
                <c:pt idx="737">
                  <c:v>44694</c:v>
                </c:pt>
                <c:pt idx="738">
                  <c:v>44693</c:v>
                </c:pt>
                <c:pt idx="739">
                  <c:v>44692</c:v>
                </c:pt>
                <c:pt idx="740">
                  <c:v>44691</c:v>
                </c:pt>
                <c:pt idx="741">
                  <c:v>44690</c:v>
                </c:pt>
                <c:pt idx="742">
                  <c:v>44687</c:v>
                </c:pt>
                <c:pt idx="743">
                  <c:v>44686</c:v>
                </c:pt>
                <c:pt idx="744">
                  <c:v>44685</c:v>
                </c:pt>
                <c:pt idx="745">
                  <c:v>44684</c:v>
                </c:pt>
                <c:pt idx="746">
                  <c:v>44680</c:v>
                </c:pt>
                <c:pt idx="747">
                  <c:v>44679</c:v>
                </c:pt>
                <c:pt idx="748">
                  <c:v>44678</c:v>
                </c:pt>
                <c:pt idx="749">
                  <c:v>44677</c:v>
                </c:pt>
                <c:pt idx="750">
                  <c:v>44676</c:v>
                </c:pt>
                <c:pt idx="751">
                  <c:v>44673</c:v>
                </c:pt>
                <c:pt idx="752">
                  <c:v>44672</c:v>
                </c:pt>
                <c:pt idx="753">
                  <c:v>44671</c:v>
                </c:pt>
                <c:pt idx="754">
                  <c:v>44670</c:v>
                </c:pt>
                <c:pt idx="755">
                  <c:v>44665</c:v>
                </c:pt>
                <c:pt idx="756">
                  <c:v>44664</c:v>
                </c:pt>
                <c:pt idx="757">
                  <c:v>44663</c:v>
                </c:pt>
                <c:pt idx="758">
                  <c:v>44662</c:v>
                </c:pt>
                <c:pt idx="759">
                  <c:v>44659</c:v>
                </c:pt>
                <c:pt idx="760">
                  <c:v>44658</c:v>
                </c:pt>
                <c:pt idx="761">
                  <c:v>44657</c:v>
                </c:pt>
                <c:pt idx="762">
                  <c:v>44656</c:v>
                </c:pt>
                <c:pt idx="763">
                  <c:v>44655</c:v>
                </c:pt>
                <c:pt idx="764">
                  <c:v>44652</c:v>
                </c:pt>
                <c:pt idx="765">
                  <c:v>44651</c:v>
                </c:pt>
                <c:pt idx="766">
                  <c:v>44650</c:v>
                </c:pt>
                <c:pt idx="767">
                  <c:v>44649</c:v>
                </c:pt>
                <c:pt idx="768">
                  <c:v>44648</c:v>
                </c:pt>
                <c:pt idx="769">
                  <c:v>44645</c:v>
                </c:pt>
                <c:pt idx="770">
                  <c:v>44644</c:v>
                </c:pt>
                <c:pt idx="771">
                  <c:v>44643</c:v>
                </c:pt>
                <c:pt idx="772">
                  <c:v>44642</c:v>
                </c:pt>
                <c:pt idx="773">
                  <c:v>44641</c:v>
                </c:pt>
                <c:pt idx="774">
                  <c:v>44638</c:v>
                </c:pt>
                <c:pt idx="775">
                  <c:v>44637</c:v>
                </c:pt>
                <c:pt idx="776">
                  <c:v>44636</c:v>
                </c:pt>
                <c:pt idx="777">
                  <c:v>44635</c:v>
                </c:pt>
                <c:pt idx="778">
                  <c:v>44634</c:v>
                </c:pt>
                <c:pt idx="779">
                  <c:v>44631</c:v>
                </c:pt>
                <c:pt idx="780">
                  <c:v>44630</c:v>
                </c:pt>
                <c:pt idx="781">
                  <c:v>44629</c:v>
                </c:pt>
                <c:pt idx="782">
                  <c:v>44628</c:v>
                </c:pt>
                <c:pt idx="783">
                  <c:v>44627</c:v>
                </c:pt>
                <c:pt idx="784">
                  <c:v>44624</c:v>
                </c:pt>
                <c:pt idx="785">
                  <c:v>44623</c:v>
                </c:pt>
                <c:pt idx="786">
                  <c:v>44622</c:v>
                </c:pt>
                <c:pt idx="787">
                  <c:v>44621</c:v>
                </c:pt>
                <c:pt idx="788">
                  <c:v>44620</c:v>
                </c:pt>
                <c:pt idx="789">
                  <c:v>44617</c:v>
                </c:pt>
                <c:pt idx="790">
                  <c:v>44616</c:v>
                </c:pt>
                <c:pt idx="791">
                  <c:v>44615</c:v>
                </c:pt>
                <c:pt idx="792">
                  <c:v>44614</c:v>
                </c:pt>
                <c:pt idx="793">
                  <c:v>44613</c:v>
                </c:pt>
                <c:pt idx="794">
                  <c:v>44610</c:v>
                </c:pt>
                <c:pt idx="795">
                  <c:v>44609</c:v>
                </c:pt>
                <c:pt idx="796">
                  <c:v>44608</c:v>
                </c:pt>
                <c:pt idx="797">
                  <c:v>44607</c:v>
                </c:pt>
                <c:pt idx="798">
                  <c:v>44606</c:v>
                </c:pt>
                <c:pt idx="799">
                  <c:v>44603</c:v>
                </c:pt>
                <c:pt idx="800">
                  <c:v>44602</c:v>
                </c:pt>
                <c:pt idx="801">
                  <c:v>44601</c:v>
                </c:pt>
                <c:pt idx="802">
                  <c:v>44600</c:v>
                </c:pt>
                <c:pt idx="803">
                  <c:v>44599</c:v>
                </c:pt>
                <c:pt idx="804">
                  <c:v>44596</c:v>
                </c:pt>
                <c:pt idx="805">
                  <c:v>44595</c:v>
                </c:pt>
                <c:pt idx="806">
                  <c:v>44594</c:v>
                </c:pt>
                <c:pt idx="807">
                  <c:v>44593</c:v>
                </c:pt>
                <c:pt idx="808">
                  <c:v>44592</c:v>
                </c:pt>
                <c:pt idx="809">
                  <c:v>44589</c:v>
                </c:pt>
                <c:pt idx="810">
                  <c:v>44588</c:v>
                </c:pt>
                <c:pt idx="811">
                  <c:v>44587</c:v>
                </c:pt>
                <c:pt idx="812">
                  <c:v>44586</c:v>
                </c:pt>
                <c:pt idx="813">
                  <c:v>44585</c:v>
                </c:pt>
                <c:pt idx="814">
                  <c:v>44582</c:v>
                </c:pt>
                <c:pt idx="815">
                  <c:v>44581</c:v>
                </c:pt>
                <c:pt idx="816">
                  <c:v>44580</c:v>
                </c:pt>
                <c:pt idx="817">
                  <c:v>44579</c:v>
                </c:pt>
                <c:pt idx="818">
                  <c:v>44578</c:v>
                </c:pt>
                <c:pt idx="819">
                  <c:v>44575</c:v>
                </c:pt>
                <c:pt idx="820">
                  <c:v>44574</c:v>
                </c:pt>
                <c:pt idx="821">
                  <c:v>44573</c:v>
                </c:pt>
                <c:pt idx="822">
                  <c:v>44572</c:v>
                </c:pt>
                <c:pt idx="823">
                  <c:v>44571</c:v>
                </c:pt>
                <c:pt idx="824">
                  <c:v>44568</c:v>
                </c:pt>
                <c:pt idx="825">
                  <c:v>44567</c:v>
                </c:pt>
              </c:numCache>
            </c:numRef>
          </c:cat>
          <c:val>
            <c:numRef>
              <c:f>LME铜铝价格f48!$B$4:$B$829</c:f>
              <c:numCache>
                <c:formatCode>#,##0.00_ </c:formatCode>
                <c:ptCount val="826"/>
                <c:pt idx="0">
                  <c:v>9180</c:v>
                </c:pt>
                <c:pt idx="1">
                  <c:v>8978</c:v>
                </c:pt>
                <c:pt idx="2">
                  <c:v>8539</c:v>
                </c:pt>
                <c:pt idx="3">
                  <c:v>8760</c:v>
                </c:pt>
                <c:pt idx="4">
                  <c:v>8825</c:v>
                </c:pt>
                <c:pt idx="5">
                  <c:v>8830.5</c:v>
                </c:pt>
                <c:pt idx="6">
                  <c:v>9397</c:v>
                </c:pt>
                <c:pt idx="7">
                  <c:v>9646</c:v>
                </c:pt>
                <c:pt idx="8">
                  <c:v>9652</c:v>
                </c:pt>
                <c:pt idx="9">
                  <c:v>9673</c:v>
                </c:pt>
                <c:pt idx="10">
                  <c:v>9795</c:v>
                </c:pt>
                <c:pt idx="11">
                  <c:v>9787</c:v>
                </c:pt>
                <c:pt idx="12">
                  <c:v>9884</c:v>
                </c:pt>
                <c:pt idx="13">
                  <c:v>9982</c:v>
                </c:pt>
                <c:pt idx="14">
                  <c:v>9978</c:v>
                </c:pt>
                <c:pt idx="15">
                  <c:v>9829</c:v>
                </c:pt>
                <c:pt idx="16">
                  <c:v>9911.5</c:v>
                </c:pt>
                <c:pt idx="17">
                  <c:v>9914</c:v>
                </c:pt>
                <c:pt idx="18">
                  <c:v>9834</c:v>
                </c:pt>
                <c:pt idx="19">
                  <c:v>9748</c:v>
                </c:pt>
                <c:pt idx="20">
                  <c:v>9759</c:v>
                </c:pt>
                <c:pt idx="21">
                  <c:v>9702.5</c:v>
                </c:pt>
                <c:pt idx="22">
                  <c:v>9766</c:v>
                </c:pt>
                <c:pt idx="23">
                  <c:v>9628</c:v>
                </c:pt>
                <c:pt idx="24">
                  <c:v>9547</c:v>
                </c:pt>
                <c:pt idx="25">
                  <c:v>9664</c:v>
                </c:pt>
                <c:pt idx="26">
                  <c:v>9654</c:v>
                </c:pt>
                <c:pt idx="27">
                  <c:v>9541</c:v>
                </c:pt>
                <c:pt idx="28">
                  <c:v>9395</c:v>
                </c:pt>
                <c:pt idx="29">
                  <c:v>9360.5</c:v>
                </c:pt>
                <c:pt idx="30">
                  <c:v>9363.5</c:v>
                </c:pt>
                <c:pt idx="31">
                  <c:v>9415.5</c:v>
                </c:pt>
                <c:pt idx="32">
                  <c:v>9504</c:v>
                </c:pt>
                <c:pt idx="33">
                  <c:v>9463</c:v>
                </c:pt>
                <c:pt idx="34">
                  <c:v>9490</c:v>
                </c:pt>
                <c:pt idx="35">
                  <c:v>9494</c:v>
                </c:pt>
                <c:pt idx="36">
                  <c:v>9514.5</c:v>
                </c:pt>
                <c:pt idx="37">
                  <c:v>9433</c:v>
                </c:pt>
                <c:pt idx="38">
                  <c:v>9295</c:v>
                </c:pt>
                <c:pt idx="39">
                  <c:v>9291</c:v>
                </c:pt>
                <c:pt idx="40">
                  <c:v>9812</c:v>
                </c:pt>
                <c:pt idx="41">
                  <c:v>9362</c:v>
                </c:pt>
                <c:pt idx="42">
                  <c:v>9277.5</c:v>
                </c:pt>
                <c:pt idx="43">
                  <c:v>9245</c:v>
                </c:pt>
                <c:pt idx="44">
                  <c:v>9287.5</c:v>
                </c:pt>
                <c:pt idx="45">
                  <c:v>9288</c:v>
                </c:pt>
                <c:pt idx="46">
                  <c:v>9165</c:v>
                </c:pt>
                <c:pt idx="47">
                  <c:v>9025</c:v>
                </c:pt>
                <c:pt idx="48">
                  <c:v>8993</c:v>
                </c:pt>
                <c:pt idx="49">
                  <c:v>8866.5</c:v>
                </c:pt>
                <c:pt idx="50">
                  <c:v>8949.5</c:v>
                </c:pt>
                <c:pt idx="51">
                  <c:v>8975</c:v>
                </c:pt>
                <c:pt idx="52">
                  <c:v>8881</c:v>
                </c:pt>
                <c:pt idx="53">
                  <c:v>8890.5</c:v>
                </c:pt>
                <c:pt idx="54">
                  <c:v>9051</c:v>
                </c:pt>
                <c:pt idx="55">
                  <c:v>9218</c:v>
                </c:pt>
                <c:pt idx="56">
                  <c:v>9056</c:v>
                </c:pt>
                <c:pt idx="57">
                  <c:v>9123</c:v>
                </c:pt>
                <c:pt idx="58">
                  <c:v>9067</c:v>
                </c:pt>
                <c:pt idx="59">
                  <c:v>9043.5</c:v>
                </c:pt>
                <c:pt idx="60">
                  <c:v>9132</c:v>
                </c:pt>
                <c:pt idx="61">
                  <c:v>9135</c:v>
                </c:pt>
                <c:pt idx="62">
                  <c:v>9020</c:v>
                </c:pt>
                <c:pt idx="63">
                  <c:v>9016</c:v>
                </c:pt>
                <c:pt idx="64">
                  <c:v>8980</c:v>
                </c:pt>
                <c:pt idx="65">
                  <c:v>8995.5</c:v>
                </c:pt>
                <c:pt idx="66">
                  <c:v>8960.5</c:v>
                </c:pt>
                <c:pt idx="67">
                  <c:v>8847</c:v>
                </c:pt>
                <c:pt idx="68">
                  <c:v>8886</c:v>
                </c:pt>
                <c:pt idx="69">
                  <c:v>8893.5</c:v>
                </c:pt>
                <c:pt idx="70">
                  <c:v>8701</c:v>
                </c:pt>
                <c:pt idx="71">
                  <c:v>8685.5</c:v>
                </c:pt>
                <c:pt idx="72">
                  <c:v>8706</c:v>
                </c:pt>
                <c:pt idx="73">
                  <c:v>8833</c:v>
                </c:pt>
                <c:pt idx="74">
                  <c:v>8843</c:v>
                </c:pt>
                <c:pt idx="75">
                  <c:v>8847.5</c:v>
                </c:pt>
                <c:pt idx="76">
                  <c:v>8838</c:v>
                </c:pt>
                <c:pt idx="77">
                  <c:v>8793</c:v>
                </c:pt>
                <c:pt idx="78">
                  <c:v>8795.5</c:v>
                </c:pt>
                <c:pt idx="79">
                  <c:v>8905.5</c:v>
                </c:pt>
                <c:pt idx="80">
                  <c:v>8851.5</c:v>
                </c:pt>
                <c:pt idx="81">
                  <c:v>8932</c:v>
                </c:pt>
                <c:pt idx="82">
                  <c:v>8989</c:v>
                </c:pt>
                <c:pt idx="83">
                  <c:v>9038.5</c:v>
                </c:pt>
                <c:pt idx="84">
                  <c:v>9077</c:v>
                </c:pt>
                <c:pt idx="85">
                  <c:v>9067</c:v>
                </c:pt>
                <c:pt idx="86">
                  <c:v>9104</c:v>
                </c:pt>
                <c:pt idx="87">
                  <c:v>9040</c:v>
                </c:pt>
                <c:pt idx="88">
                  <c:v>8967</c:v>
                </c:pt>
                <c:pt idx="89">
                  <c:v>8951</c:v>
                </c:pt>
                <c:pt idx="90">
                  <c:v>8941</c:v>
                </c:pt>
                <c:pt idx="91">
                  <c:v>8871</c:v>
                </c:pt>
                <c:pt idx="92">
                  <c:v>8879</c:v>
                </c:pt>
                <c:pt idx="93">
                  <c:v>8850.5</c:v>
                </c:pt>
                <c:pt idx="94">
                  <c:v>8897.5</c:v>
                </c:pt>
                <c:pt idx="95">
                  <c:v>8925</c:v>
                </c:pt>
                <c:pt idx="96">
                  <c:v>8918</c:v>
                </c:pt>
                <c:pt idx="97">
                  <c:v>8829</c:v>
                </c:pt>
                <c:pt idx="98">
                  <c:v>8945.5</c:v>
                </c:pt>
                <c:pt idx="99">
                  <c:v>9022</c:v>
                </c:pt>
                <c:pt idx="100">
                  <c:v>8919.5</c:v>
                </c:pt>
                <c:pt idx="101">
                  <c:v>8859.5</c:v>
                </c:pt>
                <c:pt idx="102">
                  <c:v>9055</c:v>
                </c:pt>
                <c:pt idx="103">
                  <c:v>8768</c:v>
                </c:pt>
                <c:pt idx="104">
                  <c:v>8969</c:v>
                </c:pt>
                <c:pt idx="105">
                  <c:v>9005</c:v>
                </c:pt>
                <c:pt idx="106">
                  <c:v>9251</c:v>
                </c:pt>
                <c:pt idx="107">
                  <c:v>9323</c:v>
                </c:pt>
                <c:pt idx="108">
                  <c:v>9386</c:v>
                </c:pt>
                <c:pt idx="109">
                  <c:v>9250.5</c:v>
                </c:pt>
                <c:pt idx="110">
                  <c:v>9587.5</c:v>
                </c:pt>
                <c:pt idx="111">
                  <c:v>9505</c:v>
                </c:pt>
                <c:pt idx="112">
                  <c:v>9425</c:v>
                </c:pt>
                <c:pt idx="113">
                  <c:v>9427</c:v>
                </c:pt>
                <c:pt idx="114">
                  <c:v>9356</c:v>
                </c:pt>
                <c:pt idx="115">
                  <c:v>9431</c:v>
                </c:pt>
                <c:pt idx="116">
                  <c:v>9402</c:v>
                </c:pt>
                <c:pt idx="117">
                  <c:v>9385</c:v>
                </c:pt>
                <c:pt idx="118">
                  <c:v>9413</c:v>
                </c:pt>
                <c:pt idx="119">
                  <c:v>9364</c:v>
                </c:pt>
                <c:pt idx="120">
                  <c:v>9490.5</c:v>
                </c:pt>
                <c:pt idx="121">
                  <c:v>9592.5</c:v>
                </c:pt>
                <c:pt idx="122">
                  <c:v>9472.5</c:v>
                </c:pt>
                <c:pt idx="123">
                  <c:v>9380</c:v>
                </c:pt>
                <c:pt idx="124">
                  <c:v>9489</c:v>
                </c:pt>
                <c:pt idx="125">
                  <c:v>9401.5</c:v>
                </c:pt>
                <c:pt idx="126">
                  <c:v>9516</c:v>
                </c:pt>
                <c:pt idx="127">
                  <c:v>9596.5</c:v>
                </c:pt>
                <c:pt idx="128">
                  <c:v>9507</c:v>
                </c:pt>
                <c:pt idx="129">
                  <c:v>9550</c:v>
                </c:pt>
                <c:pt idx="130">
                  <c:v>9619</c:v>
                </c:pt>
                <c:pt idx="131">
                  <c:v>9816.5</c:v>
                </c:pt>
                <c:pt idx="132">
                  <c:v>9784</c:v>
                </c:pt>
                <c:pt idx="133">
                  <c:v>9786</c:v>
                </c:pt>
                <c:pt idx="134">
                  <c:v>9882.5</c:v>
                </c:pt>
                <c:pt idx="135">
                  <c:v>9741</c:v>
                </c:pt>
                <c:pt idx="136">
                  <c:v>9767</c:v>
                </c:pt>
                <c:pt idx="137">
                  <c:v>9860</c:v>
                </c:pt>
                <c:pt idx="138">
                  <c:v>9844</c:v>
                </c:pt>
                <c:pt idx="139">
                  <c:v>9618.5</c:v>
                </c:pt>
                <c:pt idx="140">
                  <c:v>9602</c:v>
                </c:pt>
                <c:pt idx="141">
                  <c:v>9329</c:v>
                </c:pt>
                <c:pt idx="142">
                  <c:v>9395</c:v>
                </c:pt>
                <c:pt idx="143">
                  <c:v>9405.5</c:v>
                </c:pt>
                <c:pt idx="144">
                  <c:v>9289</c:v>
                </c:pt>
                <c:pt idx="145">
                  <c:v>9242</c:v>
                </c:pt>
                <c:pt idx="146">
                  <c:v>9216</c:v>
                </c:pt>
                <c:pt idx="147">
                  <c:v>9080.5</c:v>
                </c:pt>
                <c:pt idx="148">
                  <c:v>9115.5</c:v>
                </c:pt>
                <c:pt idx="149">
                  <c:v>9007.5</c:v>
                </c:pt>
                <c:pt idx="150">
                  <c:v>8935</c:v>
                </c:pt>
                <c:pt idx="151">
                  <c:v>8989.5</c:v>
                </c:pt>
                <c:pt idx="152">
                  <c:v>9013</c:v>
                </c:pt>
                <c:pt idx="153">
                  <c:v>8915</c:v>
                </c:pt>
                <c:pt idx="154">
                  <c:v>8830.5</c:v>
                </c:pt>
                <c:pt idx="155">
                  <c:v>8856</c:v>
                </c:pt>
                <c:pt idx="156">
                  <c:v>9034</c:v>
                </c:pt>
                <c:pt idx="157">
                  <c:v>9215</c:v>
                </c:pt>
                <c:pt idx="158">
                  <c:v>9116</c:v>
                </c:pt>
                <c:pt idx="159">
                  <c:v>9135.5</c:v>
                </c:pt>
                <c:pt idx="160">
                  <c:v>9247.5</c:v>
                </c:pt>
                <c:pt idx="161">
                  <c:v>9072</c:v>
                </c:pt>
                <c:pt idx="162">
                  <c:v>9061</c:v>
                </c:pt>
                <c:pt idx="163">
                  <c:v>9138</c:v>
                </c:pt>
                <c:pt idx="164">
                  <c:v>9152</c:v>
                </c:pt>
                <c:pt idx="165">
                  <c:v>9115.5</c:v>
                </c:pt>
                <c:pt idx="166">
                  <c:v>8938</c:v>
                </c:pt>
                <c:pt idx="167">
                  <c:v>9009</c:v>
                </c:pt>
                <c:pt idx="168">
                  <c:v>8906</c:v>
                </c:pt>
                <c:pt idx="169">
                  <c:v>8832</c:v>
                </c:pt>
                <c:pt idx="170">
                  <c:v>8851</c:v>
                </c:pt>
                <c:pt idx="171">
                  <c:v>8805</c:v>
                </c:pt>
                <c:pt idx="172">
                  <c:v>8649</c:v>
                </c:pt>
                <c:pt idx="173">
                  <c:v>8685</c:v>
                </c:pt>
                <c:pt idx="174">
                  <c:v>8715</c:v>
                </c:pt>
                <c:pt idx="175">
                  <c:v>8620.5</c:v>
                </c:pt>
                <c:pt idx="176">
                  <c:v>8977</c:v>
                </c:pt>
                <c:pt idx="177">
                  <c:v>8998</c:v>
                </c:pt>
                <c:pt idx="178">
                  <c:v>9014.5</c:v>
                </c:pt>
                <c:pt idx="179">
                  <c:v>8809</c:v>
                </c:pt>
                <c:pt idx="180">
                  <c:v>8906</c:v>
                </c:pt>
                <c:pt idx="181">
                  <c:v>9018.5</c:v>
                </c:pt>
                <c:pt idx="182">
                  <c:v>8917</c:v>
                </c:pt>
                <c:pt idx="183">
                  <c:v>9018.5</c:v>
                </c:pt>
                <c:pt idx="184">
                  <c:v>9052.5</c:v>
                </c:pt>
                <c:pt idx="185">
                  <c:v>9127.5</c:v>
                </c:pt>
                <c:pt idx="186">
                  <c:v>9214</c:v>
                </c:pt>
                <c:pt idx="187">
                  <c:v>9342</c:v>
                </c:pt>
                <c:pt idx="188">
                  <c:v>9533</c:v>
                </c:pt>
                <c:pt idx="189">
                  <c:v>9565.5</c:v>
                </c:pt>
                <c:pt idx="190">
                  <c:v>9679.5</c:v>
                </c:pt>
                <c:pt idx="191">
                  <c:v>9673</c:v>
                </c:pt>
                <c:pt idx="192">
                  <c:v>9693.5</c:v>
                </c:pt>
                <c:pt idx="193">
                  <c:v>9696</c:v>
                </c:pt>
                <c:pt idx="194">
                  <c:v>9762</c:v>
                </c:pt>
                <c:pt idx="195">
                  <c:v>9808</c:v>
                </c:pt>
                <c:pt idx="196">
                  <c:v>9809</c:v>
                </c:pt>
                <c:pt idx="197">
                  <c:v>9726.5</c:v>
                </c:pt>
                <c:pt idx="198">
                  <c:v>9623</c:v>
                </c:pt>
                <c:pt idx="199">
                  <c:v>9546.5</c:v>
                </c:pt>
                <c:pt idx="200">
                  <c:v>9517</c:v>
                </c:pt>
                <c:pt idx="201">
                  <c:v>9476.5</c:v>
                </c:pt>
                <c:pt idx="202">
                  <c:v>9422.5</c:v>
                </c:pt>
                <c:pt idx="203">
                  <c:v>9420</c:v>
                </c:pt>
                <c:pt idx="204">
                  <c:v>9492</c:v>
                </c:pt>
                <c:pt idx="205">
                  <c:v>9530</c:v>
                </c:pt>
                <c:pt idx="206">
                  <c:v>9563</c:v>
                </c:pt>
                <c:pt idx="207">
                  <c:v>9648</c:v>
                </c:pt>
                <c:pt idx="208">
                  <c:v>9652</c:v>
                </c:pt>
                <c:pt idx="209">
                  <c:v>9426</c:v>
                </c:pt>
                <c:pt idx="210">
                  <c:v>9477</c:v>
                </c:pt>
                <c:pt idx="211">
                  <c:v>9650</c:v>
                </c:pt>
                <c:pt idx="212">
                  <c:v>9733</c:v>
                </c:pt>
                <c:pt idx="213">
                  <c:v>9697.5</c:v>
                </c:pt>
                <c:pt idx="214">
                  <c:v>9567</c:v>
                </c:pt>
                <c:pt idx="215">
                  <c:v>9694.5</c:v>
                </c:pt>
                <c:pt idx="216">
                  <c:v>9840</c:v>
                </c:pt>
                <c:pt idx="217">
                  <c:v>9930</c:v>
                </c:pt>
                <c:pt idx="218">
                  <c:v>9769</c:v>
                </c:pt>
                <c:pt idx="219">
                  <c:v>9858.5</c:v>
                </c:pt>
                <c:pt idx="220">
                  <c:v>9985.5</c:v>
                </c:pt>
                <c:pt idx="221">
                  <c:v>9985</c:v>
                </c:pt>
                <c:pt idx="222">
                  <c:v>10016.5</c:v>
                </c:pt>
                <c:pt idx="223">
                  <c:v>10294</c:v>
                </c:pt>
                <c:pt idx="224">
                  <c:v>10331</c:v>
                </c:pt>
                <c:pt idx="225">
                  <c:v>10256.5</c:v>
                </c:pt>
                <c:pt idx="226">
                  <c:v>10290.5</c:v>
                </c:pt>
                <c:pt idx="227">
                  <c:v>10447</c:v>
                </c:pt>
                <c:pt idx="228">
                  <c:v>10775</c:v>
                </c:pt>
                <c:pt idx="229">
                  <c:v>10857</c:v>
                </c:pt>
                <c:pt idx="230">
                  <c:v>10398</c:v>
                </c:pt>
                <c:pt idx="231">
                  <c:v>10308</c:v>
                </c:pt>
                <c:pt idx="232">
                  <c:v>10221</c:v>
                </c:pt>
                <c:pt idx="233">
                  <c:v>10077</c:v>
                </c:pt>
                <c:pt idx="234">
                  <c:v>10009</c:v>
                </c:pt>
                <c:pt idx="235">
                  <c:v>9942</c:v>
                </c:pt>
                <c:pt idx="236">
                  <c:v>9728</c:v>
                </c:pt>
                <c:pt idx="237">
                  <c:v>9740</c:v>
                </c:pt>
                <c:pt idx="238">
                  <c:v>9847</c:v>
                </c:pt>
                <c:pt idx="239">
                  <c:v>9737</c:v>
                </c:pt>
                <c:pt idx="240">
                  <c:v>9660</c:v>
                </c:pt>
                <c:pt idx="241">
                  <c:v>9791</c:v>
                </c:pt>
                <c:pt idx="242">
                  <c:v>9973.5</c:v>
                </c:pt>
                <c:pt idx="243">
                  <c:v>9935</c:v>
                </c:pt>
                <c:pt idx="244">
                  <c:v>9869</c:v>
                </c:pt>
                <c:pt idx="245">
                  <c:v>9791</c:v>
                </c:pt>
                <c:pt idx="246">
                  <c:v>9671</c:v>
                </c:pt>
                <c:pt idx="247">
                  <c:v>9599</c:v>
                </c:pt>
                <c:pt idx="248">
                  <c:v>9814.5</c:v>
                </c:pt>
                <c:pt idx="249">
                  <c:v>9749</c:v>
                </c:pt>
                <c:pt idx="250">
                  <c:v>9617</c:v>
                </c:pt>
                <c:pt idx="251">
                  <c:v>9434</c:v>
                </c:pt>
                <c:pt idx="252">
                  <c:v>9377</c:v>
                </c:pt>
                <c:pt idx="253">
                  <c:v>9390</c:v>
                </c:pt>
                <c:pt idx="254">
                  <c:v>9402</c:v>
                </c:pt>
                <c:pt idx="255">
                  <c:v>9240.5</c:v>
                </c:pt>
                <c:pt idx="256">
                  <c:v>9365</c:v>
                </c:pt>
                <c:pt idx="257">
                  <c:v>9295.5</c:v>
                </c:pt>
                <c:pt idx="258">
                  <c:v>9301</c:v>
                </c:pt>
                <c:pt idx="259">
                  <c:v>9198</c:v>
                </c:pt>
                <c:pt idx="260">
                  <c:v>9257</c:v>
                </c:pt>
                <c:pt idx="261">
                  <c:v>8932</c:v>
                </c:pt>
                <c:pt idx="262">
                  <c:v>8920</c:v>
                </c:pt>
                <c:pt idx="263">
                  <c:v>8729</c:v>
                </c:pt>
                <c:pt idx="264">
                  <c:v>8696</c:v>
                </c:pt>
                <c:pt idx="265">
                  <c:v>8764</c:v>
                </c:pt>
                <c:pt idx="266">
                  <c:v>8745</c:v>
                </c:pt>
                <c:pt idx="267">
                  <c:v>8741</c:v>
                </c:pt>
                <c:pt idx="268">
                  <c:v>8873.5</c:v>
                </c:pt>
                <c:pt idx="269">
                  <c:v>8790</c:v>
                </c:pt>
                <c:pt idx="270">
                  <c:v>8875</c:v>
                </c:pt>
                <c:pt idx="271">
                  <c:v>8973</c:v>
                </c:pt>
                <c:pt idx="272">
                  <c:v>8906.5</c:v>
                </c:pt>
                <c:pt idx="273">
                  <c:v>8791.5</c:v>
                </c:pt>
                <c:pt idx="274">
                  <c:v>8727</c:v>
                </c:pt>
                <c:pt idx="275">
                  <c:v>8566</c:v>
                </c:pt>
                <c:pt idx="276">
                  <c:v>8522</c:v>
                </c:pt>
                <c:pt idx="277">
                  <c:v>8552.5</c:v>
                </c:pt>
                <c:pt idx="278">
                  <c:v>8559</c:v>
                </c:pt>
                <c:pt idx="279">
                  <c:v>8441</c:v>
                </c:pt>
                <c:pt idx="280">
                  <c:v>8429.5</c:v>
                </c:pt>
                <c:pt idx="281">
                  <c:v>8437</c:v>
                </c:pt>
                <c:pt idx="282">
                  <c:v>8394</c:v>
                </c:pt>
                <c:pt idx="283">
                  <c:v>8389</c:v>
                </c:pt>
                <c:pt idx="284">
                  <c:v>8340.5</c:v>
                </c:pt>
                <c:pt idx="285">
                  <c:v>8396.5</c:v>
                </c:pt>
                <c:pt idx="286">
                  <c:v>8373</c:v>
                </c:pt>
                <c:pt idx="287">
                  <c:v>8442.5</c:v>
                </c:pt>
                <c:pt idx="288">
                  <c:v>8482</c:v>
                </c:pt>
                <c:pt idx="289">
                  <c:v>8472</c:v>
                </c:pt>
                <c:pt idx="290">
                  <c:v>8366.5</c:v>
                </c:pt>
                <c:pt idx="291">
                  <c:v>8364.5</c:v>
                </c:pt>
                <c:pt idx="292">
                  <c:v>8322</c:v>
                </c:pt>
                <c:pt idx="293">
                  <c:v>8153</c:v>
                </c:pt>
                <c:pt idx="294">
                  <c:v>8133.5</c:v>
                </c:pt>
                <c:pt idx="295">
                  <c:v>8185</c:v>
                </c:pt>
                <c:pt idx="296">
                  <c:v>8085.5</c:v>
                </c:pt>
                <c:pt idx="297">
                  <c:v>8091.5</c:v>
                </c:pt>
                <c:pt idx="298">
                  <c:v>8202</c:v>
                </c:pt>
                <c:pt idx="299">
                  <c:v>8280.5</c:v>
                </c:pt>
                <c:pt idx="300">
                  <c:v>8280</c:v>
                </c:pt>
                <c:pt idx="301">
                  <c:v>8329</c:v>
                </c:pt>
                <c:pt idx="302">
                  <c:v>8400</c:v>
                </c:pt>
                <c:pt idx="303">
                  <c:v>8437</c:v>
                </c:pt>
                <c:pt idx="304">
                  <c:v>8513</c:v>
                </c:pt>
                <c:pt idx="305">
                  <c:v>8462</c:v>
                </c:pt>
                <c:pt idx="306">
                  <c:v>8421</c:v>
                </c:pt>
                <c:pt idx="307">
                  <c:v>8447</c:v>
                </c:pt>
                <c:pt idx="308">
                  <c:v>8486</c:v>
                </c:pt>
                <c:pt idx="309">
                  <c:v>8460</c:v>
                </c:pt>
                <c:pt idx="310">
                  <c:v>8283.5</c:v>
                </c:pt>
                <c:pt idx="311">
                  <c:v>8254.5</c:v>
                </c:pt>
                <c:pt idx="312">
                  <c:v>8275</c:v>
                </c:pt>
                <c:pt idx="313">
                  <c:v>8189</c:v>
                </c:pt>
                <c:pt idx="314">
                  <c:v>8230</c:v>
                </c:pt>
                <c:pt idx="315">
                  <c:v>8280</c:v>
                </c:pt>
                <c:pt idx="316">
                  <c:v>8238.5</c:v>
                </c:pt>
                <c:pt idx="317">
                  <c:v>8289</c:v>
                </c:pt>
                <c:pt idx="318">
                  <c:v>8332</c:v>
                </c:pt>
                <c:pt idx="319">
                  <c:v>8285</c:v>
                </c:pt>
                <c:pt idx="320">
                  <c:v>8301.5</c:v>
                </c:pt>
                <c:pt idx="321">
                  <c:v>8295</c:v>
                </c:pt>
                <c:pt idx="322">
                  <c:v>8346.5</c:v>
                </c:pt>
                <c:pt idx="323">
                  <c:v>8375</c:v>
                </c:pt>
                <c:pt idx="324">
                  <c:v>8381</c:v>
                </c:pt>
                <c:pt idx="325">
                  <c:v>8430</c:v>
                </c:pt>
                <c:pt idx="326">
                  <c:v>8476</c:v>
                </c:pt>
                <c:pt idx="327">
                  <c:v>8530</c:v>
                </c:pt>
                <c:pt idx="328">
                  <c:v>8511.5</c:v>
                </c:pt>
                <c:pt idx="329">
                  <c:v>8499</c:v>
                </c:pt>
                <c:pt idx="330">
                  <c:v>8460</c:v>
                </c:pt>
                <c:pt idx="331">
                  <c:v>8466.5</c:v>
                </c:pt>
                <c:pt idx="332">
                  <c:v>8439</c:v>
                </c:pt>
                <c:pt idx="333">
                  <c:v>8423</c:v>
                </c:pt>
                <c:pt idx="334">
                  <c:v>8471</c:v>
                </c:pt>
                <c:pt idx="335">
                  <c:v>8461.5</c:v>
                </c:pt>
                <c:pt idx="336">
                  <c:v>8205</c:v>
                </c:pt>
                <c:pt idx="337">
                  <c:v>8272</c:v>
                </c:pt>
                <c:pt idx="338">
                  <c:v>8275.5</c:v>
                </c:pt>
                <c:pt idx="339">
                  <c:v>8348</c:v>
                </c:pt>
                <c:pt idx="340">
                  <c:v>8221</c:v>
                </c:pt>
                <c:pt idx="341">
                  <c:v>8297</c:v>
                </c:pt>
                <c:pt idx="342">
                  <c:v>8259</c:v>
                </c:pt>
                <c:pt idx="343">
                  <c:v>8417</c:v>
                </c:pt>
                <c:pt idx="344">
                  <c:v>8456</c:v>
                </c:pt>
                <c:pt idx="345">
                  <c:v>8332</c:v>
                </c:pt>
                <c:pt idx="346">
                  <c:v>8384</c:v>
                </c:pt>
                <c:pt idx="347">
                  <c:v>8278</c:v>
                </c:pt>
                <c:pt idx="348">
                  <c:v>8281</c:v>
                </c:pt>
                <c:pt idx="349">
                  <c:v>8300</c:v>
                </c:pt>
                <c:pt idx="350">
                  <c:v>8307.5</c:v>
                </c:pt>
                <c:pt idx="351">
                  <c:v>8296</c:v>
                </c:pt>
                <c:pt idx="352">
                  <c:v>8324</c:v>
                </c:pt>
                <c:pt idx="353">
                  <c:v>8247</c:v>
                </c:pt>
                <c:pt idx="354">
                  <c:v>8141</c:v>
                </c:pt>
                <c:pt idx="355">
                  <c:v>8165.5</c:v>
                </c:pt>
                <c:pt idx="356">
                  <c:v>8169</c:v>
                </c:pt>
                <c:pt idx="357">
                  <c:v>8081</c:v>
                </c:pt>
                <c:pt idx="358">
                  <c:v>8014.5</c:v>
                </c:pt>
                <c:pt idx="359">
                  <c:v>8006</c:v>
                </c:pt>
                <c:pt idx="360">
                  <c:v>8030.5</c:v>
                </c:pt>
                <c:pt idx="361">
                  <c:v>8088</c:v>
                </c:pt>
                <c:pt idx="362">
                  <c:v>8068</c:v>
                </c:pt>
                <c:pt idx="363">
                  <c:v>8136.5</c:v>
                </c:pt>
                <c:pt idx="364">
                  <c:v>8070.5</c:v>
                </c:pt>
                <c:pt idx="365">
                  <c:v>8066</c:v>
                </c:pt>
                <c:pt idx="366">
                  <c:v>8041</c:v>
                </c:pt>
                <c:pt idx="367">
                  <c:v>8038</c:v>
                </c:pt>
                <c:pt idx="368">
                  <c:v>8110</c:v>
                </c:pt>
                <c:pt idx="369">
                  <c:v>7963.5</c:v>
                </c:pt>
                <c:pt idx="370">
                  <c:v>7939</c:v>
                </c:pt>
                <c:pt idx="371">
                  <c:v>7946</c:v>
                </c:pt>
                <c:pt idx="372">
                  <c:v>7900.5</c:v>
                </c:pt>
                <c:pt idx="373">
                  <c:v>7824.5</c:v>
                </c:pt>
                <c:pt idx="374">
                  <c:v>7876</c:v>
                </c:pt>
                <c:pt idx="375">
                  <c:v>7938</c:v>
                </c:pt>
                <c:pt idx="376">
                  <c:v>7947.5</c:v>
                </c:pt>
                <c:pt idx="377">
                  <c:v>7846.5</c:v>
                </c:pt>
                <c:pt idx="378">
                  <c:v>7920</c:v>
                </c:pt>
                <c:pt idx="379">
                  <c:v>7891</c:v>
                </c:pt>
                <c:pt idx="380">
                  <c:v>7995</c:v>
                </c:pt>
                <c:pt idx="381">
                  <c:v>7943.5</c:v>
                </c:pt>
                <c:pt idx="382">
                  <c:v>7907.5</c:v>
                </c:pt>
                <c:pt idx="383">
                  <c:v>8015.5</c:v>
                </c:pt>
                <c:pt idx="384">
                  <c:v>7887</c:v>
                </c:pt>
                <c:pt idx="385">
                  <c:v>7812.5</c:v>
                </c:pt>
                <c:pt idx="386">
                  <c:v>7910.5</c:v>
                </c:pt>
                <c:pt idx="387">
                  <c:v>7960</c:v>
                </c:pt>
                <c:pt idx="388">
                  <c:v>8100.5</c:v>
                </c:pt>
                <c:pt idx="389">
                  <c:v>8230.5</c:v>
                </c:pt>
                <c:pt idx="390">
                  <c:v>8112</c:v>
                </c:pt>
                <c:pt idx="391">
                  <c:v>8017</c:v>
                </c:pt>
                <c:pt idx="392">
                  <c:v>8066</c:v>
                </c:pt>
                <c:pt idx="393">
                  <c:v>8107</c:v>
                </c:pt>
                <c:pt idx="394">
                  <c:v>8188</c:v>
                </c:pt>
                <c:pt idx="395">
                  <c:v>8101</c:v>
                </c:pt>
                <c:pt idx="396">
                  <c:v>8277</c:v>
                </c:pt>
                <c:pt idx="397">
                  <c:v>8233.5</c:v>
                </c:pt>
                <c:pt idx="398">
                  <c:v>8320</c:v>
                </c:pt>
                <c:pt idx="399">
                  <c:v>8376.5</c:v>
                </c:pt>
                <c:pt idx="400">
                  <c:v>8423</c:v>
                </c:pt>
                <c:pt idx="401">
                  <c:v>8353</c:v>
                </c:pt>
                <c:pt idx="402">
                  <c:v>8337.5</c:v>
                </c:pt>
                <c:pt idx="403">
                  <c:v>8332.5</c:v>
                </c:pt>
                <c:pt idx="404">
                  <c:v>8225</c:v>
                </c:pt>
                <c:pt idx="405">
                  <c:v>8242.5</c:v>
                </c:pt>
                <c:pt idx="406">
                  <c:v>8395</c:v>
                </c:pt>
                <c:pt idx="407">
                  <c:v>8430</c:v>
                </c:pt>
                <c:pt idx="408">
                  <c:v>8406</c:v>
                </c:pt>
                <c:pt idx="409">
                  <c:v>8515</c:v>
                </c:pt>
                <c:pt idx="410">
                  <c:v>8359.5</c:v>
                </c:pt>
                <c:pt idx="411">
                  <c:v>8394.5</c:v>
                </c:pt>
                <c:pt idx="412">
                  <c:v>8375</c:v>
                </c:pt>
                <c:pt idx="413">
                  <c:v>8381.5</c:v>
                </c:pt>
                <c:pt idx="414">
                  <c:v>8358.5</c:v>
                </c:pt>
                <c:pt idx="415">
                  <c:v>8377.5</c:v>
                </c:pt>
                <c:pt idx="416">
                  <c:v>8342</c:v>
                </c:pt>
                <c:pt idx="417">
                  <c:v>8239.5</c:v>
                </c:pt>
                <c:pt idx="418">
                  <c:v>8176</c:v>
                </c:pt>
                <c:pt idx="419">
                  <c:v>8215</c:v>
                </c:pt>
                <c:pt idx="420">
                  <c:v>8132</c:v>
                </c:pt>
                <c:pt idx="421">
                  <c:v>8126.5</c:v>
                </c:pt>
                <c:pt idx="422">
                  <c:v>8242</c:v>
                </c:pt>
                <c:pt idx="423">
                  <c:v>8242</c:v>
                </c:pt>
                <c:pt idx="424">
                  <c:v>8423.5</c:v>
                </c:pt>
                <c:pt idx="425">
                  <c:v>8395</c:v>
                </c:pt>
                <c:pt idx="426">
                  <c:v>8276</c:v>
                </c:pt>
                <c:pt idx="427">
                  <c:v>8495</c:v>
                </c:pt>
                <c:pt idx="428">
                  <c:v>8450.5</c:v>
                </c:pt>
                <c:pt idx="429">
                  <c:v>8472</c:v>
                </c:pt>
                <c:pt idx="430">
                  <c:v>8545</c:v>
                </c:pt>
                <c:pt idx="431">
                  <c:v>8720.5</c:v>
                </c:pt>
                <c:pt idx="432">
                  <c:v>8635.5</c:v>
                </c:pt>
                <c:pt idx="433">
                  <c:v>8592</c:v>
                </c:pt>
                <c:pt idx="434">
                  <c:v>8578.5</c:v>
                </c:pt>
                <c:pt idx="435">
                  <c:v>8534</c:v>
                </c:pt>
                <c:pt idx="436">
                  <c:v>8597</c:v>
                </c:pt>
                <c:pt idx="437">
                  <c:v>8430</c:v>
                </c:pt>
                <c:pt idx="438">
                  <c:v>8422</c:v>
                </c:pt>
                <c:pt idx="439">
                  <c:v>8543</c:v>
                </c:pt>
                <c:pt idx="440">
                  <c:v>8354</c:v>
                </c:pt>
                <c:pt idx="441">
                  <c:v>8410</c:v>
                </c:pt>
                <c:pt idx="442">
                  <c:v>8460.5</c:v>
                </c:pt>
                <c:pt idx="443">
                  <c:v>8651</c:v>
                </c:pt>
                <c:pt idx="444">
                  <c:v>8585</c:v>
                </c:pt>
                <c:pt idx="445">
                  <c:v>8367</c:v>
                </c:pt>
                <c:pt idx="446">
                  <c:v>8371</c:v>
                </c:pt>
                <c:pt idx="447">
                  <c:v>8286</c:v>
                </c:pt>
                <c:pt idx="448">
                  <c:v>8299</c:v>
                </c:pt>
                <c:pt idx="449">
                  <c:v>8280</c:v>
                </c:pt>
                <c:pt idx="450">
                  <c:v>8251</c:v>
                </c:pt>
                <c:pt idx="451">
                  <c:v>8349</c:v>
                </c:pt>
                <c:pt idx="452">
                  <c:v>8355</c:v>
                </c:pt>
                <c:pt idx="453">
                  <c:v>8210</c:v>
                </c:pt>
                <c:pt idx="454">
                  <c:v>8165.5</c:v>
                </c:pt>
                <c:pt idx="455">
                  <c:v>8268</c:v>
                </c:pt>
                <c:pt idx="456">
                  <c:v>8367</c:v>
                </c:pt>
                <c:pt idx="457">
                  <c:v>8437</c:v>
                </c:pt>
                <c:pt idx="458">
                  <c:v>8490</c:v>
                </c:pt>
                <c:pt idx="459">
                  <c:v>8670.5</c:v>
                </c:pt>
                <c:pt idx="460">
                  <c:v>8490</c:v>
                </c:pt>
                <c:pt idx="461">
                  <c:v>8565</c:v>
                </c:pt>
                <c:pt idx="462">
                  <c:v>8542</c:v>
                </c:pt>
                <c:pt idx="463">
                  <c:v>8561</c:v>
                </c:pt>
                <c:pt idx="464">
                  <c:v>8479</c:v>
                </c:pt>
                <c:pt idx="465">
                  <c:v>8457</c:v>
                </c:pt>
                <c:pt idx="466">
                  <c:v>8421.5</c:v>
                </c:pt>
                <c:pt idx="467">
                  <c:v>8287</c:v>
                </c:pt>
                <c:pt idx="468">
                  <c:v>8368</c:v>
                </c:pt>
                <c:pt idx="469">
                  <c:v>8243</c:v>
                </c:pt>
                <c:pt idx="470">
                  <c:v>8352</c:v>
                </c:pt>
                <c:pt idx="471">
                  <c:v>8311</c:v>
                </c:pt>
                <c:pt idx="472">
                  <c:v>8265</c:v>
                </c:pt>
                <c:pt idx="473">
                  <c:v>8337</c:v>
                </c:pt>
                <c:pt idx="474">
                  <c:v>8210.5</c:v>
                </c:pt>
                <c:pt idx="475">
                  <c:v>8017</c:v>
                </c:pt>
                <c:pt idx="476">
                  <c:v>8122</c:v>
                </c:pt>
                <c:pt idx="477">
                  <c:v>8082</c:v>
                </c:pt>
                <c:pt idx="478">
                  <c:v>7922</c:v>
                </c:pt>
                <c:pt idx="479">
                  <c:v>7910</c:v>
                </c:pt>
                <c:pt idx="480">
                  <c:v>7961</c:v>
                </c:pt>
                <c:pt idx="481">
                  <c:v>8094</c:v>
                </c:pt>
                <c:pt idx="482">
                  <c:v>8222</c:v>
                </c:pt>
                <c:pt idx="483">
                  <c:v>8171.5</c:v>
                </c:pt>
                <c:pt idx="484">
                  <c:v>8176</c:v>
                </c:pt>
                <c:pt idx="485">
                  <c:v>8076</c:v>
                </c:pt>
                <c:pt idx="486">
                  <c:v>8287</c:v>
                </c:pt>
                <c:pt idx="487">
                  <c:v>8240</c:v>
                </c:pt>
                <c:pt idx="488">
                  <c:v>8267</c:v>
                </c:pt>
                <c:pt idx="489">
                  <c:v>8469</c:v>
                </c:pt>
                <c:pt idx="490">
                  <c:v>8583</c:v>
                </c:pt>
                <c:pt idx="491">
                  <c:v>8488</c:v>
                </c:pt>
                <c:pt idx="492">
                  <c:v>8539</c:v>
                </c:pt>
                <c:pt idx="493">
                  <c:v>8486</c:v>
                </c:pt>
                <c:pt idx="494">
                  <c:v>8573</c:v>
                </c:pt>
                <c:pt idx="495">
                  <c:v>8571</c:v>
                </c:pt>
                <c:pt idx="496">
                  <c:v>8465.5</c:v>
                </c:pt>
                <c:pt idx="497">
                  <c:v>8579</c:v>
                </c:pt>
                <c:pt idx="498">
                  <c:v>8521</c:v>
                </c:pt>
                <c:pt idx="499">
                  <c:v>8762.5</c:v>
                </c:pt>
                <c:pt idx="500">
                  <c:v>8816</c:v>
                </c:pt>
                <c:pt idx="501">
                  <c:v>8875</c:v>
                </c:pt>
                <c:pt idx="502">
                  <c:v>8875</c:v>
                </c:pt>
                <c:pt idx="503">
                  <c:v>8966</c:v>
                </c:pt>
                <c:pt idx="504">
                  <c:v>8985</c:v>
                </c:pt>
                <c:pt idx="505">
                  <c:v>9082</c:v>
                </c:pt>
                <c:pt idx="506">
                  <c:v>9001.5</c:v>
                </c:pt>
                <c:pt idx="507">
                  <c:v>8803</c:v>
                </c:pt>
                <c:pt idx="508">
                  <c:v>8837.5</c:v>
                </c:pt>
                <c:pt idx="509">
                  <c:v>8836</c:v>
                </c:pt>
                <c:pt idx="510">
                  <c:v>8780</c:v>
                </c:pt>
                <c:pt idx="511">
                  <c:v>8930</c:v>
                </c:pt>
                <c:pt idx="512">
                  <c:v>8966</c:v>
                </c:pt>
                <c:pt idx="513">
                  <c:v>8935</c:v>
                </c:pt>
                <c:pt idx="514">
                  <c:v>9038.5</c:v>
                </c:pt>
                <c:pt idx="515">
                  <c:v>9052</c:v>
                </c:pt>
                <c:pt idx="516">
                  <c:v>8934</c:v>
                </c:pt>
                <c:pt idx="517">
                  <c:v>8876</c:v>
                </c:pt>
                <c:pt idx="518">
                  <c:v>8927</c:v>
                </c:pt>
                <c:pt idx="519">
                  <c:v>8917</c:v>
                </c:pt>
                <c:pt idx="520">
                  <c:v>8880.5</c:v>
                </c:pt>
                <c:pt idx="521">
                  <c:v>8824</c:v>
                </c:pt>
                <c:pt idx="522">
                  <c:v>8677</c:v>
                </c:pt>
                <c:pt idx="523">
                  <c:v>8621</c:v>
                </c:pt>
                <c:pt idx="524">
                  <c:v>8535</c:v>
                </c:pt>
                <c:pt idx="525">
                  <c:v>8525</c:v>
                </c:pt>
                <c:pt idx="526">
                  <c:v>8905</c:v>
                </c:pt>
                <c:pt idx="527">
                  <c:v>8651</c:v>
                </c:pt>
                <c:pt idx="528">
                  <c:v>8755</c:v>
                </c:pt>
                <c:pt idx="529">
                  <c:v>8808</c:v>
                </c:pt>
                <c:pt idx="530">
                  <c:v>8810</c:v>
                </c:pt>
                <c:pt idx="531">
                  <c:v>8824</c:v>
                </c:pt>
                <c:pt idx="532">
                  <c:v>8819</c:v>
                </c:pt>
                <c:pt idx="533">
                  <c:v>8945</c:v>
                </c:pt>
                <c:pt idx="534">
                  <c:v>8896</c:v>
                </c:pt>
                <c:pt idx="535">
                  <c:v>9066.5</c:v>
                </c:pt>
                <c:pt idx="536">
                  <c:v>8844</c:v>
                </c:pt>
                <c:pt idx="537">
                  <c:v>8751</c:v>
                </c:pt>
                <c:pt idx="538">
                  <c:v>8807</c:v>
                </c:pt>
                <c:pt idx="539">
                  <c:v>9060</c:v>
                </c:pt>
                <c:pt idx="540">
                  <c:v>9121</c:v>
                </c:pt>
                <c:pt idx="541">
                  <c:v>9103.5</c:v>
                </c:pt>
                <c:pt idx="542">
                  <c:v>9015</c:v>
                </c:pt>
                <c:pt idx="543">
                  <c:v>8871</c:v>
                </c:pt>
                <c:pt idx="544">
                  <c:v>8892</c:v>
                </c:pt>
                <c:pt idx="545">
                  <c:v>8826</c:v>
                </c:pt>
                <c:pt idx="546">
                  <c:v>8931.5</c:v>
                </c:pt>
                <c:pt idx="547">
                  <c:v>8912</c:v>
                </c:pt>
                <c:pt idx="548">
                  <c:v>8905</c:v>
                </c:pt>
                <c:pt idx="549">
                  <c:v>8953.5</c:v>
                </c:pt>
                <c:pt idx="550">
                  <c:v>9006</c:v>
                </c:pt>
                <c:pt idx="551">
                  <c:v>8865</c:v>
                </c:pt>
                <c:pt idx="552">
                  <c:v>8891.5</c:v>
                </c:pt>
                <c:pt idx="553">
                  <c:v>9060</c:v>
                </c:pt>
                <c:pt idx="554">
                  <c:v>9114</c:v>
                </c:pt>
                <c:pt idx="555">
                  <c:v>9175</c:v>
                </c:pt>
                <c:pt idx="556">
                  <c:v>9075</c:v>
                </c:pt>
                <c:pt idx="557">
                  <c:v>9227</c:v>
                </c:pt>
                <c:pt idx="558">
                  <c:v>9345.5</c:v>
                </c:pt>
                <c:pt idx="559">
                  <c:v>9288.5</c:v>
                </c:pt>
                <c:pt idx="560">
                  <c:v>9258</c:v>
                </c:pt>
                <c:pt idx="561">
                  <c:v>9308</c:v>
                </c:pt>
                <c:pt idx="562">
                  <c:v>9340.5</c:v>
                </c:pt>
                <c:pt idx="563">
                  <c:v>9232</c:v>
                </c:pt>
                <c:pt idx="564">
                  <c:v>9190</c:v>
                </c:pt>
                <c:pt idx="565">
                  <c:v>9436</c:v>
                </c:pt>
                <c:pt idx="566">
                  <c:v>9114</c:v>
                </c:pt>
                <c:pt idx="567">
                  <c:v>9145.5</c:v>
                </c:pt>
                <c:pt idx="568">
                  <c:v>9107</c:v>
                </c:pt>
                <c:pt idx="569">
                  <c:v>9071.5</c:v>
                </c:pt>
                <c:pt idx="570">
                  <c:v>8987</c:v>
                </c:pt>
                <c:pt idx="571">
                  <c:v>8766.5</c:v>
                </c:pt>
                <c:pt idx="572">
                  <c:v>8722</c:v>
                </c:pt>
                <c:pt idx="573">
                  <c:v>8362.5</c:v>
                </c:pt>
                <c:pt idx="574">
                  <c:v>8420</c:v>
                </c:pt>
                <c:pt idx="575">
                  <c:v>8209</c:v>
                </c:pt>
                <c:pt idx="576">
                  <c:v>8390</c:v>
                </c:pt>
                <c:pt idx="577">
                  <c:v>8387</c:v>
                </c:pt>
                <c:pt idx="578">
                  <c:v>8395</c:v>
                </c:pt>
                <c:pt idx="579">
                  <c:v>8451</c:v>
                </c:pt>
                <c:pt idx="580">
                  <c:v>8308.5</c:v>
                </c:pt>
                <c:pt idx="581">
                  <c:v>8345.5</c:v>
                </c:pt>
                <c:pt idx="582">
                  <c:v>8327</c:v>
                </c:pt>
                <c:pt idx="583">
                  <c:v>8302</c:v>
                </c:pt>
                <c:pt idx="584">
                  <c:v>8331</c:v>
                </c:pt>
                <c:pt idx="585">
                  <c:v>8231.5</c:v>
                </c:pt>
                <c:pt idx="586">
                  <c:v>8383</c:v>
                </c:pt>
                <c:pt idx="587">
                  <c:v>8415</c:v>
                </c:pt>
                <c:pt idx="588">
                  <c:v>8381</c:v>
                </c:pt>
                <c:pt idx="589">
                  <c:v>8371.5</c:v>
                </c:pt>
                <c:pt idx="590">
                  <c:v>8490.5</c:v>
                </c:pt>
                <c:pt idx="591">
                  <c:v>8537</c:v>
                </c:pt>
                <c:pt idx="592">
                  <c:v>8334</c:v>
                </c:pt>
                <c:pt idx="593">
                  <c:v>8355.5</c:v>
                </c:pt>
                <c:pt idx="594">
                  <c:v>8440</c:v>
                </c:pt>
                <c:pt idx="595">
                  <c:v>8342</c:v>
                </c:pt>
                <c:pt idx="596">
                  <c:v>8216.5</c:v>
                </c:pt>
                <c:pt idx="597">
                  <c:v>8198</c:v>
                </c:pt>
                <c:pt idx="598">
                  <c:v>8035.5</c:v>
                </c:pt>
                <c:pt idx="599">
                  <c:v>7966</c:v>
                </c:pt>
                <c:pt idx="600">
                  <c:v>8070</c:v>
                </c:pt>
                <c:pt idx="601">
                  <c:v>7990.5</c:v>
                </c:pt>
                <c:pt idx="602">
                  <c:v>7962</c:v>
                </c:pt>
                <c:pt idx="603">
                  <c:v>7996</c:v>
                </c:pt>
                <c:pt idx="604">
                  <c:v>7900.5</c:v>
                </c:pt>
                <c:pt idx="605">
                  <c:v>8047</c:v>
                </c:pt>
                <c:pt idx="606">
                  <c:v>8155</c:v>
                </c:pt>
                <c:pt idx="607">
                  <c:v>8315</c:v>
                </c:pt>
                <c:pt idx="608">
                  <c:v>8343</c:v>
                </c:pt>
                <c:pt idx="609">
                  <c:v>8346</c:v>
                </c:pt>
                <c:pt idx="610">
                  <c:v>8441</c:v>
                </c:pt>
                <c:pt idx="611">
                  <c:v>8065</c:v>
                </c:pt>
                <c:pt idx="612">
                  <c:v>8035</c:v>
                </c:pt>
                <c:pt idx="613">
                  <c:v>7974</c:v>
                </c:pt>
                <c:pt idx="614">
                  <c:v>7954.5</c:v>
                </c:pt>
                <c:pt idx="615">
                  <c:v>7905</c:v>
                </c:pt>
                <c:pt idx="616">
                  <c:v>7510</c:v>
                </c:pt>
                <c:pt idx="617">
                  <c:v>7705</c:v>
                </c:pt>
                <c:pt idx="618">
                  <c:v>7745</c:v>
                </c:pt>
                <c:pt idx="619">
                  <c:v>7525</c:v>
                </c:pt>
                <c:pt idx="620">
                  <c:v>7663.5</c:v>
                </c:pt>
                <c:pt idx="621">
                  <c:v>7777</c:v>
                </c:pt>
                <c:pt idx="622">
                  <c:v>7762.5</c:v>
                </c:pt>
                <c:pt idx="623">
                  <c:v>7536</c:v>
                </c:pt>
                <c:pt idx="624">
                  <c:v>7661</c:v>
                </c:pt>
                <c:pt idx="625">
                  <c:v>7545</c:v>
                </c:pt>
                <c:pt idx="626">
                  <c:v>7585.5</c:v>
                </c:pt>
                <c:pt idx="627">
                  <c:v>7420</c:v>
                </c:pt>
                <c:pt idx="628">
                  <c:v>7536</c:v>
                </c:pt>
                <c:pt idx="629">
                  <c:v>7715</c:v>
                </c:pt>
                <c:pt idx="630">
                  <c:v>7688</c:v>
                </c:pt>
                <c:pt idx="631">
                  <c:v>7663</c:v>
                </c:pt>
                <c:pt idx="632">
                  <c:v>7625.5</c:v>
                </c:pt>
                <c:pt idx="633">
                  <c:v>7587</c:v>
                </c:pt>
                <c:pt idx="634">
                  <c:v>7655</c:v>
                </c:pt>
                <c:pt idx="635">
                  <c:v>7575.5</c:v>
                </c:pt>
                <c:pt idx="636">
                  <c:v>7744</c:v>
                </c:pt>
                <c:pt idx="637">
                  <c:v>7661</c:v>
                </c:pt>
                <c:pt idx="638">
                  <c:v>7596</c:v>
                </c:pt>
                <c:pt idx="639">
                  <c:v>7524</c:v>
                </c:pt>
                <c:pt idx="640">
                  <c:v>7647</c:v>
                </c:pt>
                <c:pt idx="641">
                  <c:v>7660.5</c:v>
                </c:pt>
                <c:pt idx="642">
                  <c:v>7353</c:v>
                </c:pt>
                <c:pt idx="643">
                  <c:v>7475</c:v>
                </c:pt>
                <c:pt idx="644">
                  <c:v>7449</c:v>
                </c:pt>
                <c:pt idx="645">
                  <c:v>7446</c:v>
                </c:pt>
                <c:pt idx="646">
                  <c:v>7815</c:v>
                </c:pt>
                <c:pt idx="647">
                  <c:v>7761.5</c:v>
                </c:pt>
                <c:pt idx="648">
                  <c:v>7796</c:v>
                </c:pt>
                <c:pt idx="649">
                  <c:v>7772</c:v>
                </c:pt>
                <c:pt idx="650">
                  <c:v>7792</c:v>
                </c:pt>
                <c:pt idx="651">
                  <c:v>7806</c:v>
                </c:pt>
                <c:pt idx="652">
                  <c:v>7865</c:v>
                </c:pt>
                <c:pt idx="653">
                  <c:v>8230</c:v>
                </c:pt>
                <c:pt idx="654">
                  <c:v>8026</c:v>
                </c:pt>
                <c:pt idx="655">
                  <c:v>7985</c:v>
                </c:pt>
                <c:pt idx="656">
                  <c:v>7906</c:v>
                </c:pt>
                <c:pt idx="657">
                  <c:v>7730</c:v>
                </c:pt>
                <c:pt idx="658">
                  <c:v>7707</c:v>
                </c:pt>
                <c:pt idx="659">
                  <c:v>7652.5</c:v>
                </c:pt>
                <c:pt idx="660">
                  <c:v>7587</c:v>
                </c:pt>
                <c:pt idx="661">
                  <c:v>7702</c:v>
                </c:pt>
                <c:pt idx="662">
                  <c:v>7721</c:v>
                </c:pt>
                <c:pt idx="663">
                  <c:v>7910.5</c:v>
                </c:pt>
                <c:pt idx="664">
                  <c:v>8315</c:v>
                </c:pt>
                <c:pt idx="665">
                  <c:v>8155</c:v>
                </c:pt>
                <c:pt idx="666">
                  <c:v>8031.5</c:v>
                </c:pt>
                <c:pt idx="667">
                  <c:v>8100.5</c:v>
                </c:pt>
                <c:pt idx="668">
                  <c:v>8041</c:v>
                </c:pt>
                <c:pt idx="669">
                  <c:v>8051</c:v>
                </c:pt>
                <c:pt idx="670">
                  <c:v>8020</c:v>
                </c:pt>
                <c:pt idx="671">
                  <c:v>7955</c:v>
                </c:pt>
                <c:pt idx="672">
                  <c:v>7992</c:v>
                </c:pt>
                <c:pt idx="673">
                  <c:v>7865.5</c:v>
                </c:pt>
                <c:pt idx="674">
                  <c:v>8065</c:v>
                </c:pt>
                <c:pt idx="675">
                  <c:v>8140</c:v>
                </c:pt>
                <c:pt idx="676">
                  <c:v>7976</c:v>
                </c:pt>
                <c:pt idx="677">
                  <c:v>7971.5</c:v>
                </c:pt>
                <c:pt idx="678">
                  <c:v>7835</c:v>
                </c:pt>
                <c:pt idx="679">
                  <c:v>7830.5</c:v>
                </c:pt>
                <c:pt idx="680">
                  <c:v>7642</c:v>
                </c:pt>
                <c:pt idx="681">
                  <c:v>7774</c:v>
                </c:pt>
                <c:pt idx="682">
                  <c:v>7819</c:v>
                </c:pt>
                <c:pt idx="683">
                  <c:v>7930.5</c:v>
                </c:pt>
                <c:pt idx="684">
                  <c:v>7800.5</c:v>
                </c:pt>
                <c:pt idx="685">
                  <c:v>7712</c:v>
                </c:pt>
                <c:pt idx="686">
                  <c:v>7552</c:v>
                </c:pt>
                <c:pt idx="687">
                  <c:v>7591.5</c:v>
                </c:pt>
                <c:pt idx="688">
                  <c:v>7448</c:v>
                </c:pt>
                <c:pt idx="689">
                  <c:v>7372</c:v>
                </c:pt>
                <c:pt idx="690">
                  <c:v>7231.5</c:v>
                </c:pt>
                <c:pt idx="691">
                  <c:v>7371</c:v>
                </c:pt>
                <c:pt idx="692">
                  <c:v>7281.5</c:v>
                </c:pt>
                <c:pt idx="693">
                  <c:v>7320</c:v>
                </c:pt>
                <c:pt idx="694">
                  <c:v>7000</c:v>
                </c:pt>
                <c:pt idx="695">
                  <c:v>7216</c:v>
                </c:pt>
                <c:pt idx="696">
                  <c:v>7267</c:v>
                </c:pt>
                <c:pt idx="697">
                  <c:v>7370.5</c:v>
                </c:pt>
                <c:pt idx="698">
                  <c:v>7623</c:v>
                </c:pt>
                <c:pt idx="699">
                  <c:v>7790</c:v>
                </c:pt>
                <c:pt idx="700">
                  <c:v>7835</c:v>
                </c:pt>
                <c:pt idx="701">
                  <c:v>7525.5</c:v>
                </c:pt>
                <c:pt idx="702">
                  <c:v>7807</c:v>
                </c:pt>
                <c:pt idx="703">
                  <c:v>8036</c:v>
                </c:pt>
                <c:pt idx="704">
                  <c:v>7975.5</c:v>
                </c:pt>
                <c:pt idx="705">
                  <c:v>8245</c:v>
                </c:pt>
                <c:pt idx="706">
                  <c:v>8446</c:v>
                </c:pt>
                <c:pt idx="707">
                  <c:v>8502</c:v>
                </c:pt>
                <c:pt idx="708">
                  <c:v>8353</c:v>
                </c:pt>
                <c:pt idx="709">
                  <c:v>8280.5</c:v>
                </c:pt>
                <c:pt idx="710">
                  <c:v>8578</c:v>
                </c:pt>
                <c:pt idx="711">
                  <c:v>8729</c:v>
                </c:pt>
                <c:pt idx="712">
                  <c:v>9000</c:v>
                </c:pt>
                <c:pt idx="713">
                  <c:v>8875</c:v>
                </c:pt>
                <c:pt idx="714">
                  <c:v>9101</c:v>
                </c:pt>
                <c:pt idx="715">
                  <c:v>9105</c:v>
                </c:pt>
                <c:pt idx="716">
                  <c:v>9257</c:v>
                </c:pt>
                <c:pt idx="717">
                  <c:v>9263</c:v>
                </c:pt>
                <c:pt idx="718">
                  <c:v>9290</c:v>
                </c:pt>
                <c:pt idx="719">
                  <c:v>9537</c:v>
                </c:pt>
                <c:pt idx="720">
                  <c:v>9630</c:v>
                </c:pt>
                <c:pt idx="721">
                  <c:v>9692</c:v>
                </c:pt>
                <c:pt idx="722">
                  <c:v>9612</c:v>
                </c:pt>
                <c:pt idx="723">
                  <c:v>9712</c:v>
                </c:pt>
                <c:pt idx="724">
                  <c:v>9455</c:v>
                </c:pt>
                <c:pt idx="725">
                  <c:v>9500.5</c:v>
                </c:pt>
                <c:pt idx="726">
                  <c:v>9520.5</c:v>
                </c:pt>
                <c:pt idx="727">
                  <c:v>9383</c:v>
                </c:pt>
                <c:pt idx="728">
                  <c:v>9359</c:v>
                </c:pt>
                <c:pt idx="729">
                  <c:v>9287</c:v>
                </c:pt>
                <c:pt idx="730">
                  <c:v>9460.5</c:v>
                </c:pt>
                <c:pt idx="731">
                  <c:v>9500.5</c:v>
                </c:pt>
                <c:pt idx="732">
                  <c:v>9477</c:v>
                </c:pt>
                <c:pt idx="733">
                  <c:v>9287</c:v>
                </c:pt>
                <c:pt idx="734">
                  <c:v>9264.5</c:v>
                </c:pt>
                <c:pt idx="735">
                  <c:v>9396</c:v>
                </c:pt>
                <c:pt idx="736">
                  <c:v>9270</c:v>
                </c:pt>
                <c:pt idx="737">
                  <c:v>9064</c:v>
                </c:pt>
                <c:pt idx="738">
                  <c:v>9018.5</c:v>
                </c:pt>
                <c:pt idx="739">
                  <c:v>9367</c:v>
                </c:pt>
                <c:pt idx="740">
                  <c:v>9350</c:v>
                </c:pt>
                <c:pt idx="741">
                  <c:v>9160</c:v>
                </c:pt>
                <c:pt idx="742">
                  <c:v>9428</c:v>
                </c:pt>
                <c:pt idx="743">
                  <c:v>9541</c:v>
                </c:pt>
                <c:pt idx="744">
                  <c:v>9474</c:v>
                </c:pt>
                <c:pt idx="745">
                  <c:v>9511</c:v>
                </c:pt>
                <c:pt idx="746">
                  <c:v>9820.5</c:v>
                </c:pt>
                <c:pt idx="747">
                  <c:v>9812</c:v>
                </c:pt>
                <c:pt idx="748">
                  <c:v>9910</c:v>
                </c:pt>
                <c:pt idx="749">
                  <c:v>9912.5</c:v>
                </c:pt>
                <c:pt idx="750">
                  <c:v>9919</c:v>
                </c:pt>
                <c:pt idx="751">
                  <c:v>10230.5</c:v>
                </c:pt>
                <c:pt idx="752">
                  <c:v>10268</c:v>
                </c:pt>
                <c:pt idx="753">
                  <c:v>10215</c:v>
                </c:pt>
                <c:pt idx="754">
                  <c:v>10381</c:v>
                </c:pt>
                <c:pt idx="755">
                  <c:v>10277</c:v>
                </c:pt>
                <c:pt idx="756">
                  <c:v>10290.5</c:v>
                </c:pt>
                <c:pt idx="757">
                  <c:v>10201</c:v>
                </c:pt>
                <c:pt idx="758">
                  <c:v>10235.5</c:v>
                </c:pt>
                <c:pt idx="759">
                  <c:v>10390</c:v>
                </c:pt>
                <c:pt idx="760">
                  <c:v>10292</c:v>
                </c:pt>
                <c:pt idx="761">
                  <c:v>10350.5</c:v>
                </c:pt>
                <c:pt idx="762">
                  <c:v>10426</c:v>
                </c:pt>
                <c:pt idx="763">
                  <c:v>10301.5</c:v>
                </c:pt>
                <c:pt idx="764">
                  <c:v>10247</c:v>
                </c:pt>
                <c:pt idx="765">
                  <c:v>10337</c:v>
                </c:pt>
                <c:pt idx="766">
                  <c:v>10390.5</c:v>
                </c:pt>
                <c:pt idx="767">
                  <c:v>10350</c:v>
                </c:pt>
                <c:pt idx="768">
                  <c:v>10227</c:v>
                </c:pt>
                <c:pt idx="769">
                  <c:v>10280</c:v>
                </c:pt>
                <c:pt idx="770">
                  <c:v>10421</c:v>
                </c:pt>
                <c:pt idx="771">
                  <c:v>10311</c:v>
                </c:pt>
                <c:pt idx="772">
                  <c:v>10342</c:v>
                </c:pt>
                <c:pt idx="773">
                  <c:v>10173</c:v>
                </c:pt>
                <c:pt idx="774">
                  <c:v>10249</c:v>
                </c:pt>
                <c:pt idx="775">
                  <c:v>10166</c:v>
                </c:pt>
                <c:pt idx="776">
                  <c:v>10100.5</c:v>
                </c:pt>
                <c:pt idx="777">
                  <c:v>9826</c:v>
                </c:pt>
                <c:pt idx="778">
                  <c:v>9880</c:v>
                </c:pt>
                <c:pt idx="779">
                  <c:v>10145</c:v>
                </c:pt>
                <c:pt idx="780">
                  <c:v>10144</c:v>
                </c:pt>
                <c:pt idx="781">
                  <c:v>10052</c:v>
                </c:pt>
                <c:pt idx="782">
                  <c:v>10171</c:v>
                </c:pt>
                <c:pt idx="783">
                  <c:v>10730</c:v>
                </c:pt>
                <c:pt idx="784">
                  <c:v>10466</c:v>
                </c:pt>
                <c:pt idx="785">
                  <c:v>10470</c:v>
                </c:pt>
                <c:pt idx="786">
                  <c:v>10257.5</c:v>
                </c:pt>
                <c:pt idx="787">
                  <c:v>9976</c:v>
                </c:pt>
                <c:pt idx="788">
                  <c:v>9974</c:v>
                </c:pt>
                <c:pt idx="789">
                  <c:v>9920</c:v>
                </c:pt>
                <c:pt idx="790">
                  <c:v>9983</c:v>
                </c:pt>
                <c:pt idx="791">
                  <c:v>10005</c:v>
                </c:pt>
                <c:pt idx="792">
                  <c:v>10020</c:v>
                </c:pt>
                <c:pt idx="793">
                  <c:v>9960</c:v>
                </c:pt>
                <c:pt idx="794">
                  <c:v>10015</c:v>
                </c:pt>
                <c:pt idx="795">
                  <c:v>10010</c:v>
                </c:pt>
                <c:pt idx="796">
                  <c:v>10045.5</c:v>
                </c:pt>
                <c:pt idx="797">
                  <c:v>10020</c:v>
                </c:pt>
                <c:pt idx="798">
                  <c:v>9882</c:v>
                </c:pt>
                <c:pt idx="799">
                  <c:v>10040</c:v>
                </c:pt>
                <c:pt idx="800">
                  <c:v>10220.5</c:v>
                </c:pt>
                <c:pt idx="801">
                  <c:v>9881</c:v>
                </c:pt>
                <c:pt idx="802">
                  <c:v>9760</c:v>
                </c:pt>
                <c:pt idx="803">
                  <c:v>9850</c:v>
                </c:pt>
                <c:pt idx="804">
                  <c:v>9875</c:v>
                </c:pt>
                <c:pt idx="805">
                  <c:v>9785</c:v>
                </c:pt>
                <c:pt idx="806">
                  <c:v>9880</c:v>
                </c:pt>
                <c:pt idx="807">
                  <c:v>9701</c:v>
                </c:pt>
                <c:pt idx="808">
                  <c:v>9620</c:v>
                </c:pt>
                <c:pt idx="809">
                  <c:v>9678</c:v>
                </c:pt>
                <c:pt idx="810">
                  <c:v>9872</c:v>
                </c:pt>
                <c:pt idx="811">
                  <c:v>9965</c:v>
                </c:pt>
                <c:pt idx="812">
                  <c:v>9744</c:v>
                </c:pt>
                <c:pt idx="813">
                  <c:v>9800</c:v>
                </c:pt>
                <c:pt idx="814">
                  <c:v>9970</c:v>
                </c:pt>
                <c:pt idx="815">
                  <c:v>9925</c:v>
                </c:pt>
                <c:pt idx="816">
                  <c:v>9801</c:v>
                </c:pt>
                <c:pt idx="817">
                  <c:v>9707</c:v>
                </c:pt>
                <c:pt idx="818">
                  <c:v>9674.5</c:v>
                </c:pt>
                <c:pt idx="819">
                  <c:v>9900</c:v>
                </c:pt>
                <c:pt idx="820">
                  <c:v>9972</c:v>
                </c:pt>
                <c:pt idx="821">
                  <c:v>9945</c:v>
                </c:pt>
                <c:pt idx="822">
                  <c:v>9662</c:v>
                </c:pt>
                <c:pt idx="823">
                  <c:v>9665</c:v>
                </c:pt>
                <c:pt idx="824">
                  <c:v>9615</c:v>
                </c:pt>
                <c:pt idx="825">
                  <c:v>9565</c:v>
                </c:pt>
              </c:numCache>
            </c:numRef>
          </c:val>
          <c:smooth val="0"/>
          <c:extLst xmlns:c16r2="http://schemas.microsoft.com/office/drawing/2015/06/chart">
            <c:ext xmlns:c16="http://schemas.microsoft.com/office/drawing/2014/chart" uri="{C3380CC4-5D6E-409C-BE32-E72D297353CC}">
              <c16:uniqueId val="{00000000-DF0F-4679-A78E-87A1AB3909D4}"/>
            </c:ext>
          </c:extLst>
        </c:ser>
        <c:dLbls>
          <c:showLegendKey val="0"/>
          <c:showVal val="0"/>
          <c:showCatName val="0"/>
          <c:showSerName val="0"/>
          <c:showPercent val="0"/>
          <c:showBubbleSize val="0"/>
        </c:dLbls>
        <c:marker val="1"/>
        <c:smooth val="0"/>
        <c:axId val="380016128"/>
        <c:axId val="380017664"/>
      </c:lineChart>
      <c:lineChart>
        <c:grouping val="standard"/>
        <c:varyColors val="0"/>
        <c:ser>
          <c:idx val="1"/>
          <c:order val="1"/>
          <c:tx>
            <c:strRef>
              <c:f>LME铜铝价格f48!$C$2:$C$3</c:f>
              <c:strCache>
                <c:ptCount val="1"/>
                <c:pt idx="0">
                  <c:v>现货结算价:LME铝 美元/吨</c:v>
                </c:pt>
              </c:strCache>
            </c:strRef>
          </c:tx>
          <c:spPr>
            <a:ln w="28575" cap="rnd" cmpd="sng" algn="ctr">
              <a:solidFill>
                <a:srgbClr val="74A3BA"/>
              </a:solidFill>
              <a:prstDash val="solid"/>
              <a:round/>
            </a:ln>
            <a:effectLst/>
          </c:spPr>
          <c:marker>
            <c:symbol val="none"/>
          </c:marker>
          <c:cat>
            <c:numRef>
              <c:f>LME铜铝价格f48!$A$4:$A$829</c:f>
              <c:numCache>
                <c:formatCode>yyyy\-mm\-dd</c:formatCode>
                <c:ptCount val="826"/>
                <c:pt idx="0">
                  <c:v>45758</c:v>
                </c:pt>
                <c:pt idx="1">
                  <c:v>45757</c:v>
                </c:pt>
                <c:pt idx="2">
                  <c:v>45756</c:v>
                </c:pt>
                <c:pt idx="3">
                  <c:v>45755</c:v>
                </c:pt>
                <c:pt idx="4">
                  <c:v>45754</c:v>
                </c:pt>
                <c:pt idx="5">
                  <c:v>45751</c:v>
                </c:pt>
                <c:pt idx="6">
                  <c:v>45750</c:v>
                </c:pt>
                <c:pt idx="7">
                  <c:v>45749</c:v>
                </c:pt>
                <c:pt idx="8">
                  <c:v>45748</c:v>
                </c:pt>
                <c:pt idx="9">
                  <c:v>45747</c:v>
                </c:pt>
                <c:pt idx="10">
                  <c:v>45744</c:v>
                </c:pt>
                <c:pt idx="11">
                  <c:v>45743</c:v>
                </c:pt>
                <c:pt idx="12">
                  <c:v>45742</c:v>
                </c:pt>
                <c:pt idx="13">
                  <c:v>45741</c:v>
                </c:pt>
                <c:pt idx="14">
                  <c:v>45740</c:v>
                </c:pt>
                <c:pt idx="15">
                  <c:v>45737</c:v>
                </c:pt>
                <c:pt idx="16">
                  <c:v>45736</c:v>
                </c:pt>
                <c:pt idx="17">
                  <c:v>45735</c:v>
                </c:pt>
                <c:pt idx="18">
                  <c:v>45734</c:v>
                </c:pt>
                <c:pt idx="19">
                  <c:v>45733</c:v>
                </c:pt>
                <c:pt idx="20">
                  <c:v>45730</c:v>
                </c:pt>
                <c:pt idx="21">
                  <c:v>45729</c:v>
                </c:pt>
                <c:pt idx="22">
                  <c:v>45728</c:v>
                </c:pt>
                <c:pt idx="23">
                  <c:v>45727</c:v>
                </c:pt>
                <c:pt idx="24">
                  <c:v>45726</c:v>
                </c:pt>
                <c:pt idx="25">
                  <c:v>45723</c:v>
                </c:pt>
                <c:pt idx="26">
                  <c:v>45722</c:v>
                </c:pt>
                <c:pt idx="27">
                  <c:v>45721</c:v>
                </c:pt>
                <c:pt idx="28">
                  <c:v>45720</c:v>
                </c:pt>
                <c:pt idx="29">
                  <c:v>45719</c:v>
                </c:pt>
                <c:pt idx="30">
                  <c:v>45716</c:v>
                </c:pt>
                <c:pt idx="31">
                  <c:v>45715</c:v>
                </c:pt>
                <c:pt idx="32">
                  <c:v>45714</c:v>
                </c:pt>
                <c:pt idx="33">
                  <c:v>45713</c:v>
                </c:pt>
                <c:pt idx="34">
                  <c:v>45712</c:v>
                </c:pt>
                <c:pt idx="35">
                  <c:v>45709</c:v>
                </c:pt>
                <c:pt idx="36">
                  <c:v>45708</c:v>
                </c:pt>
                <c:pt idx="37">
                  <c:v>45707</c:v>
                </c:pt>
                <c:pt idx="38">
                  <c:v>45706</c:v>
                </c:pt>
                <c:pt idx="39">
                  <c:v>45705</c:v>
                </c:pt>
                <c:pt idx="40">
                  <c:v>45702</c:v>
                </c:pt>
                <c:pt idx="41">
                  <c:v>45701</c:v>
                </c:pt>
                <c:pt idx="42">
                  <c:v>45700</c:v>
                </c:pt>
                <c:pt idx="43">
                  <c:v>45699</c:v>
                </c:pt>
                <c:pt idx="44">
                  <c:v>45698</c:v>
                </c:pt>
                <c:pt idx="45">
                  <c:v>45695</c:v>
                </c:pt>
                <c:pt idx="46">
                  <c:v>45694</c:v>
                </c:pt>
                <c:pt idx="47">
                  <c:v>45693</c:v>
                </c:pt>
                <c:pt idx="48">
                  <c:v>45692</c:v>
                </c:pt>
                <c:pt idx="49">
                  <c:v>45691</c:v>
                </c:pt>
                <c:pt idx="50">
                  <c:v>45688</c:v>
                </c:pt>
                <c:pt idx="51">
                  <c:v>45687</c:v>
                </c:pt>
                <c:pt idx="52">
                  <c:v>45686</c:v>
                </c:pt>
                <c:pt idx="53">
                  <c:v>45685</c:v>
                </c:pt>
                <c:pt idx="54">
                  <c:v>45684</c:v>
                </c:pt>
                <c:pt idx="55">
                  <c:v>45681</c:v>
                </c:pt>
                <c:pt idx="56">
                  <c:v>45680</c:v>
                </c:pt>
                <c:pt idx="57">
                  <c:v>45679</c:v>
                </c:pt>
                <c:pt idx="58">
                  <c:v>45678</c:v>
                </c:pt>
                <c:pt idx="59">
                  <c:v>45677</c:v>
                </c:pt>
                <c:pt idx="60">
                  <c:v>45674</c:v>
                </c:pt>
                <c:pt idx="61">
                  <c:v>45673</c:v>
                </c:pt>
                <c:pt idx="62">
                  <c:v>45672</c:v>
                </c:pt>
                <c:pt idx="63">
                  <c:v>45671</c:v>
                </c:pt>
                <c:pt idx="64">
                  <c:v>45670</c:v>
                </c:pt>
                <c:pt idx="65">
                  <c:v>45667</c:v>
                </c:pt>
                <c:pt idx="66">
                  <c:v>45666</c:v>
                </c:pt>
                <c:pt idx="67">
                  <c:v>45665</c:v>
                </c:pt>
                <c:pt idx="68">
                  <c:v>45664</c:v>
                </c:pt>
                <c:pt idx="69">
                  <c:v>45663</c:v>
                </c:pt>
                <c:pt idx="70">
                  <c:v>45660</c:v>
                </c:pt>
                <c:pt idx="71">
                  <c:v>45659</c:v>
                </c:pt>
                <c:pt idx="72">
                  <c:v>45657</c:v>
                </c:pt>
                <c:pt idx="73">
                  <c:v>45656</c:v>
                </c:pt>
                <c:pt idx="74">
                  <c:v>45653</c:v>
                </c:pt>
                <c:pt idx="75">
                  <c:v>45650</c:v>
                </c:pt>
                <c:pt idx="76">
                  <c:v>45649</c:v>
                </c:pt>
                <c:pt idx="77">
                  <c:v>45646</c:v>
                </c:pt>
                <c:pt idx="78">
                  <c:v>45645</c:v>
                </c:pt>
                <c:pt idx="79">
                  <c:v>45644</c:v>
                </c:pt>
                <c:pt idx="80">
                  <c:v>45643</c:v>
                </c:pt>
                <c:pt idx="81">
                  <c:v>45642</c:v>
                </c:pt>
                <c:pt idx="82">
                  <c:v>45639</c:v>
                </c:pt>
                <c:pt idx="83">
                  <c:v>45638</c:v>
                </c:pt>
                <c:pt idx="84">
                  <c:v>45637</c:v>
                </c:pt>
                <c:pt idx="85">
                  <c:v>45636</c:v>
                </c:pt>
                <c:pt idx="86">
                  <c:v>45635</c:v>
                </c:pt>
                <c:pt idx="87">
                  <c:v>45632</c:v>
                </c:pt>
                <c:pt idx="88">
                  <c:v>45631</c:v>
                </c:pt>
                <c:pt idx="89">
                  <c:v>45630</c:v>
                </c:pt>
                <c:pt idx="90">
                  <c:v>45629</c:v>
                </c:pt>
                <c:pt idx="91">
                  <c:v>45628</c:v>
                </c:pt>
                <c:pt idx="92">
                  <c:v>45625</c:v>
                </c:pt>
                <c:pt idx="93">
                  <c:v>45624</c:v>
                </c:pt>
                <c:pt idx="94">
                  <c:v>45623</c:v>
                </c:pt>
                <c:pt idx="95">
                  <c:v>45622</c:v>
                </c:pt>
                <c:pt idx="96">
                  <c:v>45621</c:v>
                </c:pt>
                <c:pt idx="97">
                  <c:v>45618</c:v>
                </c:pt>
                <c:pt idx="98">
                  <c:v>45617</c:v>
                </c:pt>
                <c:pt idx="99">
                  <c:v>45616</c:v>
                </c:pt>
                <c:pt idx="100">
                  <c:v>45615</c:v>
                </c:pt>
                <c:pt idx="101">
                  <c:v>45614</c:v>
                </c:pt>
                <c:pt idx="102">
                  <c:v>45611</c:v>
                </c:pt>
                <c:pt idx="103">
                  <c:v>45610</c:v>
                </c:pt>
                <c:pt idx="104">
                  <c:v>45609</c:v>
                </c:pt>
                <c:pt idx="105">
                  <c:v>45608</c:v>
                </c:pt>
                <c:pt idx="106">
                  <c:v>45607</c:v>
                </c:pt>
                <c:pt idx="107">
                  <c:v>45604</c:v>
                </c:pt>
                <c:pt idx="108">
                  <c:v>45603</c:v>
                </c:pt>
                <c:pt idx="109">
                  <c:v>45602</c:v>
                </c:pt>
                <c:pt idx="110">
                  <c:v>45601</c:v>
                </c:pt>
                <c:pt idx="111">
                  <c:v>45600</c:v>
                </c:pt>
                <c:pt idx="112">
                  <c:v>45597</c:v>
                </c:pt>
                <c:pt idx="113">
                  <c:v>45596</c:v>
                </c:pt>
                <c:pt idx="114">
                  <c:v>45595</c:v>
                </c:pt>
                <c:pt idx="115">
                  <c:v>45594</c:v>
                </c:pt>
                <c:pt idx="116">
                  <c:v>45593</c:v>
                </c:pt>
                <c:pt idx="117">
                  <c:v>45590</c:v>
                </c:pt>
                <c:pt idx="118">
                  <c:v>45589</c:v>
                </c:pt>
                <c:pt idx="119">
                  <c:v>45588</c:v>
                </c:pt>
                <c:pt idx="120">
                  <c:v>45587</c:v>
                </c:pt>
                <c:pt idx="121">
                  <c:v>45586</c:v>
                </c:pt>
                <c:pt idx="122">
                  <c:v>45583</c:v>
                </c:pt>
                <c:pt idx="123">
                  <c:v>45582</c:v>
                </c:pt>
                <c:pt idx="124">
                  <c:v>45581</c:v>
                </c:pt>
                <c:pt idx="125">
                  <c:v>45580</c:v>
                </c:pt>
                <c:pt idx="126">
                  <c:v>45579</c:v>
                </c:pt>
                <c:pt idx="127">
                  <c:v>45576</c:v>
                </c:pt>
                <c:pt idx="128">
                  <c:v>45575</c:v>
                </c:pt>
                <c:pt idx="129">
                  <c:v>45574</c:v>
                </c:pt>
                <c:pt idx="130">
                  <c:v>45573</c:v>
                </c:pt>
                <c:pt idx="131">
                  <c:v>45572</c:v>
                </c:pt>
                <c:pt idx="132">
                  <c:v>45569</c:v>
                </c:pt>
                <c:pt idx="133">
                  <c:v>45568</c:v>
                </c:pt>
                <c:pt idx="134">
                  <c:v>45567</c:v>
                </c:pt>
                <c:pt idx="135">
                  <c:v>45566</c:v>
                </c:pt>
                <c:pt idx="136">
                  <c:v>45565</c:v>
                </c:pt>
                <c:pt idx="137">
                  <c:v>45562</c:v>
                </c:pt>
                <c:pt idx="138">
                  <c:v>45561</c:v>
                </c:pt>
                <c:pt idx="139">
                  <c:v>45560</c:v>
                </c:pt>
                <c:pt idx="140">
                  <c:v>45559</c:v>
                </c:pt>
                <c:pt idx="141">
                  <c:v>45558</c:v>
                </c:pt>
                <c:pt idx="142">
                  <c:v>45555</c:v>
                </c:pt>
                <c:pt idx="143">
                  <c:v>45554</c:v>
                </c:pt>
                <c:pt idx="144">
                  <c:v>45553</c:v>
                </c:pt>
                <c:pt idx="145">
                  <c:v>45552</c:v>
                </c:pt>
                <c:pt idx="146">
                  <c:v>45551</c:v>
                </c:pt>
                <c:pt idx="147">
                  <c:v>45548</c:v>
                </c:pt>
                <c:pt idx="148">
                  <c:v>45547</c:v>
                </c:pt>
                <c:pt idx="149">
                  <c:v>45546</c:v>
                </c:pt>
                <c:pt idx="150">
                  <c:v>45545</c:v>
                </c:pt>
                <c:pt idx="151">
                  <c:v>45544</c:v>
                </c:pt>
                <c:pt idx="152">
                  <c:v>45541</c:v>
                </c:pt>
                <c:pt idx="153">
                  <c:v>45540</c:v>
                </c:pt>
                <c:pt idx="154">
                  <c:v>45539</c:v>
                </c:pt>
                <c:pt idx="155">
                  <c:v>45538</c:v>
                </c:pt>
                <c:pt idx="156">
                  <c:v>45537</c:v>
                </c:pt>
                <c:pt idx="157">
                  <c:v>45534</c:v>
                </c:pt>
                <c:pt idx="158">
                  <c:v>45533</c:v>
                </c:pt>
                <c:pt idx="159">
                  <c:v>45532</c:v>
                </c:pt>
                <c:pt idx="160">
                  <c:v>45531</c:v>
                </c:pt>
                <c:pt idx="161">
                  <c:v>45527</c:v>
                </c:pt>
                <c:pt idx="162">
                  <c:v>45526</c:v>
                </c:pt>
                <c:pt idx="163">
                  <c:v>45525</c:v>
                </c:pt>
                <c:pt idx="164">
                  <c:v>45524</c:v>
                </c:pt>
                <c:pt idx="165">
                  <c:v>45523</c:v>
                </c:pt>
                <c:pt idx="166">
                  <c:v>45520</c:v>
                </c:pt>
                <c:pt idx="167">
                  <c:v>45519</c:v>
                </c:pt>
                <c:pt idx="168">
                  <c:v>45518</c:v>
                </c:pt>
                <c:pt idx="169">
                  <c:v>45517</c:v>
                </c:pt>
                <c:pt idx="170">
                  <c:v>45516</c:v>
                </c:pt>
                <c:pt idx="171">
                  <c:v>45513</c:v>
                </c:pt>
                <c:pt idx="172">
                  <c:v>45512</c:v>
                </c:pt>
                <c:pt idx="173">
                  <c:v>45511</c:v>
                </c:pt>
                <c:pt idx="174">
                  <c:v>45510</c:v>
                </c:pt>
                <c:pt idx="175">
                  <c:v>45509</c:v>
                </c:pt>
                <c:pt idx="176">
                  <c:v>45506</c:v>
                </c:pt>
                <c:pt idx="177">
                  <c:v>45505</c:v>
                </c:pt>
                <c:pt idx="178">
                  <c:v>45504</c:v>
                </c:pt>
                <c:pt idx="179">
                  <c:v>45503</c:v>
                </c:pt>
                <c:pt idx="180">
                  <c:v>45502</c:v>
                </c:pt>
                <c:pt idx="181">
                  <c:v>45499</c:v>
                </c:pt>
                <c:pt idx="182">
                  <c:v>45498</c:v>
                </c:pt>
                <c:pt idx="183">
                  <c:v>45497</c:v>
                </c:pt>
                <c:pt idx="184">
                  <c:v>45496</c:v>
                </c:pt>
                <c:pt idx="185">
                  <c:v>45495</c:v>
                </c:pt>
                <c:pt idx="186">
                  <c:v>45492</c:v>
                </c:pt>
                <c:pt idx="187">
                  <c:v>45491</c:v>
                </c:pt>
                <c:pt idx="188">
                  <c:v>45490</c:v>
                </c:pt>
                <c:pt idx="189">
                  <c:v>45489</c:v>
                </c:pt>
                <c:pt idx="190">
                  <c:v>45488</c:v>
                </c:pt>
                <c:pt idx="191">
                  <c:v>45485</c:v>
                </c:pt>
                <c:pt idx="192">
                  <c:v>45484</c:v>
                </c:pt>
                <c:pt idx="193">
                  <c:v>45483</c:v>
                </c:pt>
                <c:pt idx="194">
                  <c:v>45482</c:v>
                </c:pt>
                <c:pt idx="195">
                  <c:v>45481</c:v>
                </c:pt>
                <c:pt idx="196">
                  <c:v>45478</c:v>
                </c:pt>
                <c:pt idx="197">
                  <c:v>45477</c:v>
                </c:pt>
                <c:pt idx="198">
                  <c:v>45476</c:v>
                </c:pt>
                <c:pt idx="199">
                  <c:v>45475</c:v>
                </c:pt>
                <c:pt idx="200">
                  <c:v>45474</c:v>
                </c:pt>
                <c:pt idx="201">
                  <c:v>45471</c:v>
                </c:pt>
                <c:pt idx="202">
                  <c:v>45470</c:v>
                </c:pt>
                <c:pt idx="203">
                  <c:v>45469</c:v>
                </c:pt>
                <c:pt idx="204">
                  <c:v>45468</c:v>
                </c:pt>
                <c:pt idx="205">
                  <c:v>45467</c:v>
                </c:pt>
                <c:pt idx="206">
                  <c:v>45464</c:v>
                </c:pt>
                <c:pt idx="207">
                  <c:v>45463</c:v>
                </c:pt>
                <c:pt idx="208">
                  <c:v>45462</c:v>
                </c:pt>
                <c:pt idx="209">
                  <c:v>45461</c:v>
                </c:pt>
                <c:pt idx="210">
                  <c:v>45460</c:v>
                </c:pt>
                <c:pt idx="211">
                  <c:v>45457</c:v>
                </c:pt>
                <c:pt idx="212">
                  <c:v>45456</c:v>
                </c:pt>
                <c:pt idx="213">
                  <c:v>45455</c:v>
                </c:pt>
                <c:pt idx="214">
                  <c:v>45454</c:v>
                </c:pt>
                <c:pt idx="215">
                  <c:v>45453</c:v>
                </c:pt>
                <c:pt idx="216">
                  <c:v>45450</c:v>
                </c:pt>
                <c:pt idx="217">
                  <c:v>45449</c:v>
                </c:pt>
                <c:pt idx="218">
                  <c:v>45448</c:v>
                </c:pt>
                <c:pt idx="219">
                  <c:v>45447</c:v>
                </c:pt>
                <c:pt idx="220">
                  <c:v>45446</c:v>
                </c:pt>
                <c:pt idx="221">
                  <c:v>45443</c:v>
                </c:pt>
                <c:pt idx="222">
                  <c:v>45442</c:v>
                </c:pt>
                <c:pt idx="223">
                  <c:v>45441</c:v>
                </c:pt>
                <c:pt idx="224">
                  <c:v>45440</c:v>
                </c:pt>
                <c:pt idx="225">
                  <c:v>45436</c:v>
                </c:pt>
                <c:pt idx="226">
                  <c:v>45435</c:v>
                </c:pt>
                <c:pt idx="227">
                  <c:v>45434</c:v>
                </c:pt>
                <c:pt idx="228">
                  <c:v>45433</c:v>
                </c:pt>
                <c:pt idx="229">
                  <c:v>45432</c:v>
                </c:pt>
                <c:pt idx="230">
                  <c:v>45429</c:v>
                </c:pt>
                <c:pt idx="231">
                  <c:v>45428</c:v>
                </c:pt>
                <c:pt idx="232">
                  <c:v>45427</c:v>
                </c:pt>
                <c:pt idx="233">
                  <c:v>45426</c:v>
                </c:pt>
                <c:pt idx="234">
                  <c:v>45425</c:v>
                </c:pt>
                <c:pt idx="235">
                  <c:v>45422</c:v>
                </c:pt>
                <c:pt idx="236">
                  <c:v>45421</c:v>
                </c:pt>
                <c:pt idx="237">
                  <c:v>45420</c:v>
                </c:pt>
                <c:pt idx="238">
                  <c:v>45419</c:v>
                </c:pt>
                <c:pt idx="239">
                  <c:v>45415</c:v>
                </c:pt>
                <c:pt idx="240">
                  <c:v>45414</c:v>
                </c:pt>
                <c:pt idx="241">
                  <c:v>45413</c:v>
                </c:pt>
                <c:pt idx="242">
                  <c:v>45412</c:v>
                </c:pt>
                <c:pt idx="243">
                  <c:v>45411</c:v>
                </c:pt>
                <c:pt idx="244">
                  <c:v>45408</c:v>
                </c:pt>
                <c:pt idx="245">
                  <c:v>45407</c:v>
                </c:pt>
                <c:pt idx="246">
                  <c:v>45406</c:v>
                </c:pt>
                <c:pt idx="247">
                  <c:v>45405</c:v>
                </c:pt>
                <c:pt idx="248">
                  <c:v>45404</c:v>
                </c:pt>
                <c:pt idx="249">
                  <c:v>45401</c:v>
                </c:pt>
                <c:pt idx="250">
                  <c:v>45400</c:v>
                </c:pt>
                <c:pt idx="251">
                  <c:v>45399</c:v>
                </c:pt>
                <c:pt idx="252">
                  <c:v>45398</c:v>
                </c:pt>
                <c:pt idx="253">
                  <c:v>45397</c:v>
                </c:pt>
                <c:pt idx="254">
                  <c:v>45394</c:v>
                </c:pt>
                <c:pt idx="255">
                  <c:v>45393</c:v>
                </c:pt>
                <c:pt idx="256">
                  <c:v>45392</c:v>
                </c:pt>
                <c:pt idx="257">
                  <c:v>45391</c:v>
                </c:pt>
                <c:pt idx="258">
                  <c:v>45390</c:v>
                </c:pt>
                <c:pt idx="259">
                  <c:v>45387</c:v>
                </c:pt>
                <c:pt idx="260">
                  <c:v>45386</c:v>
                </c:pt>
                <c:pt idx="261">
                  <c:v>45385</c:v>
                </c:pt>
                <c:pt idx="262">
                  <c:v>45384</c:v>
                </c:pt>
                <c:pt idx="263">
                  <c:v>45379</c:v>
                </c:pt>
                <c:pt idx="264">
                  <c:v>45378</c:v>
                </c:pt>
                <c:pt idx="265">
                  <c:v>45377</c:v>
                </c:pt>
                <c:pt idx="266">
                  <c:v>45376</c:v>
                </c:pt>
                <c:pt idx="267">
                  <c:v>45373</c:v>
                </c:pt>
                <c:pt idx="268">
                  <c:v>45372</c:v>
                </c:pt>
                <c:pt idx="269">
                  <c:v>45371</c:v>
                </c:pt>
                <c:pt idx="270">
                  <c:v>45370</c:v>
                </c:pt>
                <c:pt idx="271">
                  <c:v>45369</c:v>
                </c:pt>
                <c:pt idx="272">
                  <c:v>45366</c:v>
                </c:pt>
                <c:pt idx="273">
                  <c:v>45365</c:v>
                </c:pt>
                <c:pt idx="274">
                  <c:v>45364</c:v>
                </c:pt>
                <c:pt idx="275">
                  <c:v>45363</c:v>
                </c:pt>
                <c:pt idx="276">
                  <c:v>45362</c:v>
                </c:pt>
                <c:pt idx="277">
                  <c:v>45359</c:v>
                </c:pt>
                <c:pt idx="278">
                  <c:v>45358</c:v>
                </c:pt>
                <c:pt idx="279">
                  <c:v>45357</c:v>
                </c:pt>
                <c:pt idx="280">
                  <c:v>45356</c:v>
                </c:pt>
                <c:pt idx="281">
                  <c:v>45355</c:v>
                </c:pt>
                <c:pt idx="282">
                  <c:v>45352</c:v>
                </c:pt>
                <c:pt idx="283">
                  <c:v>45351</c:v>
                </c:pt>
                <c:pt idx="284">
                  <c:v>45350</c:v>
                </c:pt>
                <c:pt idx="285">
                  <c:v>45349</c:v>
                </c:pt>
                <c:pt idx="286">
                  <c:v>45348</c:v>
                </c:pt>
                <c:pt idx="287">
                  <c:v>45345</c:v>
                </c:pt>
                <c:pt idx="288">
                  <c:v>45344</c:v>
                </c:pt>
                <c:pt idx="289">
                  <c:v>45343</c:v>
                </c:pt>
                <c:pt idx="290">
                  <c:v>45342</c:v>
                </c:pt>
                <c:pt idx="291">
                  <c:v>45341</c:v>
                </c:pt>
                <c:pt idx="292">
                  <c:v>45338</c:v>
                </c:pt>
                <c:pt idx="293">
                  <c:v>45337</c:v>
                </c:pt>
                <c:pt idx="294">
                  <c:v>45336</c:v>
                </c:pt>
                <c:pt idx="295">
                  <c:v>45335</c:v>
                </c:pt>
                <c:pt idx="296">
                  <c:v>45334</c:v>
                </c:pt>
                <c:pt idx="297">
                  <c:v>45331</c:v>
                </c:pt>
                <c:pt idx="298">
                  <c:v>45330</c:v>
                </c:pt>
                <c:pt idx="299">
                  <c:v>45329</c:v>
                </c:pt>
                <c:pt idx="300">
                  <c:v>45328</c:v>
                </c:pt>
                <c:pt idx="301">
                  <c:v>45327</c:v>
                </c:pt>
                <c:pt idx="302">
                  <c:v>45324</c:v>
                </c:pt>
                <c:pt idx="303">
                  <c:v>45323</c:v>
                </c:pt>
                <c:pt idx="304">
                  <c:v>45322</c:v>
                </c:pt>
                <c:pt idx="305">
                  <c:v>45321</c:v>
                </c:pt>
                <c:pt idx="306">
                  <c:v>45320</c:v>
                </c:pt>
                <c:pt idx="307">
                  <c:v>45317</c:v>
                </c:pt>
                <c:pt idx="308">
                  <c:v>45316</c:v>
                </c:pt>
                <c:pt idx="309">
                  <c:v>45315</c:v>
                </c:pt>
                <c:pt idx="310">
                  <c:v>45314</c:v>
                </c:pt>
                <c:pt idx="311">
                  <c:v>45313</c:v>
                </c:pt>
                <c:pt idx="312">
                  <c:v>45310</c:v>
                </c:pt>
                <c:pt idx="313">
                  <c:v>45309</c:v>
                </c:pt>
                <c:pt idx="314">
                  <c:v>45308</c:v>
                </c:pt>
                <c:pt idx="315">
                  <c:v>45307</c:v>
                </c:pt>
                <c:pt idx="316">
                  <c:v>45306</c:v>
                </c:pt>
                <c:pt idx="317">
                  <c:v>45303</c:v>
                </c:pt>
                <c:pt idx="318">
                  <c:v>45302</c:v>
                </c:pt>
                <c:pt idx="319">
                  <c:v>45301</c:v>
                </c:pt>
                <c:pt idx="320">
                  <c:v>45300</c:v>
                </c:pt>
                <c:pt idx="321">
                  <c:v>45299</c:v>
                </c:pt>
                <c:pt idx="322">
                  <c:v>45296</c:v>
                </c:pt>
                <c:pt idx="323">
                  <c:v>45295</c:v>
                </c:pt>
                <c:pt idx="324">
                  <c:v>45294</c:v>
                </c:pt>
                <c:pt idx="325">
                  <c:v>45293</c:v>
                </c:pt>
                <c:pt idx="326">
                  <c:v>45289</c:v>
                </c:pt>
                <c:pt idx="327">
                  <c:v>45288</c:v>
                </c:pt>
                <c:pt idx="328">
                  <c:v>45287</c:v>
                </c:pt>
                <c:pt idx="329">
                  <c:v>45282</c:v>
                </c:pt>
                <c:pt idx="330">
                  <c:v>45281</c:v>
                </c:pt>
                <c:pt idx="331">
                  <c:v>45280</c:v>
                </c:pt>
                <c:pt idx="332">
                  <c:v>45279</c:v>
                </c:pt>
                <c:pt idx="333">
                  <c:v>45278</c:v>
                </c:pt>
                <c:pt idx="334">
                  <c:v>45275</c:v>
                </c:pt>
                <c:pt idx="335">
                  <c:v>45274</c:v>
                </c:pt>
                <c:pt idx="336">
                  <c:v>45273</c:v>
                </c:pt>
                <c:pt idx="337">
                  <c:v>45272</c:v>
                </c:pt>
                <c:pt idx="338">
                  <c:v>45271</c:v>
                </c:pt>
                <c:pt idx="339">
                  <c:v>45268</c:v>
                </c:pt>
                <c:pt idx="340">
                  <c:v>45267</c:v>
                </c:pt>
                <c:pt idx="341">
                  <c:v>45266</c:v>
                </c:pt>
                <c:pt idx="342">
                  <c:v>45265</c:v>
                </c:pt>
                <c:pt idx="343">
                  <c:v>45264</c:v>
                </c:pt>
                <c:pt idx="344">
                  <c:v>45261</c:v>
                </c:pt>
                <c:pt idx="345">
                  <c:v>45260</c:v>
                </c:pt>
                <c:pt idx="346">
                  <c:v>45259</c:v>
                </c:pt>
                <c:pt idx="347">
                  <c:v>45258</c:v>
                </c:pt>
                <c:pt idx="348">
                  <c:v>45257</c:v>
                </c:pt>
                <c:pt idx="349">
                  <c:v>45254</c:v>
                </c:pt>
                <c:pt idx="350">
                  <c:v>45253</c:v>
                </c:pt>
                <c:pt idx="351">
                  <c:v>45252</c:v>
                </c:pt>
                <c:pt idx="352">
                  <c:v>45251</c:v>
                </c:pt>
                <c:pt idx="353">
                  <c:v>45250</c:v>
                </c:pt>
                <c:pt idx="354">
                  <c:v>45247</c:v>
                </c:pt>
                <c:pt idx="355">
                  <c:v>45246</c:v>
                </c:pt>
                <c:pt idx="356">
                  <c:v>45245</c:v>
                </c:pt>
                <c:pt idx="357">
                  <c:v>45244</c:v>
                </c:pt>
                <c:pt idx="358">
                  <c:v>45243</c:v>
                </c:pt>
                <c:pt idx="359">
                  <c:v>45240</c:v>
                </c:pt>
                <c:pt idx="360">
                  <c:v>45239</c:v>
                </c:pt>
                <c:pt idx="361">
                  <c:v>45238</c:v>
                </c:pt>
                <c:pt idx="362">
                  <c:v>45237</c:v>
                </c:pt>
                <c:pt idx="363">
                  <c:v>45236</c:v>
                </c:pt>
                <c:pt idx="364">
                  <c:v>45233</c:v>
                </c:pt>
                <c:pt idx="365">
                  <c:v>45232</c:v>
                </c:pt>
                <c:pt idx="366">
                  <c:v>45231</c:v>
                </c:pt>
                <c:pt idx="367">
                  <c:v>45230</c:v>
                </c:pt>
                <c:pt idx="368">
                  <c:v>45229</c:v>
                </c:pt>
                <c:pt idx="369">
                  <c:v>45226</c:v>
                </c:pt>
                <c:pt idx="370">
                  <c:v>45225</c:v>
                </c:pt>
                <c:pt idx="371">
                  <c:v>45224</c:v>
                </c:pt>
                <c:pt idx="372">
                  <c:v>45223</c:v>
                </c:pt>
                <c:pt idx="373">
                  <c:v>45222</c:v>
                </c:pt>
                <c:pt idx="374">
                  <c:v>45219</c:v>
                </c:pt>
                <c:pt idx="375">
                  <c:v>45218</c:v>
                </c:pt>
                <c:pt idx="376">
                  <c:v>45217</c:v>
                </c:pt>
                <c:pt idx="377">
                  <c:v>45216</c:v>
                </c:pt>
                <c:pt idx="378">
                  <c:v>45215</c:v>
                </c:pt>
                <c:pt idx="379">
                  <c:v>45212</c:v>
                </c:pt>
                <c:pt idx="380">
                  <c:v>45211</c:v>
                </c:pt>
                <c:pt idx="381">
                  <c:v>45210</c:v>
                </c:pt>
                <c:pt idx="382">
                  <c:v>45209</c:v>
                </c:pt>
                <c:pt idx="383">
                  <c:v>45208</c:v>
                </c:pt>
                <c:pt idx="384">
                  <c:v>45205</c:v>
                </c:pt>
                <c:pt idx="385">
                  <c:v>45204</c:v>
                </c:pt>
                <c:pt idx="386">
                  <c:v>45203</c:v>
                </c:pt>
                <c:pt idx="387">
                  <c:v>45202</c:v>
                </c:pt>
                <c:pt idx="388">
                  <c:v>45201</c:v>
                </c:pt>
                <c:pt idx="389">
                  <c:v>45198</c:v>
                </c:pt>
                <c:pt idx="390">
                  <c:v>45197</c:v>
                </c:pt>
                <c:pt idx="391">
                  <c:v>45196</c:v>
                </c:pt>
                <c:pt idx="392">
                  <c:v>45195</c:v>
                </c:pt>
                <c:pt idx="393">
                  <c:v>45194</c:v>
                </c:pt>
                <c:pt idx="394">
                  <c:v>45191</c:v>
                </c:pt>
                <c:pt idx="395">
                  <c:v>45190</c:v>
                </c:pt>
                <c:pt idx="396">
                  <c:v>45189</c:v>
                </c:pt>
                <c:pt idx="397">
                  <c:v>45188</c:v>
                </c:pt>
                <c:pt idx="398">
                  <c:v>45187</c:v>
                </c:pt>
                <c:pt idx="399">
                  <c:v>45184</c:v>
                </c:pt>
                <c:pt idx="400">
                  <c:v>45183</c:v>
                </c:pt>
                <c:pt idx="401">
                  <c:v>45182</c:v>
                </c:pt>
                <c:pt idx="402">
                  <c:v>45181</c:v>
                </c:pt>
                <c:pt idx="403">
                  <c:v>45180</c:v>
                </c:pt>
                <c:pt idx="404">
                  <c:v>45177</c:v>
                </c:pt>
                <c:pt idx="405">
                  <c:v>45176</c:v>
                </c:pt>
                <c:pt idx="406">
                  <c:v>45175</c:v>
                </c:pt>
                <c:pt idx="407">
                  <c:v>45174</c:v>
                </c:pt>
                <c:pt idx="408">
                  <c:v>45173</c:v>
                </c:pt>
                <c:pt idx="409">
                  <c:v>45170</c:v>
                </c:pt>
                <c:pt idx="410">
                  <c:v>45169</c:v>
                </c:pt>
                <c:pt idx="411">
                  <c:v>45168</c:v>
                </c:pt>
                <c:pt idx="412">
                  <c:v>45167</c:v>
                </c:pt>
                <c:pt idx="413">
                  <c:v>45163</c:v>
                </c:pt>
                <c:pt idx="414">
                  <c:v>45162</c:v>
                </c:pt>
                <c:pt idx="415">
                  <c:v>45161</c:v>
                </c:pt>
                <c:pt idx="416">
                  <c:v>45160</c:v>
                </c:pt>
                <c:pt idx="417">
                  <c:v>45159</c:v>
                </c:pt>
                <c:pt idx="418">
                  <c:v>45156</c:v>
                </c:pt>
                <c:pt idx="419">
                  <c:v>45155</c:v>
                </c:pt>
                <c:pt idx="420">
                  <c:v>45154</c:v>
                </c:pt>
                <c:pt idx="421">
                  <c:v>45153</c:v>
                </c:pt>
                <c:pt idx="422">
                  <c:v>45152</c:v>
                </c:pt>
                <c:pt idx="423">
                  <c:v>45149</c:v>
                </c:pt>
                <c:pt idx="424">
                  <c:v>45148</c:v>
                </c:pt>
                <c:pt idx="425">
                  <c:v>45147</c:v>
                </c:pt>
                <c:pt idx="426">
                  <c:v>45146</c:v>
                </c:pt>
                <c:pt idx="427">
                  <c:v>45145</c:v>
                </c:pt>
                <c:pt idx="428">
                  <c:v>45142</c:v>
                </c:pt>
                <c:pt idx="429">
                  <c:v>45141</c:v>
                </c:pt>
                <c:pt idx="430">
                  <c:v>45140</c:v>
                </c:pt>
                <c:pt idx="431">
                  <c:v>45139</c:v>
                </c:pt>
                <c:pt idx="432">
                  <c:v>45138</c:v>
                </c:pt>
                <c:pt idx="433">
                  <c:v>45135</c:v>
                </c:pt>
                <c:pt idx="434">
                  <c:v>45134</c:v>
                </c:pt>
                <c:pt idx="435">
                  <c:v>45133</c:v>
                </c:pt>
                <c:pt idx="436">
                  <c:v>45132</c:v>
                </c:pt>
                <c:pt idx="437">
                  <c:v>45131</c:v>
                </c:pt>
                <c:pt idx="438">
                  <c:v>45128</c:v>
                </c:pt>
                <c:pt idx="439">
                  <c:v>45127</c:v>
                </c:pt>
                <c:pt idx="440">
                  <c:v>45126</c:v>
                </c:pt>
                <c:pt idx="441">
                  <c:v>45125</c:v>
                </c:pt>
                <c:pt idx="442">
                  <c:v>45124</c:v>
                </c:pt>
                <c:pt idx="443">
                  <c:v>45121</c:v>
                </c:pt>
                <c:pt idx="444">
                  <c:v>45120</c:v>
                </c:pt>
                <c:pt idx="445">
                  <c:v>45119</c:v>
                </c:pt>
                <c:pt idx="446">
                  <c:v>45118</c:v>
                </c:pt>
                <c:pt idx="447">
                  <c:v>45117</c:v>
                </c:pt>
                <c:pt idx="448">
                  <c:v>45114</c:v>
                </c:pt>
                <c:pt idx="449">
                  <c:v>45113</c:v>
                </c:pt>
                <c:pt idx="450">
                  <c:v>45112</c:v>
                </c:pt>
                <c:pt idx="451">
                  <c:v>45111</c:v>
                </c:pt>
                <c:pt idx="452">
                  <c:v>45110</c:v>
                </c:pt>
                <c:pt idx="453">
                  <c:v>45107</c:v>
                </c:pt>
                <c:pt idx="454">
                  <c:v>45106</c:v>
                </c:pt>
                <c:pt idx="455">
                  <c:v>45105</c:v>
                </c:pt>
                <c:pt idx="456">
                  <c:v>45104</c:v>
                </c:pt>
                <c:pt idx="457">
                  <c:v>45103</c:v>
                </c:pt>
                <c:pt idx="458">
                  <c:v>45100</c:v>
                </c:pt>
                <c:pt idx="459">
                  <c:v>45099</c:v>
                </c:pt>
                <c:pt idx="460">
                  <c:v>45098</c:v>
                </c:pt>
                <c:pt idx="461">
                  <c:v>45097</c:v>
                </c:pt>
                <c:pt idx="462">
                  <c:v>45096</c:v>
                </c:pt>
                <c:pt idx="463">
                  <c:v>45093</c:v>
                </c:pt>
                <c:pt idx="464">
                  <c:v>45092</c:v>
                </c:pt>
                <c:pt idx="465">
                  <c:v>45091</c:v>
                </c:pt>
                <c:pt idx="466">
                  <c:v>45090</c:v>
                </c:pt>
                <c:pt idx="467">
                  <c:v>45089</c:v>
                </c:pt>
                <c:pt idx="468">
                  <c:v>45086</c:v>
                </c:pt>
                <c:pt idx="469">
                  <c:v>45085</c:v>
                </c:pt>
                <c:pt idx="470">
                  <c:v>45084</c:v>
                </c:pt>
                <c:pt idx="471">
                  <c:v>45083</c:v>
                </c:pt>
                <c:pt idx="472">
                  <c:v>45082</c:v>
                </c:pt>
                <c:pt idx="473">
                  <c:v>45079</c:v>
                </c:pt>
                <c:pt idx="474">
                  <c:v>45078</c:v>
                </c:pt>
                <c:pt idx="475">
                  <c:v>45077</c:v>
                </c:pt>
                <c:pt idx="476">
                  <c:v>45076</c:v>
                </c:pt>
                <c:pt idx="477">
                  <c:v>45072</c:v>
                </c:pt>
                <c:pt idx="478">
                  <c:v>45071</c:v>
                </c:pt>
                <c:pt idx="479">
                  <c:v>45070</c:v>
                </c:pt>
                <c:pt idx="480">
                  <c:v>45069</c:v>
                </c:pt>
                <c:pt idx="481">
                  <c:v>45068</c:v>
                </c:pt>
                <c:pt idx="482">
                  <c:v>45065</c:v>
                </c:pt>
                <c:pt idx="483">
                  <c:v>45064</c:v>
                </c:pt>
                <c:pt idx="484">
                  <c:v>45063</c:v>
                </c:pt>
                <c:pt idx="485">
                  <c:v>45062</c:v>
                </c:pt>
                <c:pt idx="486">
                  <c:v>45061</c:v>
                </c:pt>
                <c:pt idx="487">
                  <c:v>45058</c:v>
                </c:pt>
                <c:pt idx="488">
                  <c:v>45057</c:v>
                </c:pt>
                <c:pt idx="489">
                  <c:v>45056</c:v>
                </c:pt>
                <c:pt idx="490">
                  <c:v>45055</c:v>
                </c:pt>
                <c:pt idx="491">
                  <c:v>45051</c:v>
                </c:pt>
                <c:pt idx="492">
                  <c:v>45050</c:v>
                </c:pt>
                <c:pt idx="493">
                  <c:v>45049</c:v>
                </c:pt>
                <c:pt idx="494">
                  <c:v>45048</c:v>
                </c:pt>
                <c:pt idx="495">
                  <c:v>45044</c:v>
                </c:pt>
                <c:pt idx="496">
                  <c:v>45043</c:v>
                </c:pt>
                <c:pt idx="497">
                  <c:v>45042</c:v>
                </c:pt>
                <c:pt idx="498">
                  <c:v>45041</c:v>
                </c:pt>
                <c:pt idx="499">
                  <c:v>45040</c:v>
                </c:pt>
                <c:pt idx="500">
                  <c:v>45037</c:v>
                </c:pt>
                <c:pt idx="501">
                  <c:v>45036</c:v>
                </c:pt>
                <c:pt idx="502">
                  <c:v>45035</c:v>
                </c:pt>
                <c:pt idx="503">
                  <c:v>45034</c:v>
                </c:pt>
                <c:pt idx="504">
                  <c:v>45033</c:v>
                </c:pt>
                <c:pt idx="505">
                  <c:v>45030</c:v>
                </c:pt>
                <c:pt idx="506">
                  <c:v>45029</c:v>
                </c:pt>
                <c:pt idx="507">
                  <c:v>45028</c:v>
                </c:pt>
                <c:pt idx="508">
                  <c:v>45027</c:v>
                </c:pt>
                <c:pt idx="509">
                  <c:v>45022</c:v>
                </c:pt>
                <c:pt idx="510">
                  <c:v>45021</c:v>
                </c:pt>
                <c:pt idx="511">
                  <c:v>45020</c:v>
                </c:pt>
                <c:pt idx="512">
                  <c:v>45019</c:v>
                </c:pt>
                <c:pt idx="513">
                  <c:v>45016</c:v>
                </c:pt>
                <c:pt idx="514">
                  <c:v>45015</c:v>
                </c:pt>
                <c:pt idx="515">
                  <c:v>45014</c:v>
                </c:pt>
                <c:pt idx="516">
                  <c:v>45013</c:v>
                </c:pt>
                <c:pt idx="517">
                  <c:v>45012</c:v>
                </c:pt>
                <c:pt idx="518">
                  <c:v>45009</c:v>
                </c:pt>
                <c:pt idx="519">
                  <c:v>45008</c:v>
                </c:pt>
                <c:pt idx="520">
                  <c:v>45007</c:v>
                </c:pt>
                <c:pt idx="521">
                  <c:v>45006</c:v>
                </c:pt>
                <c:pt idx="522">
                  <c:v>45005</c:v>
                </c:pt>
                <c:pt idx="523">
                  <c:v>45002</c:v>
                </c:pt>
                <c:pt idx="524">
                  <c:v>45001</c:v>
                </c:pt>
                <c:pt idx="525">
                  <c:v>45000</c:v>
                </c:pt>
                <c:pt idx="526">
                  <c:v>44999</c:v>
                </c:pt>
                <c:pt idx="527">
                  <c:v>44998</c:v>
                </c:pt>
                <c:pt idx="528">
                  <c:v>44995</c:v>
                </c:pt>
                <c:pt idx="529">
                  <c:v>44994</c:v>
                </c:pt>
                <c:pt idx="530">
                  <c:v>44993</c:v>
                </c:pt>
                <c:pt idx="531">
                  <c:v>44992</c:v>
                </c:pt>
                <c:pt idx="532">
                  <c:v>44991</c:v>
                </c:pt>
                <c:pt idx="533">
                  <c:v>44988</c:v>
                </c:pt>
                <c:pt idx="534">
                  <c:v>44987</c:v>
                </c:pt>
                <c:pt idx="535">
                  <c:v>44986</c:v>
                </c:pt>
                <c:pt idx="536">
                  <c:v>44985</c:v>
                </c:pt>
                <c:pt idx="537">
                  <c:v>44984</c:v>
                </c:pt>
                <c:pt idx="538">
                  <c:v>44981</c:v>
                </c:pt>
                <c:pt idx="539">
                  <c:v>44980</c:v>
                </c:pt>
                <c:pt idx="540">
                  <c:v>44979</c:v>
                </c:pt>
                <c:pt idx="541">
                  <c:v>44978</c:v>
                </c:pt>
                <c:pt idx="542">
                  <c:v>44977</c:v>
                </c:pt>
                <c:pt idx="543">
                  <c:v>44974</c:v>
                </c:pt>
                <c:pt idx="544">
                  <c:v>44973</c:v>
                </c:pt>
                <c:pt idx="545">
                  <c:v>44972</c:v>
                </c:pt>
                <c:pt idx="546">
                  <c:v>44971</c:v>
                </c:pt>
                <c:pt idx="547">
                  <c:v>44970</c:v>
                </c:pt>
                <c:pt idx="548">
                  <c:v>44967</c:v>
                </c:pt>
                <c:pt idx="549">
                  <c:v>44966</c:v>
                </c:pt>
                <c:pt idx="550">
                  <c:v>44965</c:v>
                </c:pt>
                <c:pt idx="551">
                  <c:v>44964</c:v>
                </c:pt>
                <c:pt idx="552">
                  <c:v>44963</c:v>
                </c:pt>
                <c:pt idx="553">
                  <c:v>44960</c:v>
                </c:pt>
                <c:pt idx="554">
                  <c:v>44959</c:v>
                </c:pt>
                <c:pt idx="555">
                  <c:v>44958</c:v>
                </c:pt>
                <c:pt idx="556">
                  <c:v>44957</c:v>
                </c:pt>
                <c:pt idx="557">
                  <c:v>44956</c:v>
                </c:pt>
                <c:pt idx="558">
                  <c:v>44953</c:v>
                </c:pt>
                <c:pt idx="559">
                  <c:v>44952</c:v>
                </c:pt>
                <c:pt idx="560">
                  <c:v>44951</c:v>
                </c:pt>
                <c:pt idx="561">
                  <c:v>44950</c:v>
                </c:pt>
                <c:pt idx="562">
                  <c:v>44949</c:v>
                </c:pt>
                <c:pt idx="563">
                  <c:v>44946</c:v>
                </c:pt>
                <c:pt idx="564">
                  <c:v>44945</c:v>
                </c:pt>
                <c:pt idx="565">
                  <c:v>44944</c:v>
                </c:pt>
                <c:pt idx="566">
                  <c:v>44943</c:v>
                </c:pt>
                <c:pt idx="567">
                  <c:v>44942</c:v>
                </c:pt>
                <c:pt idx="568">
                  <c:v>44939</c:v>
                </c:pt>
                <c:pt idx="569">
                  <c:v>44938</c:v>
                </c:pt>
                <c:pt idx="570">
                  <c:v>44937</c:v>
                </c:pt>
                <c:pt idx="571">
                  <c:v>44936</c:v>
                </c:pt>
                <c:pt idx="572">
                  <c:v>44935</c:v>
                </c:pt>
                <c:pt idx="573">
                  <c:v>44932</c:v>
                </c:pt>
                <c:pt idx="574">
                  <c:v>44931</c:v>
                </c:pt>
                <c:pt idx="575">
                  <c:v>44930</c:v>
                </c:pt>
                <c:pt idx="576">
                  <c:v>44929</c:v>
                </c:pt>
                <c:pt idx="577">
                  <c:v>44925</c:v>
                </c:pt>
                <c:pt idx="578">
                  <c:v>44924</c:v>
                </c:pt>
                <c:pt idx="579">
                  <c:v>44923</c:v>
                </c:pt>
                <c:pt idx="580">
                  <c:v>44918</c:v>
                </c:pt>
                <c:pt idx="581">
                  <c:v>44917</c:v>
                </c:pt>
                <c:pt idx="582">
                  <c:v>44916</c:v>
                </c:pt>
                <c:pt idx="583">
                  <c:v>44915</c:v>
                </c:pt>
                <c:pt idx="584">
                  <c:v>44914</c:v>
                </c:pt>
                <c:pt idx="585">
                  <c:v>44911</c:v>
                </c:pt>
                <c:pt idx="586">
                  <c:v>44910</c:v>
                </c:pt>
                <c:pt idx="587">
                  <c:v>44909</c:v>
                </c:pt>
                <c:pt idx="588">
                  <c:v>44908</c:v>
                </c:pt>
                <c:pt idx="589">
                  <c:v>44907</c:v>
                </c:pt>
                <c:pt idx="590">
                  <c:v>44904</c:v>
                </c:pt>
                <c:pt idx="591">
                  <c:v>44903</c:v>
                </c:pt>
                <c:pt idx="592">
                  <c:v>44902</c:v>
                </c:pt>
                <c:pt idx="593">
                  <c:v>44901</c:v>
                </c:pt>
                <c:pt idx="594">
                  <c:v>44900</c:v>
                </c:pt>
                <c:pt idx="595">
                  <c:v>44897</c:v>
                </c:pt>
                <c:pt idx="596">
                  <c:v>44896</c:v>
                </c:pt>
                <c:pt idx="597">
                  <c:v>44895</c:v>
                </c:pt>
                <c:pt idx="598">
                  <c:v>44894</c:v>
                </c:pt>
                <c:pt idx="599">
                  <c:v>44893</c:v>
                </c:pt>
                <c:pt idx="600">
                  <c:v>44890</c:v>
                </c:pt>
                <c:pt idx="601">
                  <c:v>44889</c:v>
                </c:pt>
                <c:pt idx="602">
                  <c:v>44888</c:v>
                </c:pt>
                <c:pt idx="603">
                  <c:v>44887</c:v>
                </c:pt>
                <c:pt idx="604">
                  <c:v>44886</c:v>
                </c:pt>
                <c:pt idx="605">
                  <c:v>44883</c:v>
                </c:pt>
                <c:pt idx="606">
                  <c:v>44882</c:v>
                </c:pt>
                <c:pt idx="607">
                  <c:v>44881</c:v>
                </c:pt>
                <c:pt idx="608">
                  <c:v>44880</c:v>
                </c:pt>
                <c:pt idx="609">
                  <c:v>44879</c:v>
                </c:pt>
                <c:pt idx="610">
                  <c:v>44876</c:v>
                </c:pt>
                <c:pt idx="611">
                  <c:v>44875</c:v>
                </c:pt>
                <c:pt idx="612">
                  <c:v>44874</c:v>
                </c:pt>
                <c:pt idx="613">
                  <c:v>44873</c:v>
                </c:pt>
                <c:pt idx="614">
                  <c:v>44872</c:v>
                </c:pt>
                <c:pt idx="615">
                  <c:v>44869</c:v>
                </c:pt>
                <c:pt idx="616">
                  <c:v>44868</c:v>
                </c:pt>
                <c:pt idx="617">
                  <c:v>44867</c:v>
                </c:pt>
                <c:pt idx="618">
                  <c:v>44866</c:v>
                </c:pt>
                <c:pt idx="619">
                  <c:v>44865</c:v>
                </c:pt>
                <c:pt idx="620">
                  <c:v>44862</c:v>
                </c:pt>
                <c:pt idx="621">
                  <c:v>44861</c:v>
                </c:pt>
                <c:pt idx="622">
                  <c:v>44860</c:v>
                </c:pt>
                <c:pt idx="623">
                  <c:v>44859</c:v>
                </c:pt>
                <c:pt idx="624">
                  <c:v>44858</c:v>
                </c:pt>
                <c:pt idx="625">
                  <c:v>44855</c:v>
                </c:pt>
                <c:pt idx="626">
                  <c:v>44854</c:v>
                </c:pt>
                <c:pt idx="627">
                  <c:v>44853</c:v>
                </c:pt>
                <c:pt idx="628">
                  <c:v>44852</c:v>
                </c:pt>
                <c:pt idx="629">
                  <c:v>44851</c:v>
                </c:pt>
                <c:pt idx="630">
                  <c:v>44848</c:v>
                </c:pt>
                <c:pt idx="631">
                  <c:v>44847</c:v>
                </c:pt>
                <c:pt idx="632">
                  <c:v>44846</c:v>
                </c:pt>
                <c:pt idx="633">
                  <c:v>44845</c:v>
                </c:pt>
                <c:pt idx="634">
                  <c:v>44844</c:v>
                </c:pt>
                <c:pt idx="635">
                  <c:v>44841</c:v>
                </c:pt>
                <c:pt idx="636">
                  <c:v>44840</c:v>
                </c:pt>
                <c:pt idx="637">
                  <c:v>44839</c:v>
                </c:pt>
                <c:pt idx="638">
                  <c:v>44838</c:v>
                </c:pt>
                <c:pt idx="639">
                  <c:v>44837</c:v>
                </c:pt>
                <c:pt idx="640">
                  <c:v>44834</c:v>
                </c:pt>
                <c:pt idx="641">
                  <c:v>44833</c:v>
                </c:pt>
                <c:pt idx="642">
                  <c:v>44832</c:v>
                </c:pt>
                <c:pt idx="643">
                  <c:v>44831</c:v>
                </c:pt>
                <c:pt idx="644">
                  <c:v>44830</c:v>
                </c:pt>
                <c:pt idx="645">
                  <c:v>44827</c:v>
                </c:pt>
                <c:pt idx="646">
                  <c:v>44826</c:v>
                </c:pt>
                <c:pt idx="647">
                  <c:v>44825</c:v>
                </c:pt>
                <c:pt idx="648">
                  <c:v>44824</c:v>
                </c:pt>
                <c:pt idx="649">
                  <c:v>44823</c:v>
                </c:pt>
                <c:pt idx="650">
                  <c:v>44820</c:v>
                </c:pt>
                <c:pt idx="651">
                  <c:v>44819</c:v>
                </c:pt>
                <c:pt idx="652">
                  <c:v>44818</c:v>
                </c:pt>
                <c:pt idx="653">
                  <c:v>44817</c:v>
                </c:pt>
                <c:pt idx="654">
                  <c:v>44816</c:v>
                </c:pt>
                <c:pt idx="655">
                  <c:v>44813</c:v>
                </c:pt>
                <c:pt idx="656">
                  <c:v>44812</c:v>
                </c:pt>
                <c:pt idx="657">
                  <c:v>44811</c:v>
                </c:pt>
                <c:pt idx="658">
                  <c:v>44810</c:v>
                </c:pt>
                <c:pt idx="659">
                  <c:v>44809</c:v>
                </c:pt>
                <c:pt idx="660">
                  <c:v>44806</c:v>
                </c:pt>
                <c:pt idx="661">
                  <c:v>44805</c:v>
                </c:pt>
                <c:pt idx="662">
                  <c:v>44804</c:v>
                </c:pt>
                <c:pt idx="663">
                  <c:v>44803</c:v>
                </c:pt>
                <c:pt idx="664">
                  <c:v>44799</c:v>
                </c:pt>
                <c:pt idx="665">
                  <c:v>44798</c:v>
                </c:pt>
                <c:pt idx="666">
                  <c:v>44797</c:v>
                </c:pt>
                <c:pt idx="667">
                  <c:v>44796</c:v>
                </c:pt>
                <c:pt idx="668">
                  <c:v>44795</c:v>
                </c:pt>
                <c:pt idx="669">
                  <c:v>44792</c:v>
                </c:pt>
                <c:pt idx="670">
                  <c:v>44791</c:v>
                </c:pt>
                <c:pt idx="671">
                  <c:v>44790</c:v>
                </c:pt>
                <c:pt idx="672">
                  <c:v>44789</c:v>
                </c:pt>
                <c:pt idx="673">
                  <c:v>44788</c:v>
                </c:pt>
                <c:pt idx="674">
                  <c:v>44785</c:v>
                </c:pt>
                <c:pt idx="675">
                  <c:v>44784</c:v>
                </c:pt>
                <c:pt idx="676">
                  <c:v>44783</c:v>
                </c:pt>
                <c:pt idx="677">
                  <c:v>44782</c:v>
                </c:pt>
                <c:pt idx="678">
                  <c:v>44781</c:v>
                </c:pt>
                <c:pt idx="679">
                  <c:v>44778</c:v>
                </c:pt>
                <c:pt idx="680">
                  <c:v>44777</c:v>
                </c:pt>
                <c:pt idx="681">
                  <c:v>44776</c:v>
                </c:pt>
                <c:pt idx="682">
                  <c:v>44775</c:v>
                </c:pt>
                <c:pt idx="683">
                  <c:v>44774</c:v>
                </c:pt>
                <c:pt idx="684">
                  <c:v>44771</c:v>
                </c:pt>
                <c:pt idx="685">
                  <c:v>44770</c:v>
                </c:pt>
                <c:pt idx="686">
                  <c:v>44769</c:v>
                </c:pt>
                <c:pt idx="687">
                  <c:v>44768</c:v>
                </c:pt>
                <c:pt idx="688">
                  <c:v>44767</c:v>
                </c:pt>
                <c:pt idx="689">
                  <c:v>44764</c:v>
                </c:pt>
                <c:pt idx="690">
                  <c:v>44763</c:v>
                </c:pt>
                <c:pt idx="691">
                  <c:v>44762</c:v>
                </c:pt>
                <c:pt idx="692">
                  <c:v>44761</c:v>
                </c:pt>
                <c:pt idx="693">
                  <c:v>44760</c:v>
                </c:pt>
                <c:pt idx="694">
                  <c:v>44757</c:v>
                </c:pt>
                <c:pt idx="695">
                  <c:v>44756</c:v>
                </c:pt>
                <c:pt idx="696">
                  <c:v>44755</c:v>
                </c:pt>
                <c:pt idx="697">
                  <c:v>44754</c:v>
                </c:pt>
                <c:pt idx="698">
                  <c:v>44753</c:v>
                </c:pt>
                <c:pt idx="699">
                  <c:v>44750</c:v>
                </c:pt>
                <c:pt idx="700">
                  <c:v>44749</c:v>
                </c:pt>
                <c:pt idx="701">
                  <c:v>44748</c:v>
                </c:pt>
                <c:pt idx="702">
                  <c:v>44747</c:v>
                </c:pt>
                <c:pt idx="703">
                  <c:v>44746</c:v>
                </c:pt>
                <c:pt idx="704">
                  <c:v>44743</c:v>
                </c:pt>
                <c:pt idx="705">
                  <c:v>44742</c:v>
                </c:pt>
                <c:pt idx="706">
                  <c:v>44741</c:v>
                </c:pt>
                <c:pt idx="707">
                  <c:v>44740</c:v>
                </c:pt>
                <c:pt idx="708">
                  <c:v>44739</c:v>
                </c:pt>
                <c:pt idx="709">
                  <c:v>44736</c:v>
                </c:pt>
                <c:pt idx="710">
                  <c:v>44735</c:v>
                </c:pt>
                <c:pt idx="711">
                  <c:v>44734</c:v>
                </c:pt>
                <c:pt idx="712">
                  <c:v>44733</c:v>
                </c:pt>
                <c:pt idx="713">
                  <c:v>44732</c:v>
                </c:pt>
                <c:pt idx="714">
                  <c:v>44729</c:v>
                </c:pt>
                <c:pt idx="715">
                  <c:v>44728</c:v>
                </c:pt>
                <c:pt idx="716">
                  <c:v>44727</c:v>
                </c:pt>
                <c:pt idx="717">
                  <c:v>44726</c:v>
                </c:pt>
                <c:pt idx="718">
                  <c:v>44725</c:v>
                </c:pt>
                <c:pt idx="719">
                  <c:v>44722</c:v>
                </c:pt>
                <c:pt idx="720">
                  <c:v>44721</c:v>
                </c:pt>
                <c:pt idx="721">
                  <c:v>44720</c:v>
                </c:pt>
                <c:pt idx="722">
                  <c:v>44719</c:v>
                </c:pt>
                <c:pt idx="723">
                  <c:v>44718</c:v>
                </c:pt>
                <c:pt idx="724">
                  <c:v>44713</c:v>
                </c:pt>
                <c:pt idx="725">
                  <c:v>44712</c:v>
                </c:pt>
                <c:pt idx="726">
                  <c:v>44711</c:v>
                </c:pt>
                <c:pt idx="727">
                  <c:v>44708</c:v>
                </c:pt>
                <c:pt idx="728">
                  <c:v>44707</c:v>
                </c:pt>
                <c:pt idx="729">
                  <c:v>44706</c:v>
                </c:pt>
                <c:pt idx="730">
                  <c:v>44705</c:v>
                </c:pt>
                <c:pt idx="731">
                  <c:v>44704</c:v>
                </c:pt>
                <c:pt idx="732">
                  <c:v>44701</c:v>
                </c:pt>
                <c:pt idx="733">
                  <c:v>44700</c:v>
                </c:pt>
                <c:pt idx="734">
                  <c:v>44699</c:v>
                </c:pt>
                <c:pt idx="735">
                  <c:v>44698</c:v>
                </c:pt>
                <c:pt idx="736">
                  <c:v>44697</c:v>
                </c:pt>
                <c:pt idx="737">
                  <c:v>44694</c:v>
                </c:pt>
                <c:pt idx="738">
                  <c:v>44693</c:v>
                </c:pt>
                <c:pt idx="739">
                  <c:v>44692</c:v>
                </c:pt>
                <c:pt idx="740">
                  <c:v>44691</c:v>
                </c:pt>
                <c:pt idx="741">
                  <c:v>44690</c:v>
                </c:pt>
                <c:pt idx="742">
                  <c:v>44687</c:v>
                </c:pt>
                <c:pt idx="743">
                  <c:v>44686</c:v>
                </c:pt>
                <c:pt idx="744">
                  <c:v>44685</c:v>
                </c:pt>
                <c:pt idx="745">
                  <c:v>44684</c:v>
                </c:pt>
                <c:pt idx="746">
                  <c:v>44680</c:v>
                </c:pt>
                <c:pt idx="747">
                  <c:v>44679</c:v>
                </c:pt>
                <c:pt idx="748">
                  <c:v>44678</c:v>
                </c:pt>
                <c:pt idx="749">
                  <c:v>44677</c:v>
                </c:pt>
                <c:pt idx="750">
                  <c:v>44676</c:v>
                </c:pt>
                <c:pt idx="751">
                  <c:v>44673</c:v>
                </c:pt>
                <c:pt idx="752">
                  <c:v>44672</c:v>
                </c:pt>
                <c:pt idx="753">
                  <c:v>44671</c:v>
                </c:pt>
                <c:pt idx="754">
                  <c:v>44670</c:v>
                </c:pt>
                <c:pt idx="755">
                  <c:v>44665</c:v>
                </c:pt>
                <c:pt idx="756">
                  <c:v>44664</c:v>
                </c:pt>
                <c:pt idx="757">
                  <c:v>44663</c:v>
                </c:pt>
                <c:pt idx="758">
                  <c:v>44662</c:v>
                </c:pt>
                <c:pt idx="759">
                  <c:v>44659</c:v>
                </c:pt>
                <c:pt idx="760">
                  <c:v>44658</c:v>
                </c:pt>
                <c:pt idx="761">
                  <c:v>44657</c:v>
                </c:pt>
                <c:pt idx="762">
                  <c:v>44656</c:v>
                </c:pt>
                <c:pt idx="763">
                  <c:v>44655</c:v>
                </c:pt>
                <c:pt idx="764">
                  <c:v>44652</c:v>
                </c:pt>
                <c:pt idx="765">
                  <c:v>44651</c:v>
                </c:pt>
                <c:pt idx="766">
                  <c:v>44650</c:v>
                </c:pt>
                <c:pt idx="767">
                  <c:v>44649</c:v>
                </c:pt>
                <c:pt idx="768">
                  <c:v>44648</c:v>
                </c:pt>
                <c:pt idx="769">
                  <c:v>44645</c:v>
                </c:pt>
                <c:pt idx="770">
                  <c:v>44644</c:v>
                </c:pt>
                <c:pt idx="771">
                  <c:v>44643</c:v>
                </c:pt>
                <c:pt idx="772">
                  <c:v>44642</c:v>
                </c:pt>
                <c:pt idx="773">
                  <c:v>44641</c:v>
                </c:pt>
                <c:pt idx="774">
                  <c:v>44638</c:v>
                </c:pt>
                <c:pt idx="775">
                  <c:v>44637</c:v>
                </c:pt>
                <c:pt idx="776">
                  <c:v>44636</c:v>
                </c:pt>
                <c:pt idx="777">
                  <c:v>44635</c:v>
                </c:pt>
                <c:pt idx="778">
                  <c:v>44634</c:v>
                </c:pt>
                <c:pt idx="779">
                  <c:v>44631</c:v>
                </c:pt>
                <c:pt idx="780">
                  <c:v>44630</c:v>
                </c:pt>
                <c:pt idx="781">
                  <c:v>44629</c:v>
                </c:pt>
                <c:pt idx="782">
                  <c:v>44628</c:v>
                </c:pt>
                <c:pt idx="783">
                  <c:v>44627</c:v>
                </c:pt>
                <c:pt idx="784">
                  <c:v>44624</c:v>
                </c:pt>
                <c:pt idx="785">
                  <c:v>44623</c:v>
                </c:pt>
                <c:pt idx="786">
                  <c:v>44622</c:v>
                </c:pt>
                <c:pt idx="787">
                  <c:v>44621</c:v>
                </c:pt>
                <c:pt idx="788">
                  <c:v>44620</c:v>
                </c:pt>
                <c:pt idx="789">
                  <c:v>44617</c:v>
                </c:pt>
                <c:pt idx="790">
                  <c:v>44616</c:v>
                </c:pt>
                <c:pt idx="791">
                  <c:v>44615</c:v>
                </c:pt>
                <c:pt idx="792">
                  <c:v>44614</c:v>
                </c:pt>
                <c:pt idx="793">
                  <c:v>44613</c:v>
                </c:pt>
                <c:pt idx="794">
                  <c:v>44610</c:v>
                </c:pt>
                <c:pt idx="795">
                  <c:v>44609</c:v>
                </c:pt>
                <c:pt idx="796">
                  <c:v>44608</c:v>
                </c:pt>
                <c:pt idx="797">
                  <c:v>44607</c:v>
                </c:pt>
                <c:pt idx="798">
                  <c:v>44606</c:v>
                </c:pt>
                <c:pt idx="799">
                  <c:v>44603</c:v>
                </c:pt>
                <c:pt idx="800">
                  <c:v>44602</c:v>
                </c:pt>
                <c:pt idx="801">
                  <c:v>44601</c:v>
                </c:pt>
                <c:pt idx="802">
                  <c:v>44600</c:v>
                </c:pt>
                <c:pt idx="803">
                  <c:v>44599</c:v>
                </c:pt>
                <c:pt idx="804">
                  <c:v>44596</c:v>
                </c:pt>
                <c:pt idx="805">
                  <c:v>44595</c:v>
                </c:pt>
                <c:pt idx="806">
                  <c:v>44594</c:v>
                </c:pt>
                <c:pt idx="807">
                  <c:v>44593</c:v>
                </c:pt>
                <c:pt idx="808">
                  <c:v>44592</c:v>
                </c:pt>
                <c:pt idx="809">
                  <c:v>44589</c:v>
                </c:pt>
                <c:pt idx="810">
                  <c:v>44588</c:v>
                </c:pt>
                <c:pt idx="811">
                  <c:v>44587</c:v>
                </c:pt>
                <c:pt idx="812">
                  <c:v>44586</c:v>
                </c:pt>
                <c:pt idx="813">
                  <c:v>44585</c:v>
                </c:pt>
                <c:pt idx="814">
                  <c:v>44582</c:v>
                </c:pt>
                <c:pt idx="815">
                  <c:v>44581</c:v>
                </c:pt>
                <c:pt idx="816">
                  <c:v>44580</c:v>
                </c:pt>
                <c:pt idx="817">
                  <c:v>44579</c:v>
                </c:pt>
                <c:pt idx="818">
                  <c:v>44578</c:v>
                </c:pt>
                <c:pt idx="819">
                  <c:v>44575</c:v>
                </c:pt>
                <c:pt idx="820">
                  <c:v>44574</c:v>
                </c:pt>
                <c:pt idx="821">
                  <c:v>44573</c:v>
                </c:pt>
                <c:pt idx="822">
                  <c:v>44572</c:v>
                </c:pt>
                <c:pt idx="823">
                  <c:v>44571</c:v>
                </c:pt>
                <c:pt idx="824">
                  <c:v>44568</c:v>
                </c:pt>
                <c:pt idx="825">
                  <c:v>44567</c:v>
                </c:pt>
              </c:numCache>
            </c:numRef>
          </c:cat>
          <c:val>
            <c:numRef>
              <c:f>LME铜铝价格f48!$C$4:$C$829</c:f>
              <c:numCache>
                <c:formatCode>#,##0.00_ </c:formatCode>
                <c:ptCount val="826"/>
                <c:pt idx="0">
                  <c:v>2364</c:v>
                </c:pt>
                <c:pt idx="1">
                  <c:v>2343.5</c:v>
                </c:pt>
                <c:pt idx="2">
                  <c:v>2285</c:v>
                </c:pt>
                <c:pt idx="3">
                  <c:v>2366</c:v>
                </c:pt>
                <c:pt idx="4">
                  <c:v>2350</c:v>
                </c:pt>
                <c:pt idx="5">
                  <c:v>2355.5</c:v>
                </c:pt>
                <c:pt idx="6">
                  <c:v>2436.5</c:v>
                </c:pt>
                <c:pt idx="7">
                  <c:v>2480</c:v>
                </c:pt>
                <c:pt idx="8">
                  <c:v>2499</c:v>
                </c:pt>
                <c:pt idx="9">
                  <c:v>2518.5</c:v>
                </c:pt>
                <c:pt idx="10">
                  <c:v>2559</c:v>
                </c:pt>
                <c:pt idx="11">
                  <c:v>2557</c:v>
                </c:pt>
                <c:pt idx="12">
                  <c:v>2600</c:v>
                </c:pt>
                <c:pt idx="13">
                  <c:v>2608</c:v>
                </c:pt>
                <c:pt idx="14">
                  <c:v>2640.5</c:v>
                </c:pt>
                <c:pt idx="15">
                  <c:v>2652</c:v>
                </c:pt>
                <c:pt idx="16">
                  <c:v>2685.5</c:v>
                </c:pt>
                <c:pt idx="17">
                  <c:v>2687</c:v>
                </c:pt>
                <c:pt idx="18">
                  <c:v>2681</c:v>
                </c:pt>
                <c:pt idx="19">
                  <c:v>2715</c:v>
                </c:pt>
                <c:pt idx="20">
                  <c:v>2713</c:v>
                </c:pt>
                <c:pt idx="21">
                  <c:v>2694</c:v>
                </c:pt>
                <c:pt idx="22">
                  <c:v>2737</c:v>
                </c:pt>
                <c:pt idx="23">
                  <c:v>2725</c:v>
                </c:pt>
                <c:pt idx="24">
                  <c:v>2716</c:v>
                </c:pt>
                <c:pt idx="25">
                  <c:v>2693</c:v>
                </c:pt>
                <c:pt idx="26">
                  <c:v>2709</c:v>
                </c:pt>
                <c:pt idx="27">
                  <c:v>2653</c:v>
                </c:pt>
                <c:pt idx="28">
                  <c:v>2634</c:v>
                </c:pt>
                <c:pt idx="29">
                  <c:v>2624</c:v>
                </c:pt>
                <c:pt idx="30">
                  <c:v>2637.5</c:v>
                </c:pt>
                <c:pt idx="31">
                  <c:v>2655</c:v>
                </c:pt>
                <c:pt idx="32">
                  <c:v>2670.5</c:v>
                </c:pt>
                <c:pt idx="33">
                  <c:v>2669</c:v>
                </c:pt>
                <c:pt idx="34">
                  <c:v>2673</c:v>
                </c:pt>
                <c:pt idx="35">
                  <c:v>2702</c:v>
                </c:pt>
                <c:pt idx="36">
                  <c:v>2720</c:v>
                </c:pt>
                <c:pt idx="37">
                  <c:v>2709.5</c:v>
                </c:pt>
                <c:pt idx="38">
                  <c:v>2661</c:v>
                </c:pt>
                <c:pt idx="39">
                  <c:v>2660</c:v>
                </c:pt>
                <c:pt idx="40">
                  <c:v>2662</c:v>
                </c:pt>
                <c:pt idx="41">
                  <c:v>2627</c:v>
                </c:pt>
                <c:pt idx="42">
                  <c:v>2628.5</c:v>
                </c:pt>
                <c:pt idx="43">
                  <c:v>2647</c:v>
                </c:pt>
                <c:pt idx="44">
                  <c:v>2640</c:v>
                </c:pt>
                <c:pt idx="45">
                  <c:v>2639.5</c:v>
                </c:pt>
                <c:pt idx="46">
                  <c:v>2638</c:v>
                </c:pt>
                <c:pt idx="47">
                  <c:v>2610</c:v>
                </c:pt>
                <c:pt idx="48">
                  <c:v>2634</c:v>
                </c:pt>
                <c:pt idx="49">
                  <c:v>2584</c:v>
                </c:pt>
                <c:pt idx="50">
                  <c:v>2598</c:v>
                </c:pt>
                <c:pt idx="51">
                  <c:v>2617</c:v>
                </c:pt>
                <c:pt idx="52">
                  <c:v>2590.5</c:v>
                </c:pt>
                <c:pt idx="53">
                  <c:v>2572</c:v>
                </c:pt>
                <c:pt idx="54">
                  <c:v>2616.5</c:v>
                </c:pt>
                <c:pt idx="55">
                  <c:v>2640</c:v>
                </c:pt>
                <c:pt idx="56">
                  <c:v>2605.5</c:v>
                </c:pt>
                <c:pt idx="57">
                  <c:v>2611</c:v>
                </c:pt>
                <c:pt idx="58">
                  <c:v>2635.5</c:v>
                </c:pt>
                <c:pt idx="59">
                  <c:v>2675</c:v>
                </c:pt>
                <c:pt idx="60">
                  <c:v>2658.5</c:v>
                </c:pt>
                <c:pt idx="61">
                  <c:v>2628</c:v>
                </c:pt>
                <c:pt idx="62">
                  <c:v>2562</c:v>
                </c:pt>
                <c:pt idx="63">
                  <c:v>2554.5</c:v>
                </c:pt>
                <c:pt idx="64">
                  <c:v>2573</c:v>
                </c:pt>
                <c:pt idx="65">
                  <c:v>2560.5</c:v>
                </c:pt>
                <c:pt idx="66">
                  <c:v>2502.5</c:v>
                </c:pt>
                <c:pt idx="67">
                  <c:v>2474</c:v>
                </c:pt>
                <c:pt idx="68">
                  <c:v>2484</c:v>
                </c:pt>
                <c:pt idx="69">
                  <c:v>2480</c:v>
                </c:pt>
                <c:pt idx="70">
                  <c:v>2475</c:v>
                </c:pt>
                <c:pt idx="71">
                  <c:v>2536</c:v>
                </c:pt>
                <c:pt idx="72">
                  <c:v>2516.5</c:v>
                </c:pt>
                <c:pt idx="73">
                  <c:v>2529.5</c:v>
                </c:pt>
                <c:pt idx="74">
                  <c:v>2513</c:v>
                </c:pt>
                <c:pt idx="75">
                  <c:v>2541.5</c:v>
                </c:pt>
                <c:pt idx="76">
                  <c:v>2504</c:v>
                </c:pt>
                <c:pt idx="77">
                  <c:v>2483</c:v>
                </c:pt>
                <c:pt idx="78">
                  <c:v>2470</c:v>
                </c:pt>
                <c:pt idx="79">
                  <c:v>2483.5</c:v>
                </c:pt>
                <c:pt idx="80">
                  <c:v>2497</c:v>
                </c:pt>
                <c:pt idx="81">
                  <c:v>2543</c:v>
                </c:pt>
                <c:pt idx="82">
                  <c:v>2567.5</c:v>
                </c:pt>
                <c:pt idx="83">
                  <c:v>2555</c:v>
                </c:pt>
                <c:pt idx="84">
                  <c:v>2556</c:v>
                </c:pt>
                <c:pt idx="85">
                  <c:v>2553</c:v>
                </c:pt>
                <c:pt idx="86">
                  <c:v>2556</c:v>
                </c:pt>
                <c:pt idx="87">
                  <c:v>2555</c:v>
                </c:pt>
                <c:pt idx="88">
                  <c:v>2620.5</c:v>
                </c:pt>
                <c:pt idx="89">
                  <c:v>2583</c:v>
                </c:pt>
                <c:pt idx="90">
                  <c:v>2577</c:v>
                </c:pt>
                <c:pt idx="91">
                  <c:v>2564.5</c:v>
                </c:pt>
                <c:pt idx="92">
                  <c:v>2572</c:v>
                </c:pt>
                <c:pt idx="93">
                  <c:v>2564</c:v>
                </c:pt>
                <c:pt idx="94">
                  <c:v>2577</c:v>
                </c:pt>
                <c:pt idx="95">
                  <c:v>2590.5</c:v>
                </c:pt>
                <c:pt idx="96">
                  <c:v>2616</c:v>
                </c:pt>
                <c:pt idx="97">
                  <c:v>2589</c:v>
                </c:pt>
                <c:pt idx="98">
                  <c:v>2591</c:v>
                </c:pt>
                <c:pt idx="99">
                  <c:v>2654.5</c:v>
                </c:pt>
                <c:pt idx="100">
                  <c:v>2583.5</c:v>
                </c:pt>
                <c:pt idx="101">
                  <c:v>2563</c:v>
                </c:pt>
                <c:pt idx="102">
                  <c:v>2641</c:v>
                </c:pt>
                <c:pt idx="103">
                  <c:v>2504</c:v>
                </c:pt>
                <c:pt idx="104">
                  <c:v>2514</c:v>
                </c:pt>
                <c:pt idx="105">
                  <c:v>2530</c:v>
                </c:pt>
                <c:pt idx="106">
                  <c:v>2555</c:v>
                </c:pt>
                <c:pt idx="107">
                  <c:v>2600.5</c:v>
                </c:pt>
                <c:pt idx="108">
                  <c:v>2652.5</c:v>
                </c:pt>
                <c:pt idx="109">
                  <c:v>2549.5</c:v>
                </c:pt>
                <c:pt idx="110">
                  <c:v>2605.5</c:v>
                </c:pt>
                <c:pt idx="111">
                  <c:v>2581</c:v>
                </c:pt>
                <c:pt idx="112">
                  <c:v>2613.5</c:v>
                </c:pt>
                <c:pt idx="113">
                  <c:v>2617.5</c:v>
                </c:pt>
                <c:pt idx="114">
                  <c:v>2623</c:v>
                </c:pt>
                <c:pt idx="115">
                  <c:v>2617.5</c:v>
                </c:pt>
                <c:pt idx="116">
                  <c:v>2610</c:v>
                </c:pt>
                <c:pt idx="117">
                  <c:v>2600.5</c:v>
                </c:pt>
                <c:pt idx="118">
                  <c:v>2643</c:v>
                </c:pt>
                <c:pt idx="119">
                  <c:v>2625</c:v>
                </c:pt>
                <c:pt idx="120">
                  <c:v>2609</c:v>
                </c:pt>
                <c:pt idx="121">
                  <c:v>2582.5</c:v>
                </c:pt>
                <c:pt idx="122">
                  <c:v>2553</c:v>
                </c:pt>
                <c:pt idx="123">
                  <c:v>2524.5</c:v>
                </c:pt>
                <c:pt idx="124">
                  <c:v>2557.5</c:v>
                </c:pt>
                <c:pt idx="125">
                  <c:v>2522</c:v>
                </c:pt>
                <c:pt idx="126">
                  <c:v>2566</c:v>
                </c:pt>
                <c:pt idx="127">
                  <c:v>2645</c:v>
                </c:pt>
                <c:pt idx="128">
                  <c:v>2550.5</c:v>
                </c:pt>
                <c:pt idx="129">
                  <c:v>2530</c:v>
                </c:pt>
                <c:pt idx="130">
                  <c:v>2569</c:v>
                </c:pt>
                <c:pt idx="131">
                  <c:v>2655.5</c:v>
                </c:pt>
                <c:pt idx="132">
                  <c:v>2654</c:v>
                </c:pt>
                <c:pt idx="133">
                  <c:v>2638</c:v>
                </c:pt>
                <c:pt idx="134">
                  <c:v>2635</c:v>
                </c:pt>
                <c:pt idx="135">
                  <c:v>2635</c:v>
                </c:pt>
                <c:pt idx="136">
                  <c:v>2611</c:v>
                </c:pt>
                <c:pt idx="137">
                  <c:v>2609.5</c:v>
                </c:pt>
                <c:pt idx="138">
                  <c:v>2560</c:v>
                </c:pt>
                <c:pt idx="139">
                  <c:v>2512</c:v>
                </c:pt>
                <c:pt idx="140">
                  <c:v>2542</c:v>
                </c:pt>
                <c:pt idx="141">
                  <c:v>2455</c:v>
                </c:pt>
                <c:pt idx="142">
                  <c:v>2477</c:v>
                </c:pt>
                <c:pt idx="143">
                  <c:v>2523</c:v>
                </c:pt>
                <c:pt idx="144">
                  <c:v>2520</c:v>
                </c:pt>
                <c:pt idx="145">
                  <c:v>2505.5</c:v>
                </c:pt>
                <c:pt idx="146">
                  <c:v>2505</c:v>
                </c:pt>
                <c:pt idx="147">
                  <c:v>2405</c:v>
                </c:pt>
                <c:pt idx="148">
                  <c:v>2390.5</c:v>
                </c:pt>
                <c:pt idx="149">
                  <c:v>2354.5</c:v>
                </c:pt>
                <c:pt idx="150">
                  <c:v>2323</c:v>
                </c:pt>
                <c:pt idx="151">
                  <c:v>2318</c:v>
                </c:pt>
                <c:pt idx="152">
                  <c:v>2368</c:v>
                </c:pt>
                <c:pt idx="153">
                  <c:v>2366</c:v>
                </c:pt>
                <c:pt idx="154">
                  <c:v>2367.5</c:v>
                </c:pt>
                <c:pt idx="155">
                  <c:v>2382</c:v>
                </c:pt>
                <c:pt idx="156">
                  <c:v>2390.5</c:v>
                </c:pt>
                <c:pt idx="157">
                  <c:v>2463.5</c:v>
                </c:pt>
                <c:pt idx="158">
                  <c:v>2437.5</c:v>
                </c:pt>
                <c:pt idx="159">
                  <c:v>2479.5</c:v>
                </c:pt>
                <c:pt idx="160">
                  <c:v>2520</c:v>
                </c:pt>
                <c:pt idx="161">
                  <c:v>2499</c:v>
                </c:pt>
                <c:pt idx="162">
                  <c:v>2471</c:v>
                </c:pt>
                <c:pt idx="163">
                  <c:v>2443</c:v>
                </c:pt>
                <c:pt idx="164">
                  <c:v>2435</c:v>
                </c:pt>
                <c:pt idx="165">
                  <c:v>2369.5</c:v>
                </c:pt>
                <c:pt idx="166">
                  <c:v>2293.5</c:v>
                </c:pt>
                <c:pt idx="167">
                  <c:v>2301</c:v>
                </c:pt>
                <c:pt idx="168">
                  <c:v>2299</c:v>
                </c:pt>
                <c:pt idx="169">
                  <c:v>2256.5</c:v>
                </c:pt>
                <c:pt idx="170">
                  <c:v>2268</c:v>
                </c:pt>
                <c:pt idx="171">
                  <c:v>2263</c:v>
                </c:pt>
                <c:pt idx="172">
                  <c:v>2204.5</c:v>
                </c:pt>
                <c:pt idx="173">
                  <c:v>2202.5</c:v>
                </c:pt>
                <c:pt idx="174">
                  <c:v>2205</c:v>
                </c:pt>
                <c:pt idx="175">
                  <c:v>2167</c:v>
                </c:pt>
                <c:pt idx="176">
                  <c:v>2214.5</c:v>
                </c:pt>
                <c:pt idx="177">
                  <c:v>2228.5</c:v>
                </c:pt>
                <c:pt idx="178">
                  <c:v>2252</c:v>
                </c:pt>
                <c:pt idx="179">
                  <c:v>2161.5</c:v>
                </c:pt>
                <c:pt idx="180">
                  <c:v>2203.5</c:v>
                </c:pt>
                <c:pt idx="181">
                  <c:v>2229</c:v>
                </c:pt>
                <c:pt idx="182">
                  <c:v>2218.5</c:v>
                </c:pt>
                <c:pt idx="183">
                  <c:v>2266</c:v>
                </c:pt>
                <c:pt idx="184">
                  <c:v>2264</c:v>
                </c:pt>
                <c:pt idx="185">
                  <c:v>2259</c:v>
                </c:pt>
                <c:pt idx="186">
                  <c:v>2312</c:v>
                </c:pt>
                <c:pt idx="187">
                  <c:v>2335</c:v>
                </c:pt>
                <c:pt idx="188">
                  <c:v>2363</c:v>
                </c:pt>
                <c:pt idx="189">
                  <c:v>2377</c:v>
                </c:pt>
                <c:pt idx="190">
                  <c:v>2404</c:v>
                </c:pt>
                <c:pt idx="191">
                  <c:v>2422</c:v>
                </c:pt>
                <c:pt idx="192">
                  <c:v>2428.5</c:v>
                </c:pt>
                <c:pt idx="193">
                  <c:v>2432</c:v>
                </c:pt>
                <c:pt idx="194">
                  <c:v>2468.5</c:v>
                </c:pt>
                <c:pt idx="195">
                  <c:v>2475.5</c:v>
                </c:pt>
                <c:pt idx="196">
                  <c:v>2495.5</c:v>
                </c:pt>
                <c:pt idx="197">
                  <c:v>2493.5</c:v>
                </c:pt>
                <c:pt idx="198">
                  <c:v>2487</c:v>
                </c:pt>
                <c:pt idx="199">
                  <c:v>2489.5</c:v>
                </c:pt>
                <c:pt idx="200">
                  <c:v>2496.5</c:v>
                </c:pt>
                <c:pt idx="201">
                  <c:v>2485.5</c:v>
                </c:pt>
                <c:pt idx="202">
                  <c:v>2458.5</c:v>
                </c:pt>
                <c:pt idx="203">
                  <c:v>2444</c:v>
                </c:pt>
                <c:pt idx="204">
                  <c:v>2451.5</c:v>
                </c:pt>
                <c:pt idx="205">
                  <c:v>2454.5</c:v>
                </c:pt>
                <c:pt idx="206">
                  <c:v>2452.5</c:v>
                </c:pt>
                <c:pt idx="207">
                  <c:v>2461</c:v>
                </c:pt>
                <c:pt idx="208">
                  <c:v>2445</c:v>
                </c:pt>
                <c:pt idx="209">
                  <c:v>2427.5</c:v>
                </c:pt>
                <c:pt idx="210">
                  <c:v>2420.5</c:v>
                </c:pt>
                <c:pt idx="211">
                  <c:v>2465.5</c:v>
                </c:pt>
                <c:pt idx="212">
                  <c:v>2498</c:v>
                </c:pt>
                <c:pt idx="213">
                  <c:v>2476</c:v>
                </c:pt>
                <c:pt idx="214">
                  <c:v>2475</c:v>
                </c:pt>
                <c:pt idx="215">
                  <c:v>2515.5</c:v>
                </c:pt>
                <c:pt idx="216">
                  <c:v>2578.5</c:v>
                </c:pt>
                <c:pt idx="217">
                  <c:v>2587</c:v>
                </c:pt>
                <c:pt idx="218">
                  <c:v>2577</c:v>
                </c:pt>
                <c:pt idx="219">
                  <c:v>2603</c:v>
                </c:pt>
                <c:pt idx="220">
                  <c:v>2625</c:v>
                </c:pt>
                <c:pt idx="221">
                  <c:v>2677</c:v>
                </c:pt>
                <c:pt idx="222">
                  <c:v>2665.5</c:v>
                </c:pt>
                <c:pt idx="223">
                  <c:v>2695</c:v>
                </c:pt>
                <c:pt idx="224">
                  <c:v>2653</c:v>
                </c:pt>
                <c:pt idx="225">
                  <c:v>2599</c:v>
                </c:pt>
                <c:pt idx="226">
                  <c:v>2551</c:v>
                </c:pt>
                <c:pt idx="227">
                  <c:v>2625</c:v>
                </c:pt>
                <c:pt idx="228">
                  <c:v>2645</c:v>
                </c:pt>
                <c:pt idx="229">
                  <c:v>2568</c:v>
                </c:pt>
                <c:pt idx="230">
                  <c:v>2544</c:v>
                </c:pt>
                <c:pt idx="231">
                  <c:v>2538.5</c:v>
                </c:pt>
                <c:pt idx="232">
                  <c:v>2529.5</c:v>
                </c:pt>
                <c:pt idx="233">
                  <c:v>2477.5</c:v>
                </c:pt>
                <c:pt idx="234">
                  <c:v>2510</c:v>
                </c:pt>
                <c:pt idx="235">
                  <c:v>2515</c:v>
                </c:pt>
                <c:pt idx="236">
                  <c:v>2494</c:v>
                </c:pt>
                <c:pt idx="237">
                  <c:v>2488</c:v>
                </c:pt>
                <c:pt idx="238">
                  <c:v>2512.5</c:v>
                </c:pt>
                <c:pt idx="239">
                  <c:v>2517</c:v>
                </c:pt>
                <c:pt idx="240">
                  <c:v>2510</c:v>
                </c:pt>
                <c:pt idx="241">
                  <c:v>2554.5</c:v>
                </c:pt>
                <c:pt idx="242">
                  <c:v>2545</c:v>
                </c:pt>
                <c:pt idx="243">
                  <c:v>2536.5</c:v>
                </c:pt>
                <c:pt idx="244">
                  <c:v>2559.5</c:v>
                </c:pt>
                <c:pt idx="245">
                  <c:v>2586.5</c:v>
                </c:pt>
                <c:pt idx="246">
                  <c:v>2585.5</c:v>
                </c:pt>
                <c:pt idx="247">
                  <c:v>2585</c:v>
                </c:pt>
                <c:pt idx="248">
                  <c:v>2654</c:v>
                </c:pt>
                <c:pt idx="249">
                  <c:v>2645.5</c:v>
                </c:pt>
                <c:pt idx="250">
                  <c:v>2600</c:v>
                </c:pt>
                <c:pt idx="251">
                  <c:v>2581</c:v>
                </c:pt>
                <c:pt idx="252">
                  <c:v>2512</c:v>
                </c:pt>
                <c:pt idx="253">
                  <c:v>2520.5</c:v>
                </c:pt>
                <c:pt idx="254">
                  <c:v>2443</c:v>
                </c:pt>
                <c:pt idx="255">
                  <c:v>2410.5</c:v>
                </c:pt>
                <c:pt idx="256">
                  <c:v>2429</c:v>
                </c:pt>
                <c:pt idx="257">
                  <c:v>2403</c:v>
                </c:pt>
                <c:pt idx="258">
                  <c:v>2417</c:v>
                </c:pt>
                <c:pt idx="259">
                  <c:v>2391</c:v>
                </c:pt>
                <c:pt idx="260">
                  <c:v>2394.5</c:v>
                </c:pt>
                <c:pt idx="261">
                  <c:v>2334</c:v>
                </c:pt>
                <c:pt idx="262">
                  <c:v>2322.5</c:v>
                </c:pt>
                <c:pt idx="263">
                  <c:v>2270</c:v>
                </c:pt>
                <c:pt idx="264">
                  <c:v>2238</c:v>
                </c:pt>
                <c:pt idx="265">
                  <c:v>2275.5</c:v>
                </c:pt>
                <c:pt idx="266">
                  <c:v>2267.5</c:v>
                </c:pt>
                <c:pt idx="267">
                  <c:v>2246.5</c:v>
                </c:pt>
                <c:pt idx="268">
                  <c:v>2264</c:v>
                </c:pt>
                <c:pt idx="269">
                  <c:v>2231.5</c:v>
                </c:pt>
                <c:pt idx="270">
                  <c:v>2202.5</c:v>
                </c:pt>
                <c:pt idx="271">
                  <c:v>2224.5</c:v>
                </c:pt>
                <c:pt idx="272">
                  <c:v>2218.5</c:v>
                </c:pt>
                <c:pt idx="273">
                  <c:v>2205</c:v>
                </c:pt>
                <c:pt idx="274">
                  <c:v>2224</c:v>
                </c:pt>
                <c:pt idx="275">
                  <c:v>2213.5</c:v>
                </c:pt>
                <c:pt idx="276">
                  <c:v>2202</c:v>
                </c:pt>
                <c:pt idx="277">
                  <c:v>2209</c:v>
                </c:pt>
                <c:pt idx="278">
                  <c:v>2210</c:v>
                </c:pt>
                <c:pt idx="279">
                  <c:v>2187.5</c:v>
                </c:pt>
                <c:pt idx="280">
                  <c:v>2191.5</c:v>
                </c:pt>
                <c:pt idx="281">
                  <c:v>2182.5</c:v>
                </c:pt>
                <c:pt idx="282">
                  <c:v>2183.5</c:v>
                </c:pt>
                <c:pt idx="283">
                  <c:v>2163</c:v>
                </c:pt>
                <c:pt idx="284">
                  <c:v>2130</c:v>
                </c:pt>
                <c:pt idx="285">
                  <c:v>2146</c:v>
                </c:pt>
                <c:pt idx="286">
                  <c:v>2140.5</c:v>
                </c:pt>
                <c:pt idx="287">
                  <c:v>2157</c:v>
                </c:pt>
                <c:pt idx="288">
                  <c:v>2178.5</c:v>
                </c:pt>
                <c:pt idx="289">
                  <c:v>2211.5</c:v>
                </c:pt>
                <c:pt idx="290">
                  <c:v>2147.5</c:v>
                </c:pt>
                <c:pt idx="291">
                  <c:v>2185</c:v>
                </c:pt>
                <c:pt idx="292">
                  <c:v>2203</c:v>
                </c:pt>
                <c:pt idx="293">
                  <c:v>2205</c:v>
                </c:pt>
                <c:pt idx="294">
                  <c:v>2194</c:v>
                </c:pt>
                <c:pt idx="295">
                  <c:v>2204</c:v>
                </c:pt>
                <c:pt idx="296">
                  <c:v>2188</c:v>
                </c:pt>
                <c:pt idx="297">
                  <c:v>2180.5</c:v>
                </c:pt>
                <c:pt idx="298">
                  <c:v>2214.5</c:v>
                </c:pt>
                <c:pt idx="299">
                  <c:v>2195.5</c:v>
                </c:pt>
                <c:pt idx="300">
                  <c:v>2184.5</c:v>
                </c:pt>
                <c:pt idx="301">
                  <c:v>2183.5</c:v>
                </c:pt>
                <c:pt idx="302">
                  <c:v>2209.5</c:v>
                </c:pt>
                <c:pt idx="303">
                  <c:v>2212.5</c:v>
                </c:pt>
                <c:pt idx="304">
                  <c:v>2232</c:v>
                </c:pt>
                <c:pt idx="305">
                  <c:v>2226.5</c:v>
                </c:pt>
                <c:pt idx="306">
                  <c:v>2214</c:v>
                </c:pt>
                <c:pt idx="307">
                  <c:v>2212</c:v>
                </c:pt>
                <c:pt idx="308">
                  <c:v>2188.5</c:v>
                </c:pt>
                <c:pt idx="309">
                  <c:v>2207.5</c:v>
                </c:pt>
                <c:pt idx="310">
                  <c:v>2145</c:v>
                </c:pt>
                <c:pt idx="311">
                  <c:v>2110</c:v>
                </c:pt>
                <c:pt idx="312">
                  <c:v>2122</c:v>
                </c:pt>
                <c:pt idx="313">
                  <c:v>2130.5</c:v>
                </c:pt>
                <c:pt idx="314">
                  <c:v>2142</c:v>
                </c:pt>
                <c:pt idx="315">
                  <c:v>2158.5</c:v>
                </c:pt>
                <c:pt idx="316">
                  <c:v>2153</c:v>
                </c:pt>
                <c:pt idx="317">
                  <c:v>2175</c:v>
                </c:pt>
                <c:pt idx="318">
                  <c:v>2203</c:v>
                </c:pt>
                <c:pt idx="319">
                  <c:v>2204</c:v>
                </c:pt>
                <c:pt idx="320">
                  <c:v>2200</c:v>
                </c:pt>
                <c:pt idx="321">
                  <c:v>2205.5</c:v>
                </c:pt>
                <c:pt idx="322">
                  <c:v>2215.5</c:v>
                </c:pt>
                <c:pt idx="323">
                  <c:v>2235.5</c:v>
                </c:pt>
                <c:pt idx="324">
                  <c:v>2255.5</c:v>
                </c:pt>
                <c:pt idx="325">
                  <c:v>2336.5</c:v>
                </c:pt>
                <c:pt idx="326">
                  <c:v>2335.5</c:v>
                </c:pt>
                <c:pt idx="327">
                  <c:v>2313.5</c:v>
                </c:pt>
                <c:pt idx="328">
                  <c:v>2293.5</c:v>
                </c:pt>
                <c:pt idx="329">
                  <c:v>2234.5</c:v>
                </c:pt>
                <c:pt idx="330">
                  <c:v>2180</c:v>
                </c:pt>
                <c:pt idx="331">
                  <c:v>2192</c:v>
                </c:pt>
                <c:pt idx="332">
                  <c:v>2215.5</c:v>
                </c:pt>
                <c:pt idx="333">
                  <c:v>2213</c:v>
                </c:pt>
                <c:pt idx="334">
                  <c:v>2196</c:v>
                </c:pt>
                <c:pt idx="335">
                  <c:v>2137</c:v>
                </c:pt>
                <c:pt idx="336">
                  <c:v>2083</c:v>
                </c:pt>
                <c:pt idx="337">
                  <c:v>2090.5</c:v>
                </c:pt>
                <c:pt idx="338">
                  <c:v>2082.5</c:v>
                </c:pt>
                <c:pt idx="339">
                  <c:v>2111</c:v>
                </c:pt>
                <c:pt idx="340">
                  <c:v>2099</c:v>
                </c:pt>
                <c:pt idx="341">
                  <c:v>2117.5</c:v>
                </c:pt>
                <c:pt idx="342">
                  <c:v>2121.5</c:v>
                </c:pt>
                <c:pt idx="343">
                  <c:v>2148.5</c:v>
                </c:pt>
                <c:pt idx="344">
                  <c:v>2147.5</c:v>
                </c:pt>
                <c:pt idx="345">
                  <c:v>2157.5</c:v>
                </c:pt>
                <c:pt idx="346">
                  <c:v>2178</c:v>
                </c:pt>
                <c:pt idx="347">
                  <c:v>2164.5</c:v>
                </c:pt>
                <c:pt idx="348">
                  <c:v>2177</c:v>
                </c:pt>
                <c:pt idx="349">
                  <c:v>2179</c:v>
                </c:pt>
                <c:pt idx="350">
                  <c:v>2183</c:v>
                </c:pt>
                <c:pt idx="351">
                  <c:v>2194.5</c:v>
                </c:pt>
                <c:pt idx="352">
                  <c:v>2201.5</c:v>
                </c:pt>
                <c:pt idx="353">
                  <c:v>2192</c:v>
                </c:pt>
                <c:pt idx="354">
                  <c:v>2165</c:v>
                </c:pt>
                <c:pt idx="355">
                  <c:v>2182.5</c:v>
                </c:pt>
                <c:pt idx="356">
                  <c:v>2205</c:v>
                </c:pt>
                <c:pt idx="357">
                  <c:v>2194</c:v>
                </c:pt>
                <c:pt idx="358">
                  <c:v>2220.5</c:v>
                </c:pt>
                <c:pt idx="359">
                  <c:v>2205.5</c:v>
                </c:pt>
                <c:pt idx="360">
                  <c:v>2228</c:v>
                </c:pt>
                <c:pt idx="361">
                  <c:v>2258.5</c:v>
                </c:pt>
                <c:pt idx="362">
                  <c:v>2241</c:v>
                </c:pt>
                <c:pt idx="363">
                  <c:v>2254</c:v>
                </c:pt>
                <c:pt idx="364">
                  <c:v>2219.5</c:v>
                </c:pt>
                <c:pt idx="365">
                  <c:v>2218</c:v>
                </c:pt>
                <c:pt idx="366">
                  <c:v>2230.5</c:v>
                </c:pt>
                <c:pt idx="367">
                  <c:v>2235</c:v>
                </c:pt>
                <c:pt idx="368">
                  <c:v>2252</c:v>
                </c:pt>
                <c:pt idx="369">
                  <c:v>2170.5</c:v>
                </c:pt>
                <c:pt idx="370">
                  <c:v>2202.5</c:v>
                </c:pt>
                <c:pt idx="371">
                  <c:v>2188.5</c:v>
                </c:pt>
                <c:pt idx="372">
                  <c:v>2146.5</c:v>
                </c:pt>
                <c:pt idx="373">
                  <c:v>2144.5</c:v>
                </c:pt>
                <c:pt idx="374">
                  <c:v>2152</c:v>
                </c:pt>
                <c:pt idx="375">
                  <c:v>2150.5</c:v>
                </c:pt>
                <c:pt idx="376">
                  <c:v>2176.5</c:v>
                </c:pt>
                <c:pt idx="377">
                  <c:v>2148.5</c:v>
                </c:pt>
                <c:pt idx="378">
                  <c:v>2161.5</c:v>
                </c:pt>
                <c:pt idx="379">
                  <c:v>2176</c:v>
                </c:pt>
                <c:pt idx="380">
                  <c:v>2180.5</c:v>
                </c:pt>
                <c:pt idx="381">
                  <c:v>2179</c:v>
                </c:pt>
                <c:pt idx="382">
                  <c:v>2199</c:v>
                </c:pt>
                <c:pt idx="383">
                  <c:v>2193</c:v>
                </c:pt>
                <c:pt idx="384">
                  <c:v>2208</c:v>
                </c:pt>
                <c:pt idx="385">
                  <c:v>2195.5</c:v>
                </c:pt>
                <c:pt idx="386">
                  <c:v>2231</c:v>
                </c:pt>
                <c:pt idx="387">
                  <c:v>2257</c:v>
                </c:pt>
                <c:pt idx="388">
                  <c:v>2286.5</c:v>
                </c:pt>
                <c:pt idx="389">
                  <c:v>2307.5</c:v>
                </c:pt>
                <c:pt idx="390">
                  <c:v>2232</c:v>
                </c:pt>
                <c:pt idx="391">
                  <c:v>2196</c:v>
                </c:pt>
                <c:pt idx="392">
                  <c:v>2195</c:v>
                </c:pt>
                <c:pt idx="393">
                  <c:v>2182.5</c:v>
                </c:pt>
                <c:pt idx="394">
                  <c:v>2199.5</c:v>
                </c:pt>
                <c:pt idx="395">
                  <c:v>2166.5</c:v>
                </c:pt>
                <c:pt idx="396">
                  <c:v>2202</c:v>
                </c:pt>
                <c:pt idx="397">
                  <c:v>2174.5</c:v>
                </c:pt>
                <c:pt idx="398">
                  <c:v>2165</c:v>
                </c:pt>
                <c:pt idx="399">
                  <c:v>2155.5</c:v>
                </c:pt>
                <c:pt idx="400">
                  <c:v>2192.5</c:v>
                </c:pt>
                <c:pt idx="401">
                  <c:v>2156.5</c:v>
                </c:pt>
                <c:pt idx="402">
                  <c:v>2153</c:v>
                </c:pt>
                <c:pt idx="403">
                  <c:v>2154</c:v>
                </c:pt>
                <c:pt idx="404">
                  <c:v>2132.5</c:v>
                </c:pt>
                <c:pt idx="405">
                  <c:v>2135</c:v>
                </c:pt>
                <c:pt idx="406">
                  <c:v>2158</c:v>
                </c:pt>
                <c:pt idx="407">
                  <c:v>2136.5</c:v>
                </c:pt>
                <c:pt idx="408">
                  <c:v>2149.5</c:v>
                </c:pt>
                <c:pt idx="409">
                  <c:v>2184</c:v>
                </c:pt>
                <c:pt idx="410">
                  <c:v>2165.5</c:v>
                </c:pt>
                <c:pt idx="411">
                  <c:v>2140.5</c:v>
                </c:pt>
                <c:pt idx="412">
                  <c:v>2116.5</c:v>
                </c:pt>
                <c:pt idx="413">
                  <c:v>2124</c:v>
                </c:pt>
                <c:pt idx="414">
                  <c:v>2119.5</c:v>
                </c:pt>
                <c:pt idx="415">
                  <c:v>2129</c:v>
                </c:pt>
                <c:pt idx="416">
                  <c:v>2121.5</c:v>
                </c:pt>
                <c:pt idx="417">
                  <c:v>2068.5</c:v>
                </c:pt>
                <c:pt idx="418">
                  <c:v>2096</c:v>
                </c:pt>
                <c:pt idx="419">
                  <c:v>2131</c:v>
                </c:pt>
                <c:pt idx="420">
                  <c:v>2089</c:v>
                </c:pt>
                <c:pt idx="421">
                  <c:v>2085.5</c:v>
                </c:pt>
                <c:pt idx="422">
                  <c:v>2096</c:v>
                </c:pt>
                <c:pt idx="423">
                  <c:v>2127</c:v>
                </c:pt>
                <c:pt idx="424">
                  <c:v>2161.5</c:v>
                </c:pt>
                <c:pt idx="425">
                  <c:v>2153</c:v>
                </c:pt>
                <c:pt idx="426">
                  <c:v>2143</c:v>
                </c:pt>
                <c:pt idx="427">
                  <c:v>2178</c:v>
                </c:pt>
                <c:pt idx="428">
                  <c:v>2166</c:v>
                </c:pt>
                <c:pt idx="429">
                  <c:v>2147</c:v>
                </c:pt>
                <c:pt idx="430">
                  <c:v>2176.5</c:v>
                </c:pt>
                <c:pt idx="431">
                  <c:v>2217</c:v>
                </c:pt>
                <c:pt idx="432">
                  <c:v>2195.5</c:v>
                </c:pt>
                <c:pt idx="433">
                  <c:v>2161.5</c:v>
                </c:pt>
                <c:pt idx="434">
                  <c:v>2176</c:v>
                </c:pt>
                <c:pt idx="435">
                  <c:v>2170.5</c:v>
                </c:pt>
                <c:pt idx="436">
                  <c:v>2184</c:v>
                </c:pt>
                <c:pt idx="437">
                  <c:v>2155</c:v>
                </c:pt>
                <c:pt idx="438">
                  <c:v>2153.5</c:v>
                </c:pt>
                <c:pt idx="439">
                  <c:v>2172</c:v>
                </c:pt>
                <c:pt idx="440">
                  <c:v>2142</c:v>
                </c:pt>
                <c:pt idx="441">
                  <c:v>2169.5</c:v>
                </c:pt>
                <c:pt idx="442">
                  <c:v>2195</c:v>
                </c:pt>
                <c:pt idx="443">
                  <c:v>2225</c:v>
                </c:pt>
                <c:pt idx="444">
                  <c:v>2236</c:v>
                </c:pt>
                <c:pt idx="445">
                  <c:v>2147.5</c:v>
                </c:pt>
                <c:pt idx="446">
                  <c:v>2129</c:v>
                </c:pt>
                <c:pt idx="447">
                  <c:v>2096</c:v>
                </c:pt>
                <c:pt idx="448">
                  <c:v>2086</c:v>
                </c:pt>
                <c:pt idx="449">
                  <c:v>2103.5</c:v>
                </c:pt>
                <c:pt idx="450">
                  <c:v>2093</c:v>
                </c:pt>
                <c:pt idx="451">
                  <c:v>2102.5</c:v>
                </c:pt>
                <c:pt idx="452">
                  <c:v>2107</c:v>
                </c:pt>
                <c:pt idx="453">
                  <c:v>2096.5</c:v>
                </c:pt>
                <c:pt idx="454">
                  <c:v>2105.5</c:v>
                </c:pt>
                <c:pt idx="455">
                  <c:v>2141.5</c:v>
                </c:pt>
                <c:pt idx="456">
                  <c:v>2151.5</c:v>
                </c:pt>
                <c:pt idx="457">
                  <c:v>2116</c:v>
                </c:pt>
                <c:pt idx="458">
                  <c:v>2132.5</c:v>
                </c:pt>
                <c:pt idx="459">
                  <c:v>2190.5</c:v>
                </c:pt>
                <c:pt idx="460">
                  <c:v>2157</c:v>
                </c:pt>
                <c:pt idx="461">
                  <c:v>2184.5</c:v>
                </c:pt>
                <c:pt idx="462">
                  <c:v>2195</c:v>
                </c:pt>
                <c:pt idx="463">
                  <c:v>2224.5</c:v>
                </c:pt>
                <c:pt idx="464">
                  <c:v>2197</c:v>
                </c:pt>
                <c:pt idx="465">
                  <c:v>2200</c:v>
                </c:pt>
                <c:pt idx="466">
                  <c:v>2193.5</c:v>
                </c:pt>
                <c:pt idx="467">
                  <c:v>2188</c:v>
                </c:pt>
                <c:pt idx="468">
                  <c:v>2221</c:v>
                </c:pt>
                <c:pt idx="469">
                  <c:v>2187.5</c:v>
                </c:pt>
                <c:pt idx="470">
                  <c:v>2169</c:v>
                </c:pt>
                <c:pt idx="471">
                  <c:v>2172</c:v>
                </c:pt>
                <c:pt idx="472">
                  <c:v>2216</c:v>
                </c:pt>
                <c:pt idx="473">
                  <c:v>2263.5</c:v>
                </c:pt>
                <c:pt idx="474">
                  <c:v>2281</c:v>
                </c:pt>
                <c:pt idx="475">
                  <c:v>2255</c:v>
                </c:pt>
                <c:pt idx="476">
                  <c:v>2230</c:v>
                </c:pt>
                <c:pt idx="477">
                  <c:v>2242</c:v>
                </c:pt>
                <c:pt idx="478">
                  <c:v>2236</c:v>
                </c:pt>
                <c:pt idx="479">
                  <c:v>2234</c:v>
                </c:pt>
                <c:pt idx="480">
                  <c:v>2202</c:v>
                </c:pt>
                <c:pt idx="481">
                  <c:v>2262</c:v>
                </c:pt>
                <c:pt idx="482">
                  <c:v>2300</c:v>
                </c:pt>
                <c:pt idx="483">
                  <c:v>2312</c:v>
                </c:pt>
                <c:pt idx="484">
                  <c:v>2269</c:v>
                </c:pt>
                <c:pt idx="485">
                  <c:v>2235.5</c:v>
                </c:pt>
                <c:pt idx="486">
                  <c:v>2260.5</c:v>
                </c:pt>
                <c:pt idx="487">
                  <c:v>2230.5</c:v>
                </c:pt>
                <c:pt idx="488">
                  <c:v>2229</c:v>
                </c:pt>
                <c:pt idx="489">
                  <c:v>2276</c:v>
                </c:pt>
                <c:pt idx="490">
                  <c:v>2321</c:v>
                </c:pt>
                <c:pt idx="491">
                  <c:v>2277.5</c:v>
                </c:pt>
                <c:pt idx="492">
                  <c:v>2297</c:v>
                </c:pt>
                <c:pt idx="493">
                  <c:v>2330</c:v>
                </c:pt>
                <c:pt idx="494">
                  <c:v>2353</c:v>
                </c:pt>
                <c:pt idx="495">
                  <c:v>2342</c:v>
                </c:pt>
                <c:pt idx="496">
                  <c:v>2302</c:v>
                </c:pt>
                <c:pt idx="497">
                  <c:v>2339.5</c:v>
                </c:pt>
                <c:pt idx="498">
                  <c:v>2313</c:v>
                </c:pt>
                <c:pt idx="499">
                  <c:v>2354.5</c:v>
                </c:pt>
                <c:pt idx="500">
                  <c:v>2388.5</c:v>
                </c:pt>
                <c:pt idx="501">
                  <c:v>2410</c:v>
                </c:pt>
                <c:pt idx="502">
                  <c:v>2382</c:v>
                </c:pt>
                <c:pt idx="503">
                  <c:v>2401</c:v>
                </c:pt>
                <c:pt idx="504">
                  <c:v>2364.5</c:v>
                </c:pt>
                <c:pt idx="505">
                  <c:v>2356</c:v>
                </c:pt>
                <c:pt idx="506">
                  <c:v>2330</c:v>
                </c:pt>
                <c:pt idx="507">
                  <c:v>2258.5</c:v>
                </c:pt>
                <c:pt idx="508">
                  <c:v>2268</c:v>
                </c:pt>
                <c:pt idx="509">
                  <c:v>2300.5</c:v>
                </c:pt>
                <c:pt idx="510">
                  <c:v>2306</c:v>
                </c:pt>
                <c:pt idx="511">
                  <c:v>2341.5</c:v>
                </c:pt>
                <c:pt idx="512">
                  <c:v>2380.5</c:v>
                </c:pt>
                <c:pt idx="513">
                  <c:v>2336.5</c:v>
                </c:pt>
                <c:pt idx="514">
                  <c:v>2344</c:v>
                </c:pt>
                <c:pt idx="515">
                  <c:v>2366</c:v>
                </c:pt>
                <c:pt idx="516">
                  <c:v>2315</c:v>
                </c:pt>
                <c:pt idx="517">
                  <c:v>2298</c:v>
                </c:pt>
                <c:pt idx="518">
                  <c:v>2265</c:v>
                </c:pt>
                <c:pt idx="519">
                  <c:v>2265</c:v>
                </c:pt>
                <c:pt idx="520">
                  <c:v>2232</c:v>
                </c:pt>
                <c:pt idx="521">
                  <c:v>2235</c:v>
                </c:pt>
                <c:pt idx="522">
                  <c:v>2237.5</c:v>
                </c:pt>
                <c:pt idx="523">
                  <c:v>2232</c:v>
                </c:pt>
                <c:pt idx="524">
                  <c:v>2237.5</c:v>
                </c:pt>
                <c:pt idx="525">
                  <c:v>2246</c:v>
                </c:pt>
                <c:pt idx="526">
                  <c:v>2272</c:v>
                </c:pt>
                <c:pt idx="527">
                  <c:v>2236.5</c:v>
                </c:pt>
                <c:pt idx="528">
                  <c:v>2249</c:v>
                </c:pt>
                <c:pt idx="529">
                  <c:v>2291</c:v>
                </c:pt>
                <c:pt idx="530">
                  <c:v>2288.5</c:v>
                </c:pt>
                <c:pt idx="531">
                  <c:v>2312.5</c:v>
                </c:pt>
                <c:pt idx="532">
                  <c:v>2321.5</c:v>
                </c:pt>
                <c:pt idx="533">
                  <c:v>2361.5</c:v>
                </c:pt>
                <c:pt idx="534">
                  <c:v>2366.5</c:v>
                </c:pt>
                <c:pt idx="535">
                  <c:v>2364</c:v>
                </c:pt>
                <c:pt idx="536">
                  <c:v>2300</c:v>
                </c:pt>
                <c:pt idx="537">
                  <c:v>2314</c:v>
                </c:pt>
                <c:pt idx="538">
                  <c:v>2307</c:v>
                </c:pt>
                <c:pt idx="539">
                  <c:v>2368.5</c:v>
                </c:pt>
                <c:pt idx="540">
                  <c:v>2385.5</c:v>
                </c:pt>
                <c:pt idx="541">
                  <c:v>2430.5</c:v>
                </c:pt>
                <c:pt idx="542">
                  <c:v>2392</c:v>
                </c:pt>
                <c:pt idx="543">
                  <c:v>2335</c:v>
                </c:pt>
                <c:pt idx="544">
                  <c:v>2341.5</c:v>
                </c:pt>
                <c:pt idx="545">
                  <c:v>2367</c:v>
                </c:pt>
                <c:pt idx="546">
                  <c:v>2391</c:v>
                </c:pt>
                <c:pt idx="547">
                  <c:v>2382.5</c:v>
                </c:pt>
                <c:pt idx="548">
                  <c:v>2435</c:v>
                </c:pt>
                <c:pt idx="549">
                  <c:v>2424.5</c:v>
                </c:pt>
                <c:pt idx="550">
                  <c:v>2469</c:v>
                </c:pt>
                <c:pt idx="551">
                  <c:v>2472.5</c:v>
                </c:pt>
                <c:pt idx="552">
                  <c:v>2486.5</c:v>
                </c:pt>
                <c:pt idx="553">
                  <c:v>2560</c:v>
                </c:pt>
                <c:pt idx="554">
                  <c:v>2572.5</c:v>
                </c:pt>
                <c:pt idx="555">
                  <c:v>2611</c:v>
                </c:pt>
                <c:pt idx="556">
                  <c:v>2533.5</c:v>
                </c:pt>
                <c:pt idx="557">
                  <c:v>2577</c:v>
                </c:pt>
                <c:pt idx="558">
                  <c:v>2597</c:v>
                </c:pt>
                <c:pt idx="559">
                  <c:v>2598</c:v>
                </c:pt>
                <c:pt idx="560">
                  <c:v>2606</c:v>
                </c:pt>
                <c:pt idx="561">
                  <c:v>2594.5</c:v>
                </c:pt>
                <c:pt idx="562">
                  <c:v>2593</c:v>
                </c:pt>
                <c:pt idx="563">
                  <c:v>2585.5</c:v>
                </c:pt>
                <c:pt idx="564">
                  <c:v>2541</c:v>
                </c:pt>
                <c:pt idx="565">
                  <c:v>2636</c:v>
                </c:pt>
                <c:pt idx="566">
                  <c:v>2562.5</c:v>
                </c:pt>
                <c:pt idx="567">
                  <c:v>2603</c:v>
                </c:pt>
                <c:pt idx="568">
                  <c:v>2511</c:v>
                </c:pt>
                <c:pt idx="569">
                  <c:v>2447</c:v>
                </c:pt>
                <c:pt idx="570">
                  <c:v>2451</c:v>
                </c:pt>
                <c:pt idx="571">
                  <c:v>2397</c:v>
                </c:pt>
                <c:pt idx="572">
                  <c:v>2336.5</c:v>
                </c:pt>
                <c:pt idx="573">
                  <c:v>2242.5</c:v>
                </c:pt>
                <c:pt idx="574">
                  <c:v>2270</c:v>
                </c:pt>
                <c:pt idx="575">
                  <c:v>2250</c:v>
                </c:pt>
                <c:pt idx="576">
                  <c:v>2337.5</c:v>
                </c:pt>
                <c:pt idx="577">
                  <c:v>2360.5</c:v>
                </c:pt>
                <c:pt idx="578">
                  <c:v>2371.5</c:v>
                </c:pt>
                <c:pt idx="579">
                  <c:v>2343</c:v>
                </c:pt>
                <c:pt idx="580">
                  <c:v>2342</c:v>
                </c:pt>
                <c:pt idx="581">
                  <c:v>2362</c:v>
                </c:pt>
                <c:pt idx="582">
                  <c:v>2357</c:v>
                </c:pt>
                <c:pt idx="583">
                  <c:v>2329.5</c:v>
                </c:pt>
                <c:pt idx="584">
                  <c:v>2327</c:v>
                </c:pt>
                <c:pt idx="585">
                  <c:v>2354</c:v>
                </c:pt>
                <c:pt idx="586">
                  <c:v>2396</c:v>
                </c:pt>
                <c:pt idx="587">
                  <c:v>2379.5</c:v>
                </c:pt>
                <c:pt idx="588">
                  <c:v>2388</c:v>
                </c:pt>
                <c:pt idx="589">
                  <c:v>2390</c:v>
                </c:pt>
                <c:pt idx="590">
                  <c:v>2453.5</c:v>
                </c:pt>
                <c:pt idx="591">
                  <c:v>2468.5</c:v>
                </c:pt>
                <c:pt idx="592">
                  <c:v>2450.5</c:v>
                </c:pt>
                <c:pt idx="593">
                  <c:v>2461</c:v>
                </c:pt>
                <c:pt idx="594">
                  <c:v>2485</c:v>
                </c:pt>
                <c:pt idx="595">
                  <c:v>2448.5</c:v>
                </c:pt>
                <c:pt idx="596">
                  <c:v>2430.5</c:v>
                </c:pt>
                <c:pt idx="597">
                  <c:v>2387</c:v>
                </c:pt>
                <c:pt idx="598">
                  <c:v>2341.5</c:v>
                </c:pt>
                <c:pt idx="599">
                  <c:v>2315.5</c:v>
                </c:pt>
                <c:pt idx="600">
                  <c:v>2346</c:v>
                </c:pt>
                <c:pt idx="601">
                  <c:v>2344</c:v>
                </c:pt>
                <c:pt idx="602">
                  <c:v>2364</c:v>
                </c:pt>
                <c:pt idx="603">
                  <c:v>2394</c:v>
                </c:pt>
                <c:pt idx="604">
                  <c:v>2344</c:v>
                </c:pt>
                <c:pt idx="605">
                  <c:v>2369</c:v>
                </c:pt>
                <c:pt idx="606">
                  <c:v>2342.5</c:v>
                </c:pt>
                <c:pt idx="607">
                  <c:v>2393</c:v>
                </c:pt>
                <c:pt idx="608">
                  <c:v>2410</c:v>
                </c:pt>
                <c:pt idx="609">
                  <c:v>2392</c:v>
                </c:pt>
                <c:pt idx="610">
                  <c:v>2410</c:v>
                </c:pt>
                <c:pt idx="611">
                  <c:v>2272</c:v>
                </c:pt>
                <c:pt idx="612">
                  <c:v>2338</c:v>
                </c:pt>
                <c:pt idx="613">
                  <c:v>2327</c:v>
                </c:pt>
                <c:pt idx="614">
                  <c:v>2292</c:v>
                </c:pt>
                <c:pt idx="615">
                  <c:v>2306</c:v>
                </c:pt>
                <c:pt idx="616">
                  <c:v>2216</c:v>
                </c:pt>
                <c:pt idx="617">
                  <c:v>2227</c:v>
                </c:pt>
                <c:pt idx="618">
                  <c:v>2245.5</c:v>
                </c:pt>
                <c:pt idx="619">
                  <c:v>2197</c:v>
                </c:pt>
                <c:pt idx="620">
                  <c:v>2226</c:v>
                </c:pt>
                <c:pt idx="621">
                  <c:v>2297</c:v>
                </c:pt>
                <c:pt idx="622">
                  <c:v>2265.5</c:v>
                </c:pt>
                <c:pt idx="623">
                  <c:v>2170.5</c:v>
                </c:pt>
                <c:pt idx="624">
                  <c:v>2160</c:v>
                </c:pt>
                <c:pt idx="625">
                  <c:v>2155.5</c:v>
                </c:pt>
                <c:pt idx="626">
                  <c:v>2214</c:v>
                </c:pt>
                <c:pt idx="627">
                  <c:v>2169</c:v>
                </c:pt>
                <c:pt idx="628">
                  <c:v>2200.5</c:v>
                </c:pt>
                <c:pt idx="629">
                  <c:v>2240</c:v>
                </c:pt>
                <c:pt idx="630">
                  <c:v>2309</c:v>
                </c:pt>
                <c:pt idx="631">
                  <c:v>2374</c:v>
                </c:pt>
                <c:pt idx="632">
                  <c:v>2227</c:v>
                </c:pt>
                <c:pt idx="633">
                  <c:v>2218.5</c:v>
                </c:pt>
                <c:pt idx="634">
                  <c:v>2274</c:v>
                </c:pt>
                <c:pt idx="635">
                  <c:v>2342</c:v>
                </c:pt>
                <c:pt idx="636">
                  <c:v>2355</c:v>
                </c:pt>
                <c:pt idx="637">
                  <c:v>2289</c:v>
                </c:pt>
                <c:pt idx="638">
                  <c:v>2261.5</c:v>
                </c:pt>
                <c:pt idx="639">
                  <c:v>2164</c:v>
                </c:pt>
                <c:pt idx="640">
                  <c:v>2180</c:v>
                </c:pt>
                <c:pt idx="641">
                  <c:v>2261</c:v>
                </c:pt>
                <c:pt idx="642">
                  <c:v>2080</c:v>
                </c:pt>
                <c:pt idx="643">
                  <c:v>2106</c:v>
                </c:pt>
                <c:pt idx="644">
                  <c:v>2125.5</c:v>
                </c:pt>
                <c:pt idx="645">
                  <c:v>2153</c:v>
                </c:pt>
                <c:pt idx="646">
                  <c:v>2195.5</c:v>
                </c:pt>
                <c:pt idx="647">
                  <c:v>2191</c:v>
                </c:pt>
                <c:pt idx="648">
                  <c:v>2245.5</c:v>
                </c:pt>
                <c:pt idx="649">
                  <c:v>2232</c:v>
                </c:pt>
                <c:pt idx="650">
                  <c:v>2259</c:v>
                </c:pt>
                <c:pt idx="651">
                  <c:v>2272</c:v>
                </c:pt>
                <c:pt idx="652">
                  <c:v>2227.5</c:v>
                </c:pt>
                <c:pt idx="653">
                  <c:v>2309.5</c:v>
                </c:pt>
                <c:pt idx="654">
                  <c:v>2288.5</c:v>
                </c:pt>
                <c:pt idx="655">
                  <c:v>2280</c:v>
                </c:pt>
                <c:pt idx="656">
                  <c:v>2256</c:v>
                </c:pt>
                <c:pt idx="657">
                  <c:v>2230.5</c:v>
                </c:pt>
                <c:pt idx="658">
                  <c:v>2260</c:v>
                </c:pt>
                <c:pt idx="659">
                  <c:v>2290.5</c:v>
                </c:pt>
                <c:pt idx="660">
                  <c:v>2309</c:v>
                </c:pt>
                <c:pt idx="661">
                  <c:v>2306</c:v>
                </c:pt>
                <c:pt idx="662">
                  <c:v>2368.5</c:v>
                </c:pt>
                <c:pt idx="663">
                  <c:v>2406.5</c:v>
                </c:pt>
                <c:pt idx="664">
                  <c:v>2495</c:v>
                </c:pt>
                <c:pt idx="665">
                  <c:v>2442.5</c:v>
                </c:pt>
                <c:pt idx="666">
                  <c:v>2422</c:v>
                </c:pt>
                <c:pt idx="667">
                  <c:v>2438.5</c:v>
                </c:pt>
                <c:pt idx="668">
                  <c:v>2387.5</c:v>
                </c:pt>
                <c:pt idx="669">
                  <c:v>2376</c:v>
                </c:pt>
                <c:pt idx="670">
                  <c:v>2412</c:v>
                </c:pt>
                <c:pt idx="671">
                  <c:v>2414</c:v>
                </c:pt>
                <c:pt idx="672">
                  <c:v>2442</c:v>
                </c:pt>
                <c:pt idx="673">
                  <c:v>2389.5</c:v>
                </c:pt>
                <c:pt idx="674">
                  <c:v>2468.5</c:v>
                </c:pt>
                <c:pt idx="675">
                  <c:v>2498</c:v>
                </c:pt>
                <c:pt idx="676">
                  <c:v>2462.5</c:v>
                </c:pt>
                <c:pt idx="677">
                  <c:v>2488</c:v>
                </c:pt>
                <c:pt idx="678">
                  <c:v>2435.5</c:v>
                </c:pt>
                <c:pt idx="679">
                  <c:v>2447.5</c:v>
                </c:pt>
                <c:pt idx="680">
                  <c:v>2374</c:v>
                </c:pt>
                <c:pt idx="681">
                  <c:v>2403</c:v>
                </c:pt>
                <c:pt idx="682">
                  <c:v>2448.5</c:v>
                </c:pt>
                <c:pt idx="683">
                  <c:v>2469.5</c:v>
                </c:pt>
                <c:pt idx="684">
                  <c:v>2452</c:v>
                </c:pt>
                <c:pt idx="685">
                  <c:v>2458</c:v>
                </c:pt>
                <c:pt idx="686">
                  <c:v>2390.5</c:v>
                </c:pt>
                <c:pt idx="687">
                  <c:v>2437</c:v>
                </c:pt>
                <c:pt idx="688">
                  <c:v>2431.5</c:v>
                </c:pt>
                <c:pt idx="689">
                  <c:v>2460</c:v>
                </c:pt>
                <c:pt idx="690">
                  <c:v>2426</c:v>
                </c:pt>
                <c:pt idx="691">
                  <c:v>2456.5</c:v>
                </c:pt>
                <c:pt idx="692">
                  <c:v>2412</c:v>
                </c:pt>
                <c:pt idx="693">
                  <c:v>2377.5</c:v>
                </c:pt>
                <c:pt idx="694">
                  <c:v>2320.5</c:v>
                </c:pt>
                <c:pt idx="695">
                  <c:v>2329</c:v>
                </c:pt>
                <c:pt idx="696">
                  <c:v>2343</c:v>
                </c:pt>
                <c:pt idx="697">
                  <c:v>2358</c:v>
                </c:pt>
                <c:pt idx="698">
                  <c:v>2417</c:v>
                </c:pt>
                <c:pt idx="699">
                  <c:v>2399.5</c:v>
                </c:pt>
                <c:pt idx="700">
                  <c:v>2417.5</c:v>
                </c:pt>
                <c:pt idx="701">
                  <c:v>2358</c:v>
                </c:pt>
                <c:pt idx="702">
                  <c:v>2374</c:v>
                </c:pt>
                <c:pt idx="703">
                  <c:v>2431.5</c:v>
                </c:pt>
                <c:pt idx="704">
                  <c:v>2384</c:v>
                </c:pt>
                <c:pt idx="705">
                  <c:v>2397</c:v>
                </c:pt>
                <c:pt idx="706">
                  <c:v>2452</c:v>
                </c:pt>
                <c:pt idx="707">
                  <c:v>2500</c:v>
                </c:pt>
                <c:pt idx="708">
                  <c:v>2453</c:v>
                </c:pt>
                <c:pt idx="709">
                  <c:v>2436</c:v>
                </c:pt>
                <c:pt idx="710">
                  <c:v>2480</c:v>
                </c:pt>
                <c:pt idx="711">
                  <c:v>2455.5</c:v>
                </c:pt>
                <c:pt idx="712">
                  <c:v>2519.5</c:v>
                </c:pt>
                <c:pt idx="713">
                  <c:v>2462</c:v>
                </c:pt>
                <c:pt idx="714">
                  <c:v>2474</c:v>
                </c:pt>
                <c:pt idx="715">
                  <c:v>2500.5</c:v>
                </c:pt>
                <c:pt idx="716">
                  <c:v>2580</c:v>
                </c:pt>
                <c:pt idx="717">
                  <c:v>2588</c:v>
                </c:pt>
                <c:pt idx="718">
                  <c:v>2589.5</c:v>
                </c:pt>
                <c:pt idx="719">
                  <c:v>2695</c:v>
                </c:pt>
                <c:pt idx="720">
                  <c:v>2752.5</c:v>
                </c:pt>
                <c:pt idx="721">
                  <c:v>2765.5</c:v>
                </c:pt>
                <c:pt idx="722">
                  <c:v>2715</c:v>
                </c:pt>
                <c:pt idx="723">
                  <c:v>2742</c:v>
                </c:pt>
                <c:pt idx="724">
                  <c:v>2701.5</c:v>
                </c:pt>
                <c:pt idx="725">
                  <c:v>2816.5</c:v>
                </c:pt>
                <c:pt idx="726">
                  <c:v>2863</c:v>
                </c:pt>
                <c:pt idx="727">
                  <c:v>2823</c:v>
                </c:pt>
                <c:pt idx="728">
                  <c:v>2825.5</c:v>
                </c:pt>
                <c:pt idx="729">
                  <c:v>2829.5</c:v>
                </c:pt>
                <c:pt idx="730">
                  <c:v>2881</c:v>
                </c:pt>
                <c:pt idx="731">
                  <c:v>2963</c:v>
                </c:pt>
                <c:pt idx="732">
                  <c:v>2931</c:v>
                </c:pt>
                <c:pt idx="733">
                  <c:v>2826</c:v>
                </c:pt>
                <c:pt idx="734">
                  <c:v>2845</c:v>
                </c:pt>
                <c:pt idx="735">
                  <c:v>2836</c:v>
                </c:pt>
                <c:pt idx="736">
                  <c:v>2791</c:v>
                </c:pt>
                <c:pt idx="737">
                  <c:v>2723</c:v>
                </c:pt>
                <c:pt idx="738">
                  <c:v>2688</c:v>
                </c:pt>
                <c:pt idx="739">
                  <c:v>2737</c:v>
                </c:pt>
                <c:pt idx="740">
                  <c:v>2677</c:v>
                </c:pt>
                <c:pt idx="741">
                  <c:v>2708</c:v>
                </c:pt>
                <c:pt idx="742">
                  <c:v>2832.5</c:v>
                </c:pt>
                <c:pt idx="743">
                  <c:v>2917</c:v>
                </c:pt>
                <c:pt idx="744">
                  <c:v>2929</c:v>
                </c:pt>
                <c:pt idx="745">
                  <c:v>2911.5</c:v>
                </c:pt>
                <c:pt idx="746">
                  <c:v>3039</c:v>
                </c:pt>
                <c:pt idx="747">
                  <c:v>3065.5</c:v>
                </c:pt>
                <c:pt idx="748">
                  <c:v>3100</c:v>
                </c:pt>
                <c:pt idx="749">
                  <c:v>3102.5</c:v>
                </c:pt>
                <c:pt idx="750">
                  <c:v>3090</c:v>
                </c:pt>
                <c:pt idx="751">
                  <c:v>3244</c:v>
                </c:pt>
                <c:pt idx="752">
                  <c:v>3262</c:v>
                </c:pt>
                <c:pt idx="753">
                  <c:v>3240</c:v>
                </c:pt>
                <c:pt idx="754">
                  <c:v>3312</c:v>
                </c:pt>
                <c:pt idx="755">
                  <c:v>3237.5</c:v>
                </c:pt>
                <c:pt idx="756">
                  <c:v>3207</c:v>
                </c:pt>
                <c:pt idx="757">
                  <c:v>3214.5</c:v>
                </c:pt>
                <c:pt idx="758">
                  <c:v>3234.5</c:v>
                </c:pt>
                <c:pt idx="759">
                  <c:v>3395</c:v>
                </c:pt>
                <c:pt idx="760">
                  <c:v>3346</c:v>
                </c:pt>
                <c:pt idx="761">
                  <c:v>3443.5</c:v>
                </c:pt>
                <c:pt idx="762">
                  <c:v>3415</c:v>
                </c:pt>
                <c:pt idx="763">
                  <c:v>3444</c:v>
                </c:pt>
                <c:pt idx="764">
                  <c:v>3483</c:v>
                </c:pt>
                <c:pt idx="765">
                  <c:v>3503</c:v>
                </c:pt>
                <c:pt idx="766">
                  <c:v>3508</c:v>
                </c:pt>
                <c:pt idx="767">
                  <c:v>3583</c:v>
                </c:pt>
                <c:pt idx="768">
                  <c:v>3606</c:v>
                </c:pt>
                <c:pt idx="769">
                  <c:v>3583</c:v>
                </c:pt>
                <c:pt idx="770">
                  <c:v>3664</c:v>
                </c:pt>
                <c:pt idx="771">
                  <c:v>3560</c:v>
                </c:pt>
                <c:pt idx="772">
                  <c:v>3550.5</c:v>
                </c:pt>
                <c:pt idx="773">
                  <c:v>3518</c:v>
                </c:pt>
                <c:pt idx="774">
                  <c:v>3380.5</c:v>
                </c:pt>
                <c:pt idx="775">
                  <c:v>3288</c:v>
                </c:pt>
                <c:pt idx="776">
                  <c:v>3306</c:v>
                </c:pt>
                <c:pt idx="777">
                  <c:v>3217.5</c:v>
                </c:pt>
                <c:pt idx="778">
                  <c:v>3399</c:v>
                </c:pt>
                <c:pt idx="779">
                  <c:v>3472</c:v>
                </c:pt>
                <c:pt idx="780">
                  <c:v>3535</c:v>
                </c:pt>
                <c:pt idx="781">
                  <c:v>3532</c:v>
                </c:pt>
                <c:pt idx="782">
                  <c:v>3500.5</c:v>
                </c:pt>
                <c:pt idx="783">
                  <c:v>3984.5</c:v>
                </c:pt>
                <c:pt idx="784">
                  <c:v>3851</c:v>
                </c:pt>
                <c:pt idx="785">
                  <c:v>3728.5</c:v>
                </c:pt>
                <c:pt idx="786">
                  <c:v>3605</c:v>
                </c:pt>
                <c:pt idx="787">
                  <c:v>3495.5</c:v>
                </c:pt>
                <c:pt idx="788">
                  <c:v>3450</c:v>
                </c:pt>
                <c:pt idx="789">
                  <c:v>3355.5</c:v>
                </c:pt>
                <c:pt idx="790">
                  <c:v>3519</c:v>
                </c:pt>
                <c:pt idx="791">
                  <c:v>3323.5</c:v>
                </c:pt>
                <c:pt idx="792">
                  <c:v>3420</c:v>
                </c:pt>
                <c:pt idx="793">
                  <c:v>3315</c:v>
                </c:pt>
                <c:pt idx="794">
                  <c:v>3314</c:v>
                </c:pt>
                <c:pt idx="795">
                  <c:v>3294</c:v>
                </c:pt>
                <c:pt idx="796">
                  <c:v>3282</c:v>
                </c:pt>
                <c:pt idx="797">
                  <c:v>3223</c:v>
                </c:pt>
                <c:pt idx="798">
                  <c:v>3306</c:v>
                </c:pt>
                <c:pt idx="799">
                  <c:v>3200</c:v>
                </c:pt>
                <c:pt idx="800">
                  <c:v>3313</c:v>
                </c:pt>
                <c:pt idx="801">
                  <c:v>3248</c:v>
                </c:pt>
                <c:pt idx="802">
                  <c:v>3245</c:v>
                </c:pt>
                <c:pt idx="803">
                  <c:v>3148</c:v>
                </c:pt>
                <c:pt idx="804">
                  <c:v>3087</c:v>
                </c:pt>
                <c:pt idx="805">
                  <c:v>3058.5</c:v>
                </c:pt>
                <c:pt idx="806">
                  <c:v>3043</c:v>
                </c:pt>
                <c:pt idx="807">
                  <c:v>3072</c:v>
                </c:pt>
                <c:pt idx="808">
                  <c:v>3076</c:v>
                </c:pt>
                <c:pt idx="809">
                  <c:v>3110</c:v>
                </c:pt>
                <c:pt idx="810">
                  <c:v>3107</c:v>
                </c:pt>
                <c:pt idx="811">
                  <c:v>3093</c:v>
                </c:pt>
                <c:pt idx="812">
                  <c:v>3064</c:v>
                </c:pt>
                <c:pt idx="813">
                  <c:v>3044.5</c:v>
                </c:pt>
                <c:pt idx="814">
                  <c:v>3079.5</c:v>
                </c:pt>
                <c:pt idx="815">
                  <c:v>3109.5</c:v>
                </c:pt>
                <c:pt idx="816">
                  <c:v>3036</c:v>
                </c:pt>
                <c:pt idx="817">
                  <c:v>3006</c:v>
                </c:pt>
                <c:pt idx="818">
                  <c:v>3009</c:v>
                </c:pt>
                <c:pt idx="819">
                  <c:v>2977.5</c:v>
                </c:pt>
                <c:pt idx="820">
                  <c:v>2960</c:v>
                </c:pt>
                <c:pt idx="821">
                  <c:v>3003</c:v>
                </c:pt>
                <c:pt idx="822">
                  <c:v>2950</c:v>
                </c:pt>
                <c:pt idx="823">
                  <c:v>2923</c:v>
                </c:pt>
                <c:pt idx="824">
                  <c:v>2919.5</c:v>
                </c:pt>
                <c:pt idx="825">
                  <c:v>2912.5</c:v>
                </c:pt>
              </c:numCache>
            </c:numRef>
          </c:val>
          <c:smooth val="0"/>
          <c:extLst xmlns:c16r2="http://schemas.microsoft.com/office/drawing/2015/06/chart">
            <c:ext xmlns:c16="http://schemas.microsoft.com/office/drawing/2014/chart" uri="{C3380CC4-5D6E-409C-BE32-E72D297353CC}">
              <c16:uniqueId val="{00000001-DF0F-4679-A78E-87A1AB3909D4}"/>
            </c:ext>
          </c:extLst>
        </c:ser>
        <c:dLbls>
          <c:showLegendKey val="0"/>
          <c:showVal val="0"/>
          <c:showCatName val="0"/>
          <c:showSerName val="0"/>
          <c:showPercent val="0"/>
          <c:showBubbleSize val="0"/>
        </c:dLbls>
        <c:marker val="1"/>
        <c:smooth val="0"/>
        <c:axId val="380027648"/>
        <c:axId val="380029184"/>
      </c:lineChart>
      <c:dateAx>
        <c:axId val="380016128"/>
        <c:scaling>
          <c:orientation val="minMax"/>
        </c:scaling>
        <c:delete val="0"/>
        <c:axPos val="b"/>
        <c:numFmt formatCode="yyyy\-mm;@" sourceLinked="0"/>
        <c:majorTickMark val="out"/>
        <c:minorTickMark val="none"/>
        <c:tickLblPos val="low"/>
        <c:spPr>
          <a:ln w="12700" cap="flat" cmpd="sng" algn="ctr">
            <a:solidFill>
              <a:srgbClr val="000000"/>
            </a:solidFill>
            <a:prstDash val="solid"/>
            <a:round/>
          </a:ln>
        </c:spPr>
        <c:txPr>
          <a:bodyPr rot="2280000" spcFirstLastPara="0" vertOverflow="ellipsis" vert="horz" wrap="square" anchor="ctr" anchorCtr="1"/>
          <a:lstStyle/>
          <a:p>
            <a:pPr>
              <a:defRPr lang="zh-CN" sz="800" b="0" i="0" u="none" strike="noStrike" kern="1200" baseline="0">
                <a:solidFill>
                  <a:srgbClr val="000000"/>
                </a:solidFill>
                <a:latin typeface="Cambria Math" panose="02040503050406030204" pitchFamily="18" charset="0"/>
                <a:ea typeface="楷体" panose="02010609060101010101" pitchFamily="3" charset="-122"/>
                <a:cs typeface="Kaiti SC"/>
              </a:defRPr>
            </a:pPr>
            <a:endParaRPr lang="zh-CN"/>
          </a:p>
        </c:txPr>
        <c:crossAx val="380017664"/>
        <c:crosses val="autoZero"/>
        <c:auto val="0"/>
        <c:lblOffset val="100"/>
        <c:baseTimeUnit val="days"/>
        <c:majorUnit val="100"/>
        <c:majorTimeUnit val="days"/>
        <c:minorUnit val="30"/>
        <c:minorTimeUnit val="days"/>
      </c:dateAx>
      <c:valAx>
        <c:axId val="380017664"/>
        <c:scaling>
          <c:orientation val="minMax"/>
          <c:min val="5000"/>
        </c:scaling>
        <c:delete val="0"/>
        <c:axPos val="l"/>
        <c:numFmt formatCode="#,##0_ " sourceLinked="0"/>
        <c:majorTickMark val="out"/>
        <c:minorTickMark val="none"/>
        <c:tickLblPos val="nextTo"/>
        <c:spPr>
          <a:ln w="12700" cap="flat" cmpd="sng" algn="ctr">
            <a:solidFill>
              <a:srgbClr val="000000"/>
            </a:solidFill>
            <a:prstDash val="solid"/>
            <a:round/>
          </a:ln>
        </c:spPr>
        <c:txPr>
          <a:bodyPr rot="0" spcFirstLastPara="0" vertOverflow="ellipsis" vert="horz" wrap="square" anchor="ctr" anchorCtr="1"/>
          <a:lstStyle/>
          <a:p>
            <a:pPr>
              <a:defRPr lang="zh-CN" sz="800" b="0" i="0" u="none" strike="noStrike" kern="1200" baseline="0">
                <a:solidFill>
                  <a:srgbClr val="000000"/>
                </a:solidFill>
                <a:latin typeface="Cambria Math" panose="02040503050406030204" pitchFamily="18" charset="0"/>
                <a:ea typeface="楷体" panose="02010609060101010101" pitchFamily="3" charset="-122"/>
                <a:cs typeface="Kaiti SC"/>
              </a:defRPr>
            </a:pPr>
            <a:endParaRPr lang="zh-CN"/>
          </a:p>
        </c:txPr>
        <c:crossAx val="380016128"/>
        <c:crosses val="autoZero"/>
        <c:crossBetween val="between"/>
      </c:valAx>
      <c:dateAx>
        <c:axId val="380027648"/>
        <c:scaling>
          <c:orientation val="minMax"/>
        </c:scaling>
        <c:delete val="1"/>
        <c:axPos val="b"/>
        <c:numFmt formatCode="yyyy\-mm\-dd" sourceLinked="1"/>
        <c:majorTickMark val="out"/>
        <c:minorTickMark val="none"/>
        <c:tickLblPos val="nextTo"/>
        <c:crossAx val="380029184"/>
        <c:crosses val="autoZero"/>
        <c:auto val="1"/>
        <c:lblOffset val="100"/>
        <c:baseTimeUnit val="days"/>
      </c:dateAx>
      <c:valAx>
        <c:axId val="380029184"/>
        <c:scaling>
          <c:orientation val="minMax"/>
          <c:min val="1500"/>
        </c:scaling>
        <c:delete val="0"/>
        <c:axPos val="r"/>
        <c:numFmt formatCode="#,##0_ " sourceLinked="0"/>
        <c:majorTickMark val="out"/>
        <c:minorTickMark val="none"/>
        <c:tickLblPos val="nextTo"/>
        <c:spPr>
          <a:ln w="12700" cap="flat" cmpd="sng" algn="ctr">
            <a:solidFill>
              <a:srgbClr val="000000"/>
            </a:solidFill>
            <a:prstDash val="solid"/>
            <a:round/>
          </a:ln>
        </c:spPr>
        <c:txPr>
          <a:bodyPr rot="0" spcFirstLastPara="0" vertOverflow="ellipsis" vert="horz" wrap="square" anchor="ctr" anchorCtr="1"/>
          <a:lstStyle/>
          <a:p>
            <a:pPr>
              <a:defRPr lang="zh-CN" sz="800" b="0" i="0" u="none" strike="noStrike" kern="1200" baseline="0">
                <a:solidFill>
                  <a:srgbClr val="000000"/>
                </a:solidFill>
                <a:latin typeface="Cambria Math" panose="02040503050406030204" pitchFamily="18" charset="0"/>
                <a:ea typeface="楷体" panose="02010609060101010101" pitchFamily="3" charset="-122"/>
                <a:cs typeface="Kaiti SC"/>
              </a:defRPr>
            </a:pPr>
            <a:endParaRPr lang="zh-CN"/>
          </a:p>
        </c:txPr>
        <c:crossAx val="380027648"/>
        <c:crosses val="max"/>
        <c:crossBetween val="between"/>
      </c:valAx>
      <c:spPr>
        <a:noFill/>
        <a:ln w="25400">
          <a:noFill/>
        </a:ln>
      </c:spPr>
    </c:plotArea>
    <c:legend>
      <c:legendPos val="r"/>
      <c:layout>
        <c:manualLayout>
          <c:xMode val="edge"/>
          <c:yMode val="edge"/>
          <c:x val="0.15594225721784799"/>
          <c:y val="3.8533464566929097E-2"/>
          <c:w val="0.70960892388451402"/>
          <c:h val="8.6241615631379401E-2"/>
        </c:manualLayout>
      </c:layout>
      <c:overlay val="0"/>
      <c:spPr>
        <a:noFill/>
        <a:ln w="25400">
          <a:noFill/>
        </a:ln>
      </c:spPr>
      <c:txPr>
        <a:bodyPr rot="0" spcFirstLastPara="0" vertOverflow="ellipsis" vert="horz" wrap="square" anchor="ctr" anchorCtr="1"/>
        <a:lstStyle/>
        <a:p>
          <a:pPr>
            <a:defRPr lang="zh-CN" sz="800" b="0" i="0" u="none" strike="noStrike" kern="1200" baseline="0">
              <a:solidFill>
                <a:srgbClr val="000000"/>
              </a:solidFill>
              <a:latin typeface="Cambria Math" panose="02040503050406030204" pitchFamily="18" charset="0"/>
              <a:ea typeface="楷体" panose="02010609060101010101" pitchFamily="3" charset="-122"/>
              <a:cs typeface="Kaiti SC"/>
            </a:defRPr>
          </a:pPr>
          <a:endParaRPr lang="zh-CN"/>
        </a:p>
      </c:txPr>
    </c:legend>
    <c:plotVisOnly val="1"/>
    <c:dispBlanksAs val="gap"/>
    <c:showDLblsOverMax val="0"/>
    <c:extLst xmlns:c16r2="http://schemas.microsoft.com/office/drawing/2015/06/chart">
      <c:ext uri="{0b15fc19-7d7d-44ad-8c2d-2c3a37ce22c3}">
        <chartProps xmlns="https://web.wps.cn/et/2018/main" chartId="{5f133e57-7540-4265-ade7-bcbd9f780a0e}"/>
      </c:ext>
    </c:extLst>
  </c:chart>
  <c:spPr>
    <a:solidFill>
      <a:schemeClr val="bg1"/>
    </a:solidFill>
    <a:ln w="9525" cap="flat" cmpd="sng" algn="ctr">
      <a:noFill/>
      <a:prstDash val="solid"/>
      <a:round/>
    </a:ln>
    <a:effectLst/>
  </c:spPr>
  <c:txPr>
    <a:bodyPr/>
    <a:lstStyle/>
    <a:p>
      <a:pPr>
        <a:defRPr lang="zh-CN" sz="800" b="0" i="0" u="none" strike="noStrike" baseline="0">
          <a:solidFill>
            <a:srgbClr val="000000"/>
          </a:solidFill>
          <a:latin typeface="Cambria Math" panose="02040503050406030204" pitchFamily="18" charset="0"/>
          <a:ea typeface="楷体" panose="02010609060101010101" pitchFamily="3" charset="-122"/>
          <a:cs typeface="Kaiti SC"/>
        </a:defRPr>
      </a:pPr>
      <a:endParaRPr lang="zh-CN"/>
    </a:p>
  </c:txPr>
  <c:externalData r:id="rId2">
    <c:autoUpdate val="0"/>
  </c:externalData>
  <c:userShapes r:id="rId3"/>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6410968595648"/>
          <c:y val="0.10812630415657901"/>
          <c:w val="0.69324636519125105"/>
          <c:h val="0.69317378297525201"/>
        </c:manualLayout>
      </c:layout>
      <c:lineChart>
        <c:grouping val="standard"/>
        <c:varyColors val="0"/>
        <c:ser>
          <c:idx val="0"/>
          <c:order val="0"/>
          <c:tx>
            <c:strRef>
              <c:f>铜库存f49!$B$2</c:f>
              <c:strCache>
                <c:ptCount val="1"/>
                <c:pt idx="0">
                  <c:v>伦敦LME</c:v>
                </c:pt>
              </c:strCache>
            </c:strRef>
          </c:tx>
          <c:spPr>
            <a:ln w="19050" cap="rnd" cmpd="sng" algn="ctr">
              <a:solidFill>
                <a:srgbClr val="D17F7D"/>
              </a:solidFill>
              <a:prstDash val="solid"/>
              <a:round/>
            </a:ln>
            <a:effectLst/>
          </c:spPr>
          <c:marker>
            <c:symbol val="none"/>
          </c:marker>
          <c:cat>
            <c:numRef>
              <c:f>铜库存f49!$A$3:$A$62</c:f>
              <c:numCache>
                <c:formatCode>yyyy\-mm</c:formatCode>
                <c:ptCount val="60"/>
                <c:pt idx="0">
                  <c:v>45777</c:v>
                </c:pt>
                <c:pt idx="1">
                  <c:v>45747</c:v>
                </c:pt>
                <c:pt idx="2">
                  <c:v>45716</c:v>
                </c:pt>
                <c:pt idx="3">
                  <c:v>45688</c:v>
                </c:pt>
                <c:pt idx="4">
                  <c:v>45657</c:v>
                </c:pt>
                <c:pt idx="5">
                  <c:v>45626</c:v>
                </c:pt>
                <c:pt idx="6">
                  <c:v>45596</c:v>
                </c:pt>
                <c:pt idx="7">
                  <c:v>45565</c:v>
                </c:pt>
                <c:pt idx="8">
                  <c:v>45535</c:v>
                </c:pt>
                <c:pt idx="9">
                  <c:v>45504</c:v>
                </c:pt>
                <c:pt idx="10">
                  <c:v>45473</c:v>
                </c:pt>
                <c:pt idx="11">
                  <c:v>45443</c:v>
                </c:pt>
                <c:pt idx="12">
                  <c:v>45412</c:v>
                </c:pt>
                <c:pt idx="13">
                  <c:v>45382</c:v>
                </c:pt>
                <c:pt idx="14">
                  <c:v>45351</c:v>
                </c:pt>
                <c:pt idx="15">
                  <c:v>45322</c:v>
                </c:pt>
                <c:pt idx="16">
                  <c:v>45291</c:v>
                </c:pt>
                <c:pt idx="17">
                  <c:v>45260</c:v>
                </c:pt>
                <c:pt idx="18">
                  <c:v>45230</c:v>
                </c:pt>
                <c:pt idx="19">
                  <c:v>45199</c:v>
                </c:pt>
                <c:pt idx="20">
                  <c:v>45169</c:v>
                </c:pt>
                <c:pt idx="21">
                  <c:v>45138</c:v>
                </c:pt>
                <c:pt idx="22">
                  <c:v>45107</c:v>
                </c:pt>
                <c:pt idx="23">
                  <c:v>45077</c:v>
                </c:pt>
                <c:pt idx="24">
                  <c:v>45046</c:v>
                </c:pt>
                <c:pt idx="25">
                  <c:v>45016</c:v>
                </c:pt>
                <c:pt idx="26">
                  <c:v>44985</c:v>
                </c:pt>
                <c:pt idx="27">
                  <c:v>44957</c:v>
                </c:pt>
                <c:pt idx="28">
                  <c:v>44926</c:v>
                </c:pt>
                <c:pt idx="29">
                  <c:v>44895</c:v>
                </c:pt>
                <c:pt idx="30">
                  <c:v>44865</c:v>
                </c:pt>
                <c:pt idx="31">
                  <c:v>44834</c:v>
                </c:pt>
                <c:pt idx="32">
                  <c:v>44804</c:v>
                </c:pt>
                <c:pt idx="33">
                  <c:v>44773</c:v>
                </c:pt>
                <c:pt idx="34">
                  <c:v>44742</c:v>
                </c:pt>
                <c:pt idx="35">
                  <c:v>44712</c:v>
                </c:pt>
                <c:pt idx="36">
                  <c:v>44681</c:v>
                </c:pt>
                <c:pt idx="37">
                  <c:v>44651</c:v>
                </c:pt>
                <c:pt idx="38">
                  <c:v>44620</c:v>
                </c:pt>
                <c:pt idx="39">
                  <c:v>44592</c:v>
                </c:pt>
                <c:pt idx="40">
                  <c:v>44561</c:v>
                </c:pt>
                <c:pt idx="41">
                  <c:v>44530</c:v>
                </c:pt>
                <c:pt idx="42">
                  <c:v>44500</c:v>
                </c:pt>
                <c:pt idx="43">
                  <c:v>44469</c:v>
                </c:pt>
                <c:pt idx="44">
                  <c:v>44439</c:v>
                </c:pt>
                <c:pt idx="45">
                  <c:v>44408</c:v>
                </c:pt>
                <c:pt idx="46">
                  <c:v>44377</c:v>
                </c:pt>
                <c:pt idx="47">
                  <c:v>44347</c:v>
                </c:pt>
                <c:pt idx="48">
                  <c:v>44316</c:v>
                </c:pt>
                <c:pt idx="49">
                  <c:v>44286</c:v>
                </c:pt>
                <c:pt idx="50">
                  <c:v>44255</c:v>
                </c:pt>
                <c:pt idx="51">
                  <c:v>44227</c:v>
                </c:pt>
                <c:pt idx="52">
                  <c:v>44196</c:v>
                </c:pt>
                <c:pt idx="53">
                  <c:v>44165</c:v>
                </c:pt>
                <c:pt idx="54">
                  <c:v>44135</c:v>
                </c:pt>
                <c:pt idx="55">
                  <c:v>44104</c:v>
                </c:pt>
                <c:pt idx="56">
                  <c:v>44074</c:v>
                </c:pt>
                <c:pt idx="57">
                  <c:v>44043</c:v>
                </c:pt>
                <c:pt idx="58">
                  <c:v>44012</c:v>
                </c:pt>
                <c:pt idx="59">
                  <c:v>43982</c:v>
                </c:pt>
              </c:numCache>
            </c:numRef>
          </c:cat>
          <c:val>
            <c:numRef>
              <c:f>铜库存f49!$B$3:$B$62</c:f>
              <c:numCache>
                <c:formatCode>#,##0.00_ </c:formatCode>
                <c:ptCount val="60"/>
                <c:pt idx="0">
                  <c:v>208775</c:v>
                </c:pt>
                <c:pt idx="1">
                  <c:v>211375</c:v>
                </c:pt>
                <c:pt idx="2">
                  <c:v>262075</c:v>
                </c:pt>
                <c:pt idx="3">
                  <c:v>256225</c:v>
                </c:pt>
                <c:pt idx="4">
                  <c:v>271400</c:v>
                </c:pt>
                <c:pt idx="5">
                  <c:v>271000</c:v>
                </c:pt>
                <c:pt idx="6">
                  <c:v>271375</c:v>
                </c:pt>
                <c:pt idx="7">
                  <c:v>300600</c:v>
                </c:pt>
                <c:pt idx="8">
                  <c:v>320925</c:v>
                </c:pt>
                <c:pt idx="9">
                  <c:v>239275</c:v>
                </c:pt>
                <c:pt idx="10">
                  <c:v>180125</c:v>
                </c:pt>
                <c:pt idx="11">
                  <c:v>116475</c:v>
                </c:pt>
                <c:pt idx="12">
                  <c:v>116125</c:v>
                </c:pt>
                <c:pt idx="13">
                  <c:v>112475</c:v>
                </c:pt>
                <c:pt idx="14">
                  <c:v>122675</c:v>
                </c:pt>
                <c:pt idx="15">
                  <c:v>146475</c:v>
                </c:pt>
                <c:pt idx="16">
                  <c:v>167300</c:v>
                </c:pt>
                <c:pt idx="17">
                  <c:v>175250</c:v>
                </c:pt>
                <c:pt idx="18">
                  <c:v>176475</c:v>
                </c:pt>
                <c:pt idx="19">
                  <c:v>167825</c:v>
                </c:pt>
                <c:pt idx="20">
                  <c:v>102900</c:v>
                </c:pt>
                <c:pt idx="21">
                  <c:v>68350</c:v>
                </c:pt>
                <c:pt idx="22">
                  <c:v>72975</c:v>
                </c:pt>
                <c:pt idx="23">
                  <c:v>99150</c:v>
                </c:pt>
                <c:pt idx="24">
                  <c:v>64550</c:v>
                </c:pt>
                <c:pt idx="25">
                  <c:v>64725</c:v>
                </c:pt>
                <c:pt idx="26">
                  <c:v>64100</c:v>
                </c:pt>
                <c:pt idx="27">
                  <c:v>75225</c:v>
                </c:pt>
                <c:pt idx="28">
                  <c:v>88925</c:v>
                </c:pt>
                <c:pt idx="29">
                  <c:v>89700</c:v>
                </c:pt>
                <c:pt idx="30">
                  <c:v>113125</c:v>
                </c:pt>
                <c:pt idx="31">
                  <c:v>135250</c:v>
                </c:pt>
                <c:pt idx="32">
                  <c:v>118500</c:v>
                </c:pt>
                <c:pt idx="33">
                  <c:v>130575</c:v>
                </c:pt>
                <c:pt idx="34">
                  <c:v>124275</c:v>
                </c:pt>
                <c:pt idx="35">
                  <c:v>149200</c:v>
                </c:pt>
                <c:pt idx="36">
                  <c:v>156050</c:v>
                </c:pt>
                <c:pt idx="37">
                  <c:v>91400</c:v>
                </c:pt>
                <c:pt idx="38">
                  <c:v>73025</c:v>
                </c:pt>
                <c:pt idx="39">
                  <c:v>87650</c:v>
                </c:pt>
                <c:pt idx="40">
                  <c:v>88950</c:v>
                </c:pt>
                <c:pt idx="41">
                  <c:v>76450</c:v>
                </c:pt>
                <c:pt idx="42">
                  <c:v>140175</c:v>
                </c:pt>
                <c:pt idx="43">
                  <c:v>219525</c:v>
                </c:pt>
                <c:pt idx="44">
                  <c:v>253000</c:v>
                </c:pt>
                <c:pt idx="45">
                  <c:v>239650</c:v>
                </c:pt>
                <c:pt idx="46">
                  <c:v>211525</c:v>
                </c:pt>
                <c:pt idx="47">
                  <c:v>122425</c:v>
                </c:pt>
                <c:pt idx="48">
                  <c:v>143725</c:v>
                </c:pt>
                <c:pt idx="49">
                  <c:v>144500</c:v>
                </c:pt>
                <c:pt idx="50">
                  <c:v>76225</c:v>
                </c:pt>
                <c:pt idx="51">
                  <c:v>74575</c:v>
                </c:pt>
                <c:pt idx="52">
                  <c:v>107950</c:v>
                </c:pt>
                <c:pt idx="53">
                  <c:v>149800</c:v>
                </c:pt>
                <c:pt idx="54">
                  <c:v>171300</c:v>
                </c:pt>
                <c:pt idx="55">
                  <c:v>165600</c:v>
                </c:pt>
                <c:pt idx="56">
                  <c:v>89350</c:v>
                </c:pt>
                <c:pt idx="57">
                  <c:v>128125</c:v>
                </c:pt>
                <c:pt idx="58">
                  <c:v>216600</c:v>
                </c:pt>
                <c:pt idx="59">
                  <c:v>261800</c:v>
                </c:pt>
              </c:numCache>
            </c:numRef>
          </c:val>
          <c:smooth val="0"/>
          <c:extLst xmlns:c16r2="http://schemas.microsoft.com/office/drawing/2015/06/chart">
            <c:ext xmlns:c16="http://schemas.microsoft.com/office/drawing/2014/chart" uri="{C3380CC4-5D6E-409C-BE32-E72D297353CC}">
              <c16:uniqueId val="{00000000-C193-4235-B6B9-FA1B7A41EA60}"/>
            </c:ext>
          </c:extLst>
        </c:ser>
        <c:ser>
          <c:idx val="1"/>
          <c:order val="1"/>
          <c:tx>
            <c:strRef>
              <c:f>铜库存f49!$C$2</c:f>
              <c:strCache>
                <c:ptCount val="1"/>
                <c:pt idx="0">
                  <c:v>纽约COMEX</c:v>
                </c:pt>
              </c:strCache>
            </c:strRef>
          </c:tx>
          <c:spPr>
            <a:ln w="19050" cap="rnd" cmpd="sng" algn="ctr">
              <a:solidFill>
                <a:srgbClr val="DFA6A5"/>
              </a:solidFill>
              <a:prstDash val="solid"/>
              <a:round/>
            </a:ln>
            <a:effectLst/>
          </c:spPr>
          <c:marker>
            <c:symbol val="square"/>
            <c:size val="5"/>
            <c:spPr>
              <a:noFill/>
              <a:ln w="6350" cap="flat" cmpd="sng" algn="ctr">
                <a:noFill/>
                <a:prstDash val="solid"/>
                <a:round/>
              </a:ln>
            </c:spPr>
          </c:marker>
          <c:cat>
            <c:numRef>
              <c:f>铜库存f49!$A$3:$A$62</c:f>
              <c:numCache>
                <c:formatCode>yyyy\-mm</c:formatCode>
                <c:ptCount val="60"/>
                <c:pt idx="0">
                  <c:v>45777</c:v>
                </c:pt>
                <c:pt idx="1">
                  <c:v>45747</c:v>
                </c:pt>
                <c:pt idx="2">
                  <c:v>45716</c:v>
                </c:pt>
                <c:pt idx="3">
                  <c:v>45688</c:v>
                </c:pt>
                <c:pt idx="4">
                  <c:v>45657</c:v>
                </c:pt>
                <c:pt idx="5">
                  <c:v>45626</c:v>
                </c:pt>
                <c:pt idx="6">
                  <c:v>45596</c:v>
                </c:pt>
                <c:pt idx="7">
                  <c:v>45565</c:v>
                </c:pt>
                <c:pt idx="8">
                  <c:v>45535</c:v>
                </c:pt>
                <c:pt idx="9">
                  <c:v>45504</c:v>
                </c:pt>
                <c:pt idx="10">
                  <c:v>45473</c:v>
                </c:pt>
                <c:pt idx="11">
                  <c:v>45443</c:v>
                </c:pt>
                <c:pt idx="12">
                  <c:v>45412</c:v>
                </c:pt>
                <c:pt idx="13">
                  <c:v>45382</c:v>
                </c:pt>
                <c:pt idx="14">
                  <c:v>45351</c:v>
                </c:pt>
                <c:pt idx="15">
                  <c:v>45322</c:v>
                </c:pt>
                <c:pt idx="16">
                  <c:v>45291</c:v>
                </c:pt>
                <c:pt idx="17">
                  <c:v>45260</c:v>
                </c:pt>
                <c:pt idx="18">
                  <c:v>45230</c:v>
                </c:pt>
                <c:pt idx="19">
                  <c:v>45199</c:v>
                </c:pt>
                <c:pt idx="20">
                  <c:v>45169</c:v>
                </c:pt>
                <c:pt idx="21">
                  <c:v>45138</c:v>
                </c:pt>
                <c:pt idx="22">
                  <c:v>45107</c:v>
                </c:pt>
                <c:pt idx="23">
                  <c:v>45077</c:v>
                </c:pt>
                <c:pt idx="24">
                  <c:v>45046</c:v>
                </c:pt>
                <c:pt idx="25">
                  <c:v>45016</c:v>
                </c:pt>
                <c:pt idx="26">
                  <c:v>44985</c:v>
                </c:pt>
                <c:pt idx="27">
                  <c:v>44957</c:v>
                </c:pt>
                <c:pt idx="28">
                  <c:v>44926</c:v>
                </c:pt>
                <c:pt idx="29">
                  <c:v>44895</c:v>
                </c:pt>
                <c:pt idx="30">
                  <c:v>44865</c:v>
                </c:pt>
                <c:pt idx="31">
                  <c:v>44834</c:v>
                </c:pt>
                <c:pt idx="32">
                  <c:v>44804</c:v>
                </c:pt>
                <c:pt idx="33">
                  <c:v>44773</c:v>
                </c:pt>
                <c:pt idx="34">
                  <c:v>44742</c:v>
                </c:pt>
                <c:pt idx="35">
                  <c:v>44712</c:v>
                </c:pt>
                <c:pt idx="36">
                  <c:v>44681</c:v>
                </c:pt>
                <c:pt idx="37">
                  <c:v>44651</c:v>
                </c:pt>
                <c:pt idx="38">
                  <c:v>44620</c:v>
                </c:pt>
                <c:pt idx="39">
                  <c:v>44592</c:v>
                </c:pt>
                <c:pt idx="40">
                  <c:v>44561</c:v>
                </c:pt>
                <c:pt idx="41">
                  <c:v>44530</c:v>
                </c:pt>
                <c:pt idx="42">
                  <c:v>44500</c:v>
                </c:pt>
                <c:pt idx="43">
                  <c:v>44469</c:v>
                </c:pt>
                <c:pt idx="44">
                  <c:v>44439</c:v>
                </c:pt>
                <c:pt idx="45">
                  <c:v>44408</c:v>
                </c:pt>
                <c:pt idx="46">
                  <c:v>44377</c:v>
                </c:pt>
                <c:pt idx="47">
                  <c:v>44347</c:v>
                </c:pt>
                <c:pt idx="48">
                  <c:v>44316</c:v>
                </c:pt>
                <c:pt idx="49">
                  <c:v>44286</c:v>
                </c:pt>
                <c:pt idx="50">
                  <c:v>44255</c:v>
                </c:pt>
                <c:pt idx="51">
                  <c:v>44227</c:v>
                </c:pt>
                <c:pt idx="52">
                  <c:v>44196</c:v>
                </c:pt>
                <c:pt idx="53">
                  <c:v>44165</c:v>
                </c:pt>
                <c:pt idx="54">
                  <c:v>44135</c:v>
                </c:pt>
                <c:pt idx="55">
                  <c:v>44104</c:v>
                </c:pt>
                <c:pt idx="56">
                  <c:v>44074</c:v>
                </c:pt>
                <c:pt idx="57">
                  <c:v>44043</c:v>
                </c:pt>
                <c:pt idx="58">
                  <c:v>44012</c:v>
                </c:pt>
                <c:pt idx="59">
                  <c:v>43982</c:v>
                </c:pt>
              </c:numCache>
            </c:numRef>
          </c:cat>
          <c:val>
            <c:numRef>
              <c:f>铜库存f49!$C$3:$C$62</c:f>
              <c:numCache>
                <c:formatCode>#,##0.00_ </c:formatCode>
                <c:ptCount val="60"/>
                <c:pt idx="0">
                  <c:v>106887.21120000001</c:v>
                </c:pt>
                <c:pt idx="1">
                  <c:v>87249.96</c:v>
                </c:pt>
                <c:pt idx="2">
                  <c:v>84805.963199999998</c:v>
                </c:pt>
                <c:pt idx="3">
                  <c:v>89120.606400000004</c:v>
                </c:pt>
                <c:pt idx="4">
                  <c:v>84515.659199999995</c:v>
                </c:pt>
                <c:pt idx="5">
                  <c:v>82279.411200000002</c:v>
                </c:pt>
                <c:pt idx="6">
                  <c:v>80485.876799999998</c:v>
                </c:pt>
                <c:pt idx="7">
                  <c:v>57648.023999999998</c:v>
                </c:pt>
                <c:pt idx="8">
                  <c:v>36394.142399999997</c:v>
                </c:pt>
                <c:pt idx="9">
                  <c:v>13353.984</c:v>
                </c:pt>
                <c:pt idx="10">
                  <c:v>8206.5311999999994</c:v>
                </c:pt>
                <c:pt idx="11">
                  <c:v>15065.8704</c:v>
                </c:pt>
                <c:pt idx="12">
                  <c:v>22135.68</c:v>
                </c:pt>
                <c:pt idx="13">
                  <c:v>27269.524799999999</c:v>
                </c:pt>
                <c:pt idx="14">
                  <c:v>26336.923200000001</c:v>
                </c:pt>
                <c:pt idx="15">
                  <c:v>21993.249599999999</c:v>
                </c:pt>
                <c:pt idx="16">
                  <c:v>17064.432000000001</c:v>
                </c:pt>
                <c:pt idx="17">
                  <c:v>17831.016</c:v>
                </c:pt>
                <c:pt idx="18">
                  <c:v>19886.731199999998</c:v>
                </c:pt>
                <c:pt idx="19">
                  <c:v>22987.540799999999</c:v>
                </c:pt>
                <c:pt idx="20">
                  <c:v>29396.908800000001</c:v>
                </c:pt>
                <c:pt idx="21">
                  <c:v>39426.911999999997</c:v>
                </c:pt>
                <c:pt idx="22">
                  <c:v>30780.388800000001</c:v>
                </c:pt>
                <c:pt idx="23">
                  <c:v>25131.254400000002</c:v>
                </c:pt>
                <c:pt idx="24">
                  <c:v>25081.358400000001</c:v>
                </c:pt>
                <c:pt idx="25">
                  <c:v>15007.809600000001</c:v>
                </c:pt>
                <c:pt idx="26">
                  <c:v>15487.7184</c:v>
                </c:pt>
                <c:pt idx="27">
                  <c:v>25894.209599999998</c:v>
                </c:pt>
                <c:pt idx="28">
                  <c:v>31834.555199999999</c:v>
                </c:pt>
                <c:pt idx="29">
                  <c:v>33427.598400000003</c:v>
                </c:pt>
                <c:pt idx="30">
                  <c:v>33540.091200000003</c:v>
                </c:pt>
                <c:pt idx="31">
                  <c:v>40761.403200000001</c:v>
                </c:pt>
                <c:pt idx="32">
                  <c:v>46337.054400000001</c:v>
                </c:pt>
                <c:pt idx="33">
                  <c:v>55240.315199999997</c:v>
                </c:pt>
                <c:pt idx="34">
                  <c:v>67445.784</c:v>
                </c:pt>
                <c:pt idx="35">
                  <c:v>72260.294399999999</c:v>
                </c:pt>
                <c:pt idx="36">
                  <c:v>76217.500799999994</c:v>
                </c:pt>
                <c:pt idx="37">
                  <c:v>67797.777600000001</c:v>
                </c:pt>
                <c:pt idx="38">
                  <c:v>64307.779199999997</c:v>
                </c:pt>
                <c:pt idx="39">
                  <c:v>73543.075200000007</c:v>
                </c:pt>
                <c:pt idx="40">
                  <c:v>63201.902399999999</c:v>
                </c:pt>
                <c:pt idx="41">
                  <c:v>53226.331200000001</c:v>
                </c:pt>
                <c:pt idx="42">
                  <c:v>51923.591999999997</c:v>
                </c:pt>
                <c:pt idx="43">
                  <c:v>51226.862399999998</c:v>
                </c:pt>
                <c:pt idx="44">
                  <c:v>46095.739200000004</c:v>
                </c:pt>
                <c:pt idx="45">
                  <c:v>41626.872000000003</c:v>
                </c:pt>
                <c:pt idx="46">
                  <c:v>45099.633600000001</c:v>
                </c:pt>
                <c:pt idx="47">
                  <c:v>55233.0576</c:v>
                </c:pt>
                <c:pt idx="48">
                  <c:v>60361.459199999998</c:v>
                </c:pt>
                <c:pt idx="49">
                  <c:v>64805.832000000002</c:v>
                </c:pt>
                <c:pt idx="50">
                  <c:v>63101.203200000004</c:v>
                </c:pt>
                <c:pt idx="51">
                  <c:v>67348.713600000003</c:v>
                </c:pt>
                <c:pt idx="52">
                  <c:v>70397.8128</c:v>
                </c:pt>
                <c:pt idx="53">
                  <c:v>74020.262400000007</c:v>
                </c:pt>
                <c:pt idx="54">
                  <c:v>72526.104000000007</c:v>
                </c:pt>
                <c:pt idx="55">
                  <c:v>72433.569600000003</c:v>
                </c:pt>
                <c:pt idx="56">
                  <c:v>77497.56</c:v>
                </c:pt>
                <c:pt idx="57">
                  <c:v>80785.252800000002</c:v>
                </c:pt>
                <c:pt idx="58">
                  <c:v>72914.385599999994</c:v>
                </c:pt>
                <c:pt idx="59">
                  <c:v>54890.135999999999</c:v>
                </c:pt>
              </c:numCache>
            </c:numRef>
          </c:val>
          <c:smooth val="0"/>
          <c:extLst xmlns:c16r2="http://schemas.microsoft.com/office/drawing/2015/06/chart">
            <c:ext xmlns:c16="http://schemas.microsoft.com/office/drawing/2014/chart" uri="{C3380CC4-5D6E-409C-BE32-E72D297353CC}">
              <c16:uniqueId val="{00000001-C193-4235-B6B9-FA1B7A41EA60}"/>
            </c:ext>
          </c:extLst>
        </c:ser>
        <c:ser>
          <c:idx val="2"/>
          <c:order val="2"/>
          <c:tx>
            <c:strRef>
              <c:f>铜库存f49!$D$2</c:f>
              <c:strCache>
                <c:ptCount val="1"/>
                <c:pt idx="0">
                  <c:v>上海SHFE</c:v>
                </c:pt>
              </c:strCache>
            </c:strRef>
          </c:tx>
          <c:spPr>
            <a:ln w="19050" cap="rnd" cmpd="sng" algn="ctr">
              <a:solidFill>
                <a:srgbClr val="179FE3"/>
              </a:solidFill>
              <a:prstDash val="solid"/>
              <a:round/>
            </a:ln>
            <a:effectLst/>
          </c:spPr>
          <c:marker>
            <c:symbol val="none"/>
          </c:marker>
          <c:cat>
            <c:numRef>
              <c:f>铜库存f49!$A$3:$A$62</c:f>
              <c:numCache>
                <c:formatCode>yyyy\-mm</c:formatCode>
                <c:ptCount val="60"/>
                <c:pt idx="0">
                  <c:v>45777</c:v>
                </c:pt>
                <c:pt idx="1">
                  <c:v>45747</c:v>
                </c:pt>
                <c:pt idx="2">
                  <c:v>45716</c:v>
                </c:pt>
                <c:pt idx="3">
                  <c:v>45688</c:v>
                </c:pt>
                <c:pt idx="4">
                  <c:v>45657</c:v>
                </c:pt>
                <c:pt idx="5">
                  <c:v>45626</c:v>
                </c:pt>
                <c:pt idx="6">
                  <c:v>45596</c:v>
                </c:pt>
                <c:pt idx="7">
                  <c:v>45565</c:v>
                </c:pt>
                <c:pt idx="8">
                  <c:v>45535</c:v>
                </c:pt>
                <c:pt idx="9">
                  <c:v>45504</c:v>
                </c:pt>
                <c:pt idx="10">
                  <c:v>45473</c:v>
                </c:pt>
                <c:pt idx="11">
                  <c:v>45443</c:v>
                </c:pt>
                <c:pt idx="12">
                  <c:v>45412</c:v>
                </c:pt>
                <c:pt idx="13">
                  <c:v>45382</c:v>
                </c:pt>
                <c:pt idx="14">
                  <c:v>45351</c:v>
                </c:pt>
                <c:pt idx="15">
                  <c:v>45322</c:v>
                </c:pt>
                <c:pt idx="16">
                  <c:v>45291</c:v>
                </c:pt>
                <c:pt idx="17">
                  <c:v>45260</c:v>
                </c:pt>
                <c:pt idx="18">
                  <c:v>45230</c:v>
                </c:pt>
                <c:pt idx="19">
                  <c:v>45199</c:v>
                </c:pt>
                <c:pt idx="20">
                  <c:v>45169</c:v>
                </c:pt>
                <c:pt idx="21">
                  <c:v>45138</c:v>
                </c:pt>
                <c:pt idx="22">
                  <c:v>45107</c:v>
                </c:pt>
                <c:pt idx="23">
                  <c:v>45077</c:v>
                </c:pt>
                <c:pt idx="24">
                  <c:v>45046</c:v>
                </c:pt>
                <c:pt idx="25">
                  <c:v>45016</c:v>
                </c:pt>
                <c:pt idx="26">
                  <c:v>44985</c:v>
                </c:pt>
                <c:pt idx="27">
                  <c:v>44957</c:v>
                </c:pt>
                <c:pt idx="28">
                  <c:v>44926</c:v>
                </c:pt>
                <c:pt idx="29">
                  <c:v>44895</c:v>
                </c:pt>
                <c:pt idx="30">
                  <c:v>44865</c:v>
                </c:pt>
                <c:pt idx="31">
                  <c:v>44834</c:v>
                </c:pt>
                <c:pt idx="32">
                  <c:v>44804</c:v>
                </c:pt>
                <c:pt idx="33">
                  <c:v>44773</c:v>
                </c:pt>
                <c:pt idx="34">
                  <c:v>44742</c:v>
                </c:pt>
                <c:pt idx="35">
                  <c:v>44712</c:v>
                </c:pt>
                <c:pt idx="36">
                  <c:v>44681</c:v>
                </c:pt>
                <c:pt idx="37">
                  <c:v>44651</c:v>
                </c:pt>
                <c:pt idx="38">
                  <c:v>44620</c:v>
                </c:pt>
                <c:pt idx="39">
                  <c:v>44592</c:v>
                </c:pt>
                <c:pt idx="40">
                  <c:v>44561</c:v>
                </c:pt>
                <c:pt idx="41">
                  <c:v>44530</c:v>
                </c:pt>
                <c:pt idx="42">
                  <c:v>44500</c:v>
                </c:pt>
                <c:pt idx="43">
                  <c:v>44469</c:v>
                </c:pt>
                <c:pt idx="44">
                  <c:v>44439</c:v>
                </c:pt>
                <c:pt idx="45">
                  <c:v>44408</c:v>
                </c:pt>
                <c:pt idx="46">
                  <c:v>44377</c:v>
                </c:pt>
                <c:pt idx="47">
                  <c:v>44347</c:v>
                </c:pt>
                <c:pt idx="48">
                  <c:v>44316</c:v>
                </c:pt>
                <c:pt idx="49">
                  <c:v>44286</c:v>
                </c:pt>
                <c:pt idx="50">
                  <c:v>44255</c:v>
                </c:pt>
                <c:pt idx="51">
                  <c:v>44227</c:v>
                </c:pt>
                <c:pt idx="52">
                  <c:v>44196</c:v>
                </c:pt>
                <c:pt idx="53">
                  <c:v>44165</c:v>
                </c:pt>
                <c:pt idx="54">
                  <c:v>44135</c:v>
                </c:pt>
                <c:pt idx="55">
                  <c:v>44104</c:v>
                </c:pt>
                <c:pt idx="56">
                  <c:v>44074</c:v>
                </c:pt>
                <c:pt idx="57">
                  <c:v>44043</c:v>
                </c:pt>
                <c:pt idx="58">
                  <c:v>44012</c:v>
                </c:pt>
                <c:pt idx="59">
                  <c:v>43982</c:v>
                </c:pt>
              </c:numCache>
            </c:numRef>
          </c:cat>
          <c:val>
            <c:numRef>
              <c:f>铜库存f49!$D$3:$D$62</c:f>
              <c:numCache>
                <c:formatCode>#,##0.00_ </c:formatCode>
                <c:ptCount val="60"/>
                <c:pt idx="0">
                  <c:v>182941</c:v>
                </c:pt>
                <c:pt idx="1">
                  <c:v>235296</c:v>
                </c:pt>
                <c:pt idx="2">
                  <c:v>268337</c:v>
                </c:pt>
                <c:pt idx="3">
                  <c:v>101838</c:v>
                </c:pt>
                <c:pt idx="4">
                  <c:v>74172</c:v>
                </c:pt>
                <c:pt idx="5">
                  <c:v>108775</c:v>
                </c:pt>
                <c:pt idx="6">
                  <c:v>163075</c:v>
                </c:pt>
                <c:pt idx="7">
                  <c:v>141625</c:v>
                </c:pt>
                <c:pt idx="8">
                  <c:v>241745</c:v>
                </c:pt>
                <c:pt idx="9">
                  <c:v>301203</c:v>
                </c:pt>
                <c:pt idx="10">
                  <c:v>319521</c:v>
                </c:pt>
                <c:pt idx="11">
                  <c:v>321695</c:v>
                </c:pt>
                <c:pt idx="12">
                  <c:v>288340</c:v>
                </c:pt>
                <c:pt idx="13">
                  <c:v>290228</c:v>
                </c:pt>
                <c:pt idx="14">
                  <c:v>181323</c:v>
                </c:pt>
                <c:pt idx="15">
                  <c:v>50532</c:v>
                </c:pt>
                <c:pt idx="16">
                  <c:v>30905</c:v>
                </c:pt>
                <c:pt idx="17">
                  <c:v>35878</c:v>
                </c:pt>
                <c:pt idx="18">
                  <c:v>36408</c:v>
                </c:pt>
                <c:pt idx="19">
                  <c:v>38996</c:v>
                </c:pt>
                <c:pt idx="20">
                  <c:v>40585</c:v>
                </c:pt>
                <c:pt idx="21">
                  <c:v>61290</c:v>
                </c:pt>
                <c:pt idx="22">
                  <c:v>68313</c:v>
                </c:pt>
                <c:pt idx="23">
                  <c:v>86177</c:v>
                </c:pt>
                <c:pt idx="24">
                  <c:v>137095</c:v>
                </c:pt>
                <c:pt idx="25">
                  <c:v>156576</c:v>
                </c:pt>
                <c:pt idx="26">
                  <c:v>252455</c:v>
                </c:pt>
                <c:pt idx="27">
                  <c:v>139967</c:v>
                </c:pt>
                <c:pt idx="28">
                  <c:v>69268</c:v>
                </c:pt>
                <c:pt idx="29">
                  <c:v>70249</c:v>
                </c:pt>
                <c:pt idx="30">
                  <c:v>63440</c:v>
                </c:pt>
                <c:pt idx="31">
                  <c:v>30459</c:v>
                </c:pt>
                <c:pt idx="32">
                  <c:v>34898</c:v>
                </c:pt>
                <c:pt idx="33">
                  <c:v>37025</c:v>
                </c:pt>
                <c:pt idx="34">
                  <c:v>57153</c:v>
                </c:pt>
                <c:pt idx="35">
                  <c:v>41546</c:v>
                </c:pt>
                <c:pt idx="36">
                  <c:v>48363</c:v>
                </c:pt>
                <c:pt idx="37">
                  <c:v>102055</c:v>
                </c:pt>
                <c:pt idx="38">
                  <c:v>159023</c:v>
                </c:pt>
                <c:pt idx="39">
                  <c:v>40359</c:v>
                </c:pt>
                <c:pt idx="40">
                  <c:v>38182</c:v>
                </c:pt>
                <c:pt idx="41">
                  <c:v>41862</c:v>
                </c:pt>
                <c:pt idx="42">
                  <c:v>49327</c:v>
                </c:pt>
                <c:pt idx="43">
                  <c:v>43525</c:v>
                </c:pt>
                <c:pt idx="44">
                  <c:v>82390</c:v>
                </c:pt>
                <c:pt idx="45">
                  <c:v>94090</c:v>
                </c:pt>
                <c:pt idx="46">
                  <c:v>153804</c:v>
                </c:pt>
                <c:pt idx="47">
                  <c:v>207821</c:v>
                </c:pt>
                <c:pt idx="48">
                  <c:v>199870</c:v>
                </c:pt>
                <c:pt idx="49">
                  <c:v>188359</c:v>
                </c:pt>
                <c:pt idx="50">
                  <c:v>147958</c:v>
                </c:pt>
                <c:pt idx="51">
                  <c:v>66565</c:v>
                </c:pt>
                <c:pt idx="52">
                  <c:v>86679</c:v>
                </c:pt>
                <c:pt idx="53">
                  <c:v>92912</c:v>
                </c:pt>
                <c:pt idx="54">
                  <c:v>139657</c:v>
                </c:pt>
                <c:pt idx="55">
                  <c:v>155071</c:v>
                </c:pt>
                <c:pt idx="56">
                  <c:v>170086</c:v>
                </c:pt>
                <c:pt idx="57">
                  <c:v>159513</c:v>
                </c:pt>
                <c:pt idx="58">
                  <c:v>99971</c:v>
                </c:pt>
                <c:pt idx="59">
                  <c:v>144988</c:v>
                </c:pt>
              </c:numCache>
            </c:numRef>
          </c:val>
          <c:smooth val="0"/>
          <c:extLst xmlns:c16r2="http://schemas.microsoft.com/office/drawing/2015/06/chart">
            <c:ext xmlns:c16="http://schemas.microsoft.com/office/drawing/2014/chart" uri="{C3380CC4-5D6E-409C-BE32-E72D297353CC}">
              <c16:uniqueId val="{00000002-C193-4235-B6B9-FA1B7A41EA60}"/>
            </c:ext>
          </c:extLst>
        </c:ser>
        <c:ser>
          <c:idx val="3"/>
          <c:order val="3"/>
          <c:tx>
            <c:strRef>
              <c:f>铜库存f49!$E$2</c:f>
              <c:strCache>
                <c:ptCount val="1"/>
                <c:pt idx="0">
                  <c:v>全球三大交易所总库存</c:v>
                </c:pt>
              </c:strCache>
            </c:strRef>
          </c:tx>
          <c:spPr>
            <a:ln w="19050" cap="rnd" cmpd="sng" algn="ctr">
              <a:solidFill>
                <a:srgbClr val="106D9C"/>
              </a:solidFill>
              <a:prstDash val="solid"/>
              <a:round/>
            </a:ln>
          </c:spPr>
          <c:marker>
            <c:symbol val="none"/>
          </c:marker>
          <c:cat>
            <c:numRef>
              <c:f>铜库存f49!$A$3:$A$62</c:f>
              <c:numCache>
                <c:formatCode>yyyy\-mm</c:formatCode>
                <c:ptCount val="60"/>
                <c:pt idx="0">
                  <c:v>45777</c:v>
                </c:pt>
                <c:pt idx="1">
                  <c:v>45747</c:v>
                </c:pt>
                <c:pt idx="2">
                  <c:v>45716</c:v>
                </c:pt>
                <c:pt idx="3">
                  <c:v>45688</c:v>
                </c:pt>
                <c:pt idx="4">
                  <c:v>45657</c:v>
                </c:pt>
                <c:pt idx="5">
                  <c:v>45626</c:v>
                </c:pt>
                <c:pt idx="6">
                  <c:v>45596</c:v>
                </c:pt>
                <c:pt idx="7">
                  <c:v>45565</c:v>
                </c:pt>
                <c:pt idx="8">
                  <c:v>45535</c:v>
                </c:pt>
                <c:pt idx="9">
                  <c:v>45504</c:v>
                </c:pt>
                <c:pt idx="10">
                  <c:v>45473</c:v>
                </c:pt>
                <c:pt idx="11">
                  <c:v>45443</c:v>
                </c:pt>
                <c:pt idx="12">
                  <c:v>45412</c:v>
                </c:pt>
                <c:pt idx="13">
                  <c:v>45382</c:v>
                </c:pt>
                <c:pt idx="14">
                  <c:v>45351</c:v>
                </c:pt>
                <c:pt idx="15">
                  <c:v>45322</c:v>
                </c:pt>
                <c:pt idx="16">
                  <c:v>45291</c:v>
                </c:pt>
                <c:pt idx="17">
                  <c:v>45260</c:v>
                </c:pt>
                <c:pt idx="18">
                  <c:v>45230</c:v>
                </c:pt>
                <c:pt idx="19">
                  <c:v>45199</c:v>
                </c:pt>
                <c:pt idx="20">
                  <c:v>45169</c:v>
                </c:pt>
                <c:pt idx="21">
                  <c:v>45138</c:v>
                </c:pt>
                <c:pt idx="22">
                  <c:v>45107</c:v>
                </c:pt>
                <c:pt idx="23">
                  <c:v>45077</c:v>
                </c:pt>
                <c:pt idx="24">
                  <c:v>45046</c:v>
                </c:pt>
                <c:pt idx="25">
                  <c:v>45016</c:v>
                </c:pt>
                <c:pt idx="26">
                  <c:v>44985</c:v>
                </c:pt>
                <c:pt idx="27">
                  <c:v>44957</c:v>
                </c:pt>
                <c:pt idx="28">
                  <c:v>44926</c:v>
                </c:pt>
                <c:pt idx="29">
                  <c:v>44895</c:v>
                </c:pt>
                <c:pt idx="30">
                  <c:v>44865</c:v>
                </c:pt>
                <c:pt idx="31">
                  <c:v>44834</c:v>
                </c:pt>
                <c:pt idx="32">
                  <c:v>44804</c:v>
                </c:pt>
                <c:pt idx="33">
                  <c:v>44773</c:v>
                </c:pt>
                <c:pt idx="34">
                  <c:v>44742</c:v>
                </c:pt>
                <c:pt idx="35">
                  <c:v>44712</c:v>
                </c:pt>
                <c:pt idx="36">
                  <c:v>44681</c:v>
                </c:pt>
                <c:pt idx="37">
                  <c:v>44651</c:v>
                </c:pt>
                <c:pt idx="38">
                  <c:v>44620</c:v>
                </c:pt>
                <c:pt idx="39">
                  <c:v>44592</c:v>
                </c:pt>
                <c:pt idx="40">
                  <c:v>44561</c:v>
                </c:pt>
                <c:pt idx="41">
                  <c:v>44530</c:v>
                </c:pt>
                <c:pt idx="42">
                  <c:v>44500</c:v>
                </c:pt>
                <c:pt idx="43">
                  <c:v>44469</c:v>
                </c:pt>
                <c:pt idx="44">
                  <c:v>44439</c:v>
                </c:pt>
                <c:pt idx="45">
                  <c:v>44408</c:v>
                </c:pt>
                <c:pt idx="46">
                  <c:v>44377</c:v>
                </c:pt>
                <c:pt idx="47">
                  <c:v>44347</c:v>
                </c:pt>
                <c:pt idx="48">
                  <c:v>44316</c:v>
                </c:pt>
                <c:pt idx="49">
                  <c:v>44286</c:v>
                </c:pt>
                <c:pt idx="50">
                  <c:v>44255</c:v>
                </c:pt>
                <c:pt idx="51">
                  <c:v>44227</c:v>
                </c:pt>
                <c:pt idx="52">
                  <c:v>44196</c:v>
                </c:pt>
                <c:pt idx="53">
                  <c:v>44165</c:v>
                </c:pt>
                <c:pt idx="54">
                  <c:v>44135</c:v>
                </c:pt>
                <c:pt idx="55">
                  <c:v>44104</c:v>
                </c:pt>
                <c:pt idx="56">
                  <c:v>44074</c:v>
                </c:pt>
                <c:pt idx="57">
                  <c:v>44043</c:v>
                </c:pt>
                <c:pt idx="58">
                  <c:v>44012</c:v>
                </c:pt>
                <c:pt idx="59">
                  <c:v>43982</c:v>
                </c:pt>
              </c:numCache>
            </c:numRef>
          </c:cat>
          <c:val>
            <c:numRef>
              <c:f>铜库存f49!$E$3:$E$62</c:f>
              <c:numCache>
                <c:formatCode>#,##0.00_ </c:formatCode>
                <c:ptCount val="60"/>
                <c:pt idx="0">
                  <c:v>620003.21120000002</c:v>
                </c:pt>
                <c:pt idx="1">
                  <c:v>646020.96</c:v>
                </c:pt>
                <c:pt idx="2">
                  <c:v>658917.9632</c:v>
                </c:pt>
                <c:pt idx="3">
                  <c:v>460483.60639999999</c:v>
                </c:pt>
                <c:pt idx="4">
                  <c:v>443987.65919999999</c:v>
                </c:pt>
                <c:pt idx="5">
                  <c:v>515154.41119999997</c:v>
                </c:pt>
                <c:pt idx="6">
                  <c:v>572135.87679999997</c:v>
                </c:pt>
                <c:pt idx="7">
                  <c:v>545073.02399999998</c:v>
                </c:pt>
                <c:pt idx="8">
                  <c:v>658364.14240000001</c:v>
                </c:pt>
                <c:pt idx="9">
                  <c:v>627831.98400000005</c:v>
                </c:pt>
                <c:pt idx="10">
                  <c:v>585452.53119999997</c:v>
                </c:pt>
                <c:pt idx="11">
                  <c:v>530935.87040000001</c:v>
                </c:pt>
                <c:pt idx="12">
                  <c:v>506800.68</c:v>
                </c:pt>
                <c:pt idx="13">
                  <c:v>490572.52480000001</c:v>
                </c:pt>
                <c:pt idx="14">
                  <c:v>366434.92320000002</c:v>
                </c:pt>
                <c:pt idx="15">
                  <c:v>227000.24960000001</c:v>
                </c:pt>
                <c:pt idx="16">
                  <c:v>220869.432</c:v>
                </c:pt>
                <c:pt idx="17">
                  <c:v>235259.016</c:v>
                </c:pt>
                <c:pt idx="18">
                  <c:v>247069.73120000001</c:v>
                </c:pt>
                <c:pt idx="19">
                  <c:v>262908.54080000002</c:v>
                </c:pt>
                <c:pt idx="20">
                  <c:v>218781.9088</c:v>
                </c:pt>
                <c:pt idx="21">
                  <c:v>224986.91200000001</c:v>
                </c:pt>
                <c:pt idx="22">
                  <c:v>250018.38879999999</c:v>
                </c:pt>
                <c:pt idx="23">
                  <c:v>320238.25439999998</c:v>
                </c:pt>
                <c:pt idx="24">
                  <c:v>364326.35840000003</c:v>
                </c:pt>
                <c:pt idx="25">
                  <c:v>392208.80959999998</c:v>
                </c:pt>
                <c:pt idx="26">
                  <c:v>488662.71840000001</c:v>
                </c:pt>
                <c:pt idx="27">
                  <c:v>324586.2096</c:v>
                </c:pt>
                <c:pt idx="28">
                  <c:v>234677.5552</c:v>
                </c:pt>
                <c:pt idx="29">
                  <c:v>208426.59839999999</c:v>
                </c:pt>
                <c:pt idx="30">
                  <c:v>226305.0912</c:v>
                </c:pt>
                <c:pt idx="31">
                  <c:v>245420.4032</c:v>
                </c:pt>
                <c:pt idx="32">
                  <c:v>295485.05440000002</c:v>
                </c:pt>
                <c:pt idx="33">
                  <c:v>378190.31520000001</c:v>
                </c:pt>
                <c:pt idx="34">
                  <c:v>435623.78399999999</c:v>
                </c:pt>
                <c:pt idx="35">
                  <c:v>474906.29440000001</c:v>
                </c:pt>
                <c:pt idx="36">
                  <c:v>526930.50080000004</c:v>
                </c:pt>
                <c:pt idx="37">
                  <c:v>481202.77759999997</c:v>
                </c:pt>
                <c:pt idx="38">
                  <c:v>527555.77919999999</c:v>
                </c:pt>
                <c:pt idx="39">
                  <c:v>373652.07520000002</c:v>
                </c:pt>
                <c:pt idx="40">
                  <c:v>332583.90240000002</c:v>
                </c:pt>
                <c:pt idx="41">
                  <c:v>325238.33120000002</c:v>
                </c:pt>
                <c:pt idx="42">
                  <c:v>432225.592</c:v>
                </c:pt>
                <c:pt idx="43">
                  <c:v>535776.86239999998</c:v>
                </c:pt>
                <c:pt idx="44">
                  <c:v>689285.73919999995</c:v>
                </c:pt>
                <c:pt idx="45">
                  <c:v>798016.87199999997</c:v>
                </c:pt>
                <c:pt idx="46">
                  <c:v>851528.63359999994</c:v>
                </c:pt>
                <c:pt idx="47">
                  <c:v>824529.05759999994</c:v>
                </c:pt>
                <c:pt idx="48">
                  <c:v>817306.45920000004</c:v>
                </c:pt>
                <c:pt idx="49">
                  <c:v>819764.83200000005</c:v>
                </c:pt>
                <c:pt idx="50">
                  <c:v>712484.20319999999</c:v>
                </c:pt>
                <c:pt idx="51">
                  <c:v>634288.71360000002</c:v>
                </c:pt>
                <c:pt idx="52">
                  <c:v>709986.81279999996</c:v>
                </c:pt>
                <c:pt idx="53">
                  <c:v>761962.26240000001</c:v>
                </c:pt>
                <c:pt idx="54">
                  <c:v>815033.10400000005</c:v>
                </c:pt>
                <c:pt idx="55">
                  <c:v>729254.56960000005</c:v>
                </c:pt>
                <c:pt idx="56">
                  <c:v>592083.56000000006</c:v>
                </c:pt>
                <c:pt idx="57">
                  <c:v>586803.25280000002</c:v>
                </c:pt>
                <c:pt idx="58">
                  <c:v>596235.38560000004</c:v>
                </c:pt>
                <c:pt idx="59">
                  <c:v>643278.13600000006</c:v>
                </c:pt>
              </c:numCache>
            </c:numRef>
          </c:val>
          <c:smooth val="0"/>
          <c:extLst xmlns:c16r2="http://schemas.microsoft.com/office/drawing/2015/06/chart">
            <c:ext xmlns:c16="http://schemas.microsoft.com/office/drawing/2014/chart" uri="{C3380CC4-5D6E-409C-BE32-E72D297353CC}">
              <c16:uniqueId val="{00000003-C193-4235-B6B9-FA1B7A41EA60}"/>
            </c:ext>
          </c:extLst>
        </c:ser>
        <c:ser>
          <c:idx val="4"/>
          <c:order val="4"/>
          <c:tx>
            <c:strRef>
              <c:f>铜库存f49!$F$2</c:f>
              <c:strCache>
                <c:ptCount val="1"/>
                <c:pt idx="0">
                  <c:v>中国保税区</c:v>
                </c:pt>
              </c:strCache>
            </c:strRef>
          </c:tx>
          <c:marker>
            <c:symbol val="none"/>
          </c:marker>
          <c:cat>
            <c:numRef>
              <c:f>铜库存f49!$A$3:$A$62</c:f>
              <c:numCache>
                <c:formatCode>yyyy\-mm</c:formatCode>
                <c:ptCount val="60"/>
                <c:pt idx="0">
                  <c:v>45777</c:v>
                </c:pt>
                <c:pt idx="1">
                  <c:v>45747</c:v>
                </c:pt>
                <c:pt idx="2">
                  <c:v>45716</c:v>
                </c:pt>
                <c:pt idx="3">
                  <c:v>45688</c:v>
                </c:pt>
                <c:pt idx="4">
                  <c:v>45657</c:v>
                </c:pt>
                <c:pt idx="5">
                  <c:v>45626</c:v>
                </c:pt>
                <c:pt idx="6">
                  <c:v>45596</c:v>
                </c:pt>
                <c:pt idx="7">
                  <c:v>45565</c:v>
                </c:pt>
                <c:pt idx="8">
                  <c:v>45535</c:v>
                </c:pt>
                <c:pt idx="9">
                  <c:v>45504</c:v>
                </c:pt>
                <c:pt idx="10">
                  <c:v>45473</c:v>
                </c:pt>
                <c:pt idx="11">
                  <c:v>45443</c:v>
                </c:pt>
                <c:pt idx="12">
                  <c:v>45412</c:v>
                </c:pt>
                <c:pt idx="13">
                  <c:v>45382</c:v>
                </c:pt>
                <c:pt idx="14">
                  <c:v>45351</c:v>
                </c:pt>
                <c:pt idx="15">
                  <c:v>45322</c:v>
                </c:pt>
                <c:pt idx="16">
                  <c:v>45291</c:v>
                </c:pt>
                <c:pt idx="17">
                  <c:v>45260</c:v>
                </c:pt>
                <c:pt idx="18">
                  <c:v>45230</c:v>
                </c:pt>
                <c:pt idx="19">
                  <c:v>45199</c:v>
                </c:pt>
                <c:pt idx="20">
                  <c:v>45169</c:v>
                </c:pt>
                <c:pt idx="21">
                  <c:v>45138</c:v>
                </c:pt>
                <c:pt idx="22">
                  <c:v>45107</c:v>
                </c:pt>
                <c:pt idx="23">
                  <c:v>45077</c:v>
                </c:pt>
                <c:pt idx="24">
                  <c:v>45046</c:v>
                </c:pt>
                <c:pt idx="25">
                  <c:v>45016</c:v>
                </c:pt>
                <c:pt idx="26">
                  <c:v>44985</c:v>
                </c:pt>
                <c:pt idx="27">
                  <c:v>44957</c:v>
                </c:pt>
                <c:pt idx="28">
                  <c:v>44926</c:v>
                </c:pt>
                <c:pt idx="29">
                  <c:v>44895</c:v>
                </c:pt>
                <c:pt idx="30">
                  <c:v>44865</c:v>
                </c:pt>
                <c:pt idx="31">
                  <c:v>44834</c:v>
                </c:pt>
                <c:pt idx="32">
                  <c:v>44804</c:v>
                </c:pt>
                <c:pt idx="33">
                  <c:v>44773</c:v>
                </c:pt>
                <c:pt idx="34">
                  <c:v>44742</c:v>
                </c:pt>
                <c:pt idx="35">
                  <c:v>44712</c:v>
                </c:pt>
                <c:pt idx="36">
                  <c:v>44681</c:v>
                </c:pt>
                <c:pt idx="37">
                  <c:v>44651</c:v>
                </c:pt>
                <c:pt idx="38">
                  <c:v>44620</c:v>
                </c:pt>
                <c:pt idx="39">
                  <c:v>44592</c:v>
                </c:pt>
                <c:pt idx="40">
                  <c:v>44561</c:v>
                </c:pt>
                <c:pt idx="41">
                  <c:v>44530</c:v>
                </c:pt>
                <c:pt idx="42">
                  <c:v>44500</c:v>
                </c:pt>
                <c:pt idx="43">
                  <c:v>44469</c:v>
                </c:pt>
                <c:pt idx="44">
                  <c:v>44439</c:v>
                </c:pt>
                <c:pt idx="45">
                  <c:v>44408</c:v>
                </c:pt>
                <c:pt idx="46">
                  <c:v>44377</c:v>
                </c:pt>
                <c:pt idx="47">
                  <c:v>44347</c:v>
                </c:pt>
                <c:pt idx="48">
                  <c:v>44316</c:v>
                </c:pt>
                <c:pt idx="49">
                  <c:v>44286</c:v>
                </c:pt>
                <c:pt idx="50">
                  <c:v>44255</c:v>
                </c:pt>
                <c:pt idx="51">
                  <c:v>44227</c:v>
                </c:pt>
                <c:pt idx="52">
                  <c:v>44196</c:v>
                </c:pt>
                <c:pt idx="53">
                  <c:v>44165</c:v>
                </c:pt>
                <c:pt idx="54">
                  <c:v>44135</c:v>
                </c:pt>
                <c:pt idx="55">
                  <c:v>44104</c:v>
                </c:pt>
                <c:pt idx="56">
                  <c:v>44074</c:v>
                </c:pt>
                <c:pt idx="57">
                  <c:v>44043</c:v>
                </c:pt>
                <c:pt idx="58">
                  <c:v>44012</c:v>
                </c:pt>
                <c:pt idx="59">
                  <c:v>43982</c:v>
                </c:pt>
              </c:numCache>
            </c:numRef>
          </c:cat>
          <c:val>
            <c:numRef>
              <c:f>铜库存f49!$F$3:$F$62</c:f>
              <c:numCache>
                <c:formatCode>#,##0.00_ </c:formatCode>
                <c:ptCount val="60"/>
                <c:pt idx="0">
                  <c:v>121400</c:v>
                </c:pt>
                <c:pt idx="1">
                  <c:v>112100</c:v>
                </c:pt>
                <c:pt idx="2">
                  <c:v>43700</c:v>
                </c:pt>
                <c:pt idx="3">
                  <c:v>13300</c:v>
                </c:pt>
                <c:pt idx="4">
                  <c:v>13900</c:v>
                </c:pt>
                <c:pt idx="5">
                  <c:v>53100</c:v>
                </c:pt>
                <c:pt idx="6">
                  <c:v>57200</c:v>
                </c:pt>
                <c:pt idx="7">
                  <c:v>45200</c:v>
                </c:pt>
                <c:pt idx="8">
                  <c:v>59300</c:v>
                </c:pt>
                <c:pt idx="9">
                  <c:v>74000</c:v>
                </c:pt>
                <c:pt idx="10">
                  <c:v>77600</c:v>
                </c:pt>
                <c:pt idx="11">
                  <c:v>77700</c:v>
                </c:pt>
                <c:pt idx="12">
                  <c:v>80200</c:v>
                </c:pt>
                <c:pt idx="13">
                  <c:v>60600</c:v>
                </c:pt>
                <c:pt idx="14">
                  <c:v>36100</c:v>
                </c:pt>
                <c:pt idx="15">
                  <c:v>8000</c:v>
                </c:pt>
                <c:pt idx="16">
                  <c:v>5600</c:v>
                </c:pt>
                <c:pt idx="17">
                  <c:v>6300</c:v>
                </c:pt>
                <c:pt idx="18">
                  <c:v>14300</c:v>
                </c:pt>
                <c:pt idx="19">
                  <c:v>33100</c:v>
                </c:pt>
                <c:pt idx="20">
                  <c:v>45900</c:v>
                </c:pt>
                <c:pt idx="21">
                  <c:v>55920</c:v>
                </c:pt>
                <c:pt idx="22">
                  <c:v>77950</c:v>
                </c:pt>
                <c:pt idx="23">
                  <c:v>109780</c:v>
                </c:pt>
                <c:pt idx="24">
                  <c:v>137600</c:v>
                </c:pt>
                <c:pt idx="25">
                  <c:v>155900</c:v>
                </c:pt>
                <c:pt idx="26">
                  <c:v>156620</c:v>
                </c:pt>
                <c:pt idx="27">
                  <c:v>83500</c:v>
                </c:pt>
                <c:pt idx="28">
                  <c:v>44650</c:v>
                </c:pt>
                <c:pt idx="29">
                  <c:v>15050</c:v>
                </c:pt>
                <c:pt idx="30">
                  <c:v>16200</c:v>
                </c:pt>
                <c:pt idx="31">
                  <c:v>38950</c:v>
                </c:pt>
                <c:pt idx="32">
                  <c:v>95750</c:v>
                </c:pt>
                <c:pt idx="33">
                  <c:v>155350</c:v>
                </c:pt>
                <c:pt idx="34">
                  <c:v>186750</c:v>
                </c:pt>
                <c:pt idx="35">
                  <c:v>211900</c:v>
                </c:pt>
                <c:pt idx="36">
                  <c:v>246300</c:v>
                </c:pt>
                <c:pt idx="37">
                  <c:v>219950</c:v>
                </c:pt>
                <c:pt idx="38">
                  <c:v>231200</c:v>
                </c:pt>
                <c:pt idx="39">
                  <c:v>172100</c:v>
                </c:pt>
                <c:pt idx="40">
                  <c:v>142250</c:v>
                </c:pt>
                <c:pt idx="41">
                  <c:v>153700</c:v>
                </c:pt>
                <c:pt idx="42">
                  <c:v>190800</c:v>
                </c:pt>
                <c:pt idx="43">
                  <c:v>221500</c:v>
                </c:pt>
                <c:pt idx="44">
                  <c:v>307800</c:v>
                </c:pt>
                <c:pt idx="45">
                  <c:v>422650</c:v>
                </c:pt>
                <c:pt idx="46">
                  <c:v>441100</c:v>
                </c:pt>
                <c:pt idx="47">
                  <c:v>439050</c:v>
                </c:pt>
                <c:pt idx="48">
                  <c:v>413350</c:v>
                </c:pt>
                <c:pt idx="49">
                  <c:v>422100</c:v>
                </c:pt>
                <c:pt idx="50">
                  <c:v>425200</c:v>
                </c:pt>
                <c:pt idx="51">
                  <c:v>425800</c:v>
                </c:pt>
                <c:pt idx="52">
                  <c:v>444960</c:v>
                </c:pt>
                <c:pt idx="53">
                  <c:v>445230</c:v>
                </c:pt>
                <c:pt idx="54">
                  <c:v>431550</c:v>
                </c:pt>
                <c:pt idx="55">
                  <c:v>336150</c:v>
                </c:pt>
                <c:pt idx="56">
                  <c:v>255150</c:v>
                </c:pt>
                <c:pt idx="57">
                  <c:v>218380</c:v>
                </c:pt>
                <c:pt idx="58">
                  <c:v>206750</c:v>
                </c:pt>
                <c:pt idx="59">
                  <c:v>181600</c:v>
                </c:pt>
              </c:numCache>
            </c:numRef>
          </c:val>
          <c:smooth val="0"/>
          <c:extLst xmlns:c16r2="http://schemas.microsoft.com/office/drawing/2015/06/chart">
            <c:ext xmlns:c16="http://schemas.microsoft.com/office/drawing/2014/chart" uri="{C3380CC4-5D6E-409C-BE32-E72D297353CC}">
              <c16:uniqueId val="{00000004-C193-4235-B6B9-FA1B7A41EA60}"/>
            </c:ext>
          </c:extLst>
        </c:ser>
        <c:dLbls>
          <c:showLegendKey val="0"/>
          <c:showVal val="0"/>
          <c:showCatName val="0"/>
          <c:showSerName val="0"/>
          <c:showPercent val="0"/>
          <c:showBubbleSize val="0"/>
        </c:dLbls>
        <c:marker val="1"/>
        <c:smooth val="0"/>
        <c:axId val="379949440"/>
        <c:axId val="379950976"/>
      </c:lineChart>
      <c:dateAx>
        <c:axId val="379949440"/>
        <c:scaling>
          <c:orientation val="minMax"/>
          <c:min val="44194"/>
        </c:scaling>
        <c:delete val="0"/>
        <c:axPos val="b"/>
        <c:numFmt formatCode="yyyy/mm" sourceLinked="0"/>
        <c:majorTickMark val="in"/>
        <c:minorTickMark val="none"/>
        <c:tickLblPos val="nextTo"/>
        <c:spPr>
          <a:noFill/>
          <a:ln w="15875" cap="flat" cmpd="sng" algn="ctr">
            <a:solidFill>
              <a:schemeClr val="tx1"/>
            </a:solidFill>
            <a:prstDash val="solid"/>
            <a:round/>
          </a:ln>
          <a:effectLst/>
        </c:spPr>
        <c:txPr>
          <a:bodyPr rot="1200000" spcFirstLastPara="0" vertOverflow="ellipsis" vert="horz" wrap="square" anchor="ctr" anchorCtr="1"/>
          <a:lstStyle/>
          <a:p>
            <a:pPr>
              <a:defRPr lang="zh-CN" sz="800" b="0" i="0" u="none" strike="noStrike" kern="1200" baseline="0">
                <a:solidFill>
                  <a:srgbClr val="000000"/>
                </a:solidFill>
                <a:latin typeface="Kaiti SC"/>
                <a:ea typeface="Kaiti SC"/>
                <a:cs typeface="Kaiti SC"/>
              </a:defRPr>
            </a:pPr>
            <a:endParaRPr lang="zh-CN"/>
          </a:p>
        </c:txPr>
        <c:crossAx val="379950976"/>
        <c:crosses val="autoZero"/>
        <c:auto val="0"/>
        <c:lblOffset val="100"/>
        <c:baseTimeUnit val="days"/>
        <c:majorUnit val="1"/>
        <c:majorTimeUnit val="years"/>
      </c:dateAx>
      <c:valAx>
        <c:axId val="379950976"/>
        <c:scaling>
          <c:orientation val="minMax"/>
        </c:scaling>
        <c:delete val="0"/>
        <c:axPos val="l"/>
        <c:numFmt formatCode="General" sourceLinked="0"/>
        <c:majorTickMark val="out"/>
        <c:minorTickMark val="none"/>
        <c:tickLblPos val="nextTo"/>
        <c:spPr>
          <a:ln w="15875" cap="flat" cmpd="sng" algn="ctr">
            <a:solidFill>
              <a:schemeClr val="tx1"/>
            </a:solidFill>
            <a:prstDash val="solid"/>
            <a:round/>
          </a:ln>
        </c:spPr>
        <c:txPr>
          <a:bodyPr rot="0" spcFirstLastPara="0" vertOverflow="ellipsis" vert="horz" wrap="square" anchor="ctr" anchorCtr="1"/>
          <a:lstStyle/>
          <a:p>
            <a:pPr>
              <a:defRPr lang="zh-CN" sz="800" b="0" i="0" u="none" strike="noStrike" kern="1200" baseline="0">
                <a:solidFill>
                  <a:srgbClr val="000000"/>
                </a:solidFill>
                <a:latin typeface="Kaiti SC"/>
                <a:ea typeface="Kaiti SC"/>
                <a:cs typeface="Kaiti SC"/>
              </a:defRPr>
            </a:pPr>
            <a:endParaRPr lang="zh-CN"/>
          </a:p>
        </c:txPr>
        <c:crossAx val="379949440"/>
        <c:crosses val="autoZero"/>
        <c:crossBetween val="between"/>
      </c:valAx>
      <c:spPr>
        <a:solidFill>
          <a:srgbClr val="FFFFFF"/>
        </a:solidFill>
        <a:ln w="25400">
          <a:noFill/>
        </a:ln>
      </c:spPr>
    </c:plotArea>
    <c:legend>
      <c:legendPos val="r"/>
      <c:legendEntry>
        <c:idx val="0"/>
        <c:txPr>
          <a:bodyPr rot="0" spcFirstLastPara="0" vertOverflow="ellipsis" vert="horz" wrap="square" anchor="ctr" anchorCtr="1"/>
          <a:lstStyle/>
          <a:p>
            <a:pPr>
              <a:defRPr lang="zh-CN" sz="735" b="0" i="0" u="none" strike="noStrike" kern="1200" baseline="0">
                <a:solidFill>
                  <a:srgbClr val="000000"/>
                </a:solidFill>
                <a:latin typeface="Kaiti SC"/>
                <a:ea typeface="楷体" panose="02010609060101010101" pitchFamily="3" charset="-122"/>
                <a:cs typeface="Kaiti SC"/>
              </a:defRPr>
            </a:pPr>
            <a:endParaRPr lang="zh-CN"/>
          </a:p>
        </c:txPr>
      </c:legendEntry>
      <c:legendEntry>
        <c:idx val="1"/>
        <c:txPr>
          <a:bodyPr rot="0" spcFirstLastPara="0" vertOverflow="ellipsis" vert="horz" wrap="square" anchor="ctr" anchorCtr="1"/>
          <a:lstStyle/>
          <a:p>
            <a:pPr>
              <a:defRPr lang="zh-CN" sz="735" b="0" i="0" u="none" strike="noStrike" kern="1200" baseline="0">
                <a:solidFill>
                  <a:srgbClr val="000000"/>
                </a:solidFill>
                <a:latin typeface="Kaiti SC"/>
                <a:ea typeface="楷体" panose="02010609060101010101" pitchFamily="3" charset="-122"/>
                <a:cs typeface="Kaiti SC"/>
              </a:defRPr>
            </a:pPr>
            <a:endParaRPr lang="zh-CN"/>
          </a:p>
        </c:txPr>
      </c:legendEntry>
      <c:legendEntry>
        <c:idx val="2"/>
        <c:txPr>
          <a:bodyPr rot="0" spcFirstLastPara="0" vertOverflow="ellipsis" vert="horz" wrap="square" anchor="ctr" anchorCtr="1"/>
          <a:lstStyle/>
          <a:p>
            <a:pPr>
              <a:defRPr lang="zh-CN" sz="735" b="0" i="0" u="none" strike="noStrike" kern="1200" baseline="0">
                <a:solidFill>
                  <a:srgbClr val="000000"/>
                </a:solidFill>
                <a:latin typeface="Kaiti SC"/>
                <a:ea typeface="楷体" panose="02010609060101010101" pitchFamily="3" charset="-122"/>
                <a:cs typeface="Kaiti SC"/>
              </a:defRPr>
            </a:pPr>
            <a:endParaRPr lang="zh-CN"/>
          </a:p>
        </c:txPr>
      </c:legendEntry>
      <c:legendEntry>
        <c:idx val="3"/>
        <c:txPr>
          <a:bodyPr rot="0" spcFirstLastPara="0" vertOverflow="ellipsis" vert="horz" wrap="square" anchor="ctr" anchorCtr="1"/>
          <a:lstStyle/>
          <a:p>
            <a:pPr>
              <a:defRPr lang="zh-CN" sz="735" b="0" i="0" u="none" strike="noStrike" kern="1200" baseline="0">
                <a:solidFill>
                  <a:srgbClr val="000000"/>
                </a:solidFill>
                <a:latin typeface="Kaiti SC"/>
                <a:ea typeface="楷体" panose="02010609060101010101" pitchFamily="3" charset="-122"/>
                <a:cs typeface="Kaiti SC"/>
              </a:defRPr>
            </a:pPr>
            <a:endParaRPr lang="zh-CN"/>
          </a:p>
        </c:txPr>
      </c:legendEntry>
      <c:layout>
        <c:manualLayout>
          <c:xMode val="edge"/>
          <c:yMode val="edge"/>
          <c:x val="0.362178886242501"/>
          <c:y val="4.6452502580863898E-2"/>
          <c:w val="0.380053597633489"/>
          <c:h val="0.344564741907262"/>
        </c:manualLayout>
      </c:layout>
      <c:overlay val="0"/>
      <c:spPr>
        <a:noFill/>
        <a:ln w="25400">
          <a:noFill/>
        </a:ln>
      </c:spPr>
      <c:txPr>
        <a:bodyPr rot="0" spcFirstLastPara="0" vertOverflow="ellipsis" vert="horz" wrap="square" anchor="ctr" anchorCtr="1"/>
        <a:lstStyle/>
        <a:p>
          <a:pPr>
            <a:defRPr lang="zh-CN" sz="735" b="0" i="0" u="none" strike="noStrike" kern="1200" baseline="0">
              <a:solidFill>
                <a:srgbClr val="000000"/>
              </a:solidFill>
              <a:latin typeface="Kaiti SC"/>
              <a:ea typeface="楷体" panose="02010609060101010101" pitchFamily="3" charset="-122"/>
              <a:cs typeface="Kaiti SC"/>
            </a:defRPr>
          </a:pPr>
          <a:endParaRPr lang="zh-CN"/>
        </a:p>
      </c:txPr>
    </c:legend>
    <c:plotVisOnly val="1"/>
    <c:dispBlanksAs val="span"/>
    <c:showDLblsOverMax val="0"/>
    <c:extLst xmlns:c16r2="http://schemas.microsoft.com/office/drawing/2015/06/chart">
      <c:ext uri="{0b15fc19-7d7d-44ad-8c2d-2c3a37ce22c3}">
        <chartProps xmlns="https://web.wps.cn/et/2018/main" chartId="{13cb024e-3a67-401c-9884-adfe7e8bb5f6}"/>
      </c:ext>
    </c:extLst>
  </c:chart>
  <c:spPr>
    <a:solidFill>
      <a:srgbClr val="FFFFFF"/>
    </a:solidFill>
    <a:ln w="6350" cap="flat" cmpd="sng" algn="ctr">
      <a:noFill/>
      <a:prstDash val="solid"/>
      <a:round/>
    </a:ln>
  </c:spPr>
  <c:txPr>
    <a:bodyPr/>
    <a:lstStyle/>
    <a:p>
      <a:pPr>
        <a:defRPr lang="zh-CN" sz="800" b="0" i="0" u="none" strike="noStrike" baseline="0">
          <a:solidFill>
            <a:srgbClr val="000000"/>
          </a:solidFill>
          <a:latin typeface="Kaiti SC"/>
          <a:ea typeface="Kaiti SC"/>
          <a:cs typeface="Kaiti SC"/>
        </a:defRPr>
      </a:pPr>
      <a:endParaRPr lang="zh-CN"/>
    </a:p>
  </c:txPr>
  <c:externalData r:id="rId2">
    <c:autoUpdate val="0"/>
  </c:externalData>
  <c:userShapes r:id="rId3"/>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1518037518038"/>
          <c:y val="9.18574747129252E-2"/>
          <c:w val="0.83151049868766402"/>
          <c:h val="0.69679892974072499"/>
        </c:manualLayout>
      </c:layout>
      <c:lineChart>
        <c:grouping val="standard"/>
        <c:varyColors val="0"/>
        <c:ser>
          <c:idx val="0"/>
          <c:order val="0"/>
          <c:spPr>
            <a:ln w="25400" cap="rnd" cmpd="sng" algn="ctr">
              <a:solidFill>
                <a:srgbClr val="106D9C"/>
              </a:solidFill>
              <a:prstDash val="solid"/>
              <a:round/>
            </a:ln>
            <a:effectLst/>
          </c:spPr>
          <c:marker>
            <c:symbol val="none"/>
          </c:marker>
          <c:cat>
            <c:numRef>
              <c:f>国际铁矿石价格f50!$A$3:$A$1202</c:f>
              <c:numCache>
                <c:formatCode>yyyy\-mm\-dd</c:formatCode>
                <c:ptCount val="1200"/>
                <c:pt idx="0">
                  <c:v>45757</c:v>
                </c:pt>
                <c:pt idx="1">
                  <c:v>45756</c:v>
                </c:pt>
                <c:pt idx="2">
                  <c:v>45755</c:v>
                </c:pt>
                <c:pt idx="3">
                  <c:v>45754</c:v>
                </c:pt>
                <c:pt idx="4">
                  <c:v>45751</c:v>
                </c:pt>
                <c:pt idx="5">
                  <c:v>45750</c:v>
                </c:pt>
                <c:pt idx="6">
                  <c:v>45749</c:v>
                </c:pt>
                <c:pt idx="7">
                  <c:v>45748</c:v>
                </c:pt>
                <c:pt idx="8">
                  <c:v>45744</c:v>
                </c:pt>
                <c:pt idx="9">
                  <c:v>45743</c:v>
                </c:pt>
                <c:pt idx="10">
                  <c:v>45742</c:v>
                </c:pt>
                <c:pt idx="11">
                  <c:v>45741</c:v>
                </c:pt>
                <c:pt idx="12">
                  <c:v>45740</c:v>
                </c:pt>
                <c:pt idx="13">
                  <c:v>45737</c:v>
                </c:pt>
                <c:pt idx="14">
                  <c:v>45736</c:v>
                </c:pt>
                <c:pt idx="15">
                  <c:v>45735</c:v>
                </c:pt>
                <c:pt idx="16">
                  <c:v>45734</c:v>
                </c:pt>
                <c:pt idx="17">
                  <c:v>45733</c:v>
                </c:pt>
                <c:pt idx="18">
                  <c:v>45730</c:v>
                </c:pt>
                <c:pt idx="19">
                  <c:v>45729</c:v>
                </c:pt>
                <c:pt idx="20">
                  <c:v>45728</c:v>
                </c:pt>
                <c:pt idx="21">
                  <c:v>45727</c:v>
                </c:pt>
                <c:pt idx="22">
                  <c:v>45726</c:v>
                </c:pt>
                <c:pt idx="23">
                  <c:v>45723</c:v>
                </c:pt>
                <c:pt idx="24">
                  <c:v>45722</c:v>
                </c:pt>
                <c:pt idx="25">
                  <c:v>45721</c:v>
                </c:pt>
                <c:pt idx="26">
                  <c:v>45720</c:v>
                </c:pt>
                <c:pt idx="27">
                  <c:v>45719</c:v>
                </c:pt>
                <c:pt idx="28">
                  <c:v>45716</c:v>
                </c:pt>
                <c:pt idx="29">
                  <c:v>45715</c:v>
                </c:pt>
                <c:pt idx="30">
                  <c:v>45714</c:v>
                </c:pt>
                <c:pt idx="31">
                  <c:v>45713</c:v>
                </c:pt>
                <c:pt idx="32">
                  <c:v>45712</c:v>
                </c:pt>
                <c:pt idx="33">
                  <c:v>45709</c:v>
                </c:pt>
                <c:pt idx="34">
                  <c:v>45708</c:v>
                </c:pt>
                <c:pt idx="35">
                  <c:v>45707</c:v>
                </c:pt>
                <c:pt idx="36">
                  <c:v>45706</c:v>
                </c:pt>
                <c:pt idx="37">
                  <c:v>45705</c:v>
                </c:pt>
                <c:pt idx="38">
                  <c:v>45702</c:v>
                </c:pt>
                <c:pt idx="39">
                  <c:v>45701</c:v>
                </c:pt>
                <c:pt idx="40">
                  <c:v>45700</c:v>
                </c:pt>
                <c:pt idx="41">
                  <c:v>45699</c:v>
                </c:pt>
                <c:pt idx="42">
                  <c:v>45698</c:v>
                </c:pt>
                <c:pt idx="43">
                  <c:v>45695</c:v>
                </c:pt>
                <c:pt idx="44">
                  <c:v>45694</c:v>
                </c:pt>
                <c:pt idx="45">
                  <c:v>45693</c:v>
                </c:pt>
                <c:pt idx="46">
                  <c:v>45692</c:v>
                </c:pt>
                <c:pt idx="47">
                  <c:v>45691</c:v>
                </c:pt>
                <c:pt idx="48">
                  <c:v>45688</c:v>
                </c:pt>
                <c:pt idx="49">
                  <c:v>45685</c:v>
                </c:pt>
                <c:pt idx="50">
                  <c:v>45684</c:v>
                </c:pt>
                <c:pt idx="51">
                  <c:v>45681</c:v>
                </c:pt>
                <c:pt idx="52">
                  <c:v>45680</c:v>
                </c:pt>
                <c:pt idx="53">
                  <c:v>45679</c:v>
                </c:pt>
                <c:pt idx="54">
                  <c:v>45678</c:v>
                </c:pt>
                <c:pt idx="55">
                  <c:v>45677</c:v>
                </c:pt>
                <c:pt idx="56">
                  <c:v>45674</c:v>
                </c:pt>
                <c:pt idx="57">
                  <c:v>45673</c:v>
                </c:pt>
                <c:pt idx="58">
                  <c:v>45672</c:v>
                </c:pt>
                <c:pt idx="59">
                  <c:v>45671</c:v>
                </c:pt>
                <c:pt idx="60">
                  <c:v>45670</c:v>
                </c:pt>
                <c:pt idx="61">
                  <c:v>45667</c:v>
                </c:pt>
                <c:pt idx="62">
                  <c:v>45666</c:v>
                </c:pt>
                <c:pt idx="63">
                  <c:v>45665</c:v>
                </c:pt>
                <c:pt idx="64">
                  <c:v>45664</c:v>
                </c:pt>
                <c:pt idx="65">
                  <c:v>45663</c:v>
                </c:pt>
                <c:pt idx="66">
                  <c:v>45660</c:v>
                </c:pt>
                <c:pt idx="67">
                  <c:v>45659</c:v>
                </c:pt>
                <c:pt idx="68">
                  <c:v>45657</c:v>
                </c:pt>
                <c:pt idx="69">
                  <c:v>45656</c:v>
                </c:pt>
                <c:pt idx="70">
                  <c:v>45653</c:v>
                </c:pt>
                <c:pt idx="71">
                  <c:v>45652</c:v>
                </c:pt>
                <c:pt idx="72">
                  <c:v>45650</c:v>
                </c:pt>
                <c:pt idx="73">
                  <c:v>45649</c:v>
                </c:pt>
                <c:pt idx="74">
                  <c:v>45646</c:v>
                </c:pt>
                <c:pt idx="75">
                  <c:v>45645</c:v>
                </c:pt>
                <c:pt idx="76">
                  <c:v>45644</c:v>
                </c:pt>
                <c:pt idx="77">
                  <c:v>45643</c:v>
                </c:pt>
                <c:pt idx="78">
                  <c:v>45642</c:v>
                </c:pt>
                <c:pt idx="79">
                  <c:v>45639</c:v>
                </c:pt>
                <c:pt idx="80">
                  <c:v>45638</c:v>
                </c:pt>
                <c:pt idx="81">
                  <c:v>45637</c:v>
                </c:pt>
                <c:pt idx="82">
                  <c:v>45636</c:v>
                </c:pt>
                <c:pt idx="83">
                  <c:v>45635</c:v>
                </c:pt>
                <c:pt idx="84">
                  <c:v>45632</c:v>
                </c:pt>
                <c:pt idx="85">
                  <c:v>45631</c:v>
                </c:pt>
                <c:pt idx="86">
                  <c:v>45630</c:v>
                </c:pt>
                <c:pt idx="87">
                  <c:v>45629</c:v>
                </c:pt>
                <c:pt idx="88">
                  <c:v>45628</c:v>
                </c:pt>
                <c:pt idx="89">
                  <c:v>45625</c:v>
                </c:pt>
                <c:pt idx="90">
                  <c:v>45624</c:v>
                </c:pt>
                <c:pt idx="91">
                  <c:v>45623</c:v>
                </c:pt>
                <c:pt idx="92">
                  <c:v>45622</c:v>
                </c:pt>
                <c:pt idx="93">
                  <c:v>45621</c:v>
                </c:pt>
                <c:pt idx="94">
                  <c:v>45618</c:v>
                </c:pt>
                <c:pt idx="95">
                  <c:v>45617</c:v>
                </c:pt>
                <c:pt idx="96">
                  <c:v>45616</c:v>
                </c:pt>
                <c:pt idx="97">
                  <c:v>45615</c:v>
                </c:pt>
                <c:pt idx="98">
                  <c:v>45614</c:v>
                </c:pt>
                <c:pt idx="99">
                  <c:v>45611</c:v>
                </c:pt>
                <c:pt idx="100">
                  <c:v>45610</c:v>
                </c:pt>
                <c:pt idx="101">
                  <c:v>45609</c:v>
                </c:pt>
                <c:pt idx="102">
                  <c:v>45608</c:v>
                </c:pt>
                <c:pt idx="103">
                  <c:v>45607</c:v>
                </c:pt>
                <c:pt idx="104">
                  <c:v>45604</c:v>
                </c:pt>
                <c:pt idx="105">
                  <c:v>45603</c:v>
                </c:pt>
                <c:pt idx="106">
                  <c:v>45602</c:v>
                </c:pt>
                <c:pt idx="107">
                  <c:v>45601</c:v>
                </c:pt>
                <c:pt idx="108">
                  <c:v>45600</c:v>
                </c:pt>
                <c:pt idx="109">
                  <c:v>45597</c:v>
                </c:pt>
                <c:pt idx="110">
                  <c:v>45595</c:v>
                </c:pt>
                <c:pt idx="111">
                  <c:v>45594</c:v>
                </c:pt>
                <c:pt idx="112">
                  <c:v>45593</c:v>
                </c:pt>
                <c:pt idx="113">
                  <c:v>45590</c:v>
                </c:pt>
                <c:pt idx="114">
                  <c:v>45589</c:v>
                </c:pt>
                <c:pt idx="115">
                  <c:v>45588</c:v>
                </c:pt>
                <c:pt idx="116">
                  <c:v>45587</c:v>
                </c:pt>
                <c:pt idx="117">
                  <c:v>45586</c:v>
                </c:pt>
                <c:pt idx="118">
                  <c:v>45583</c:v>
                </c:pt>
                <c:pt idx="119">
                  <c:v>45582</c:v>
                </c:pt>
                <c:pt idx="120">
                  <c:v>45581</c:v>
                </c:pt>
                <c:pt idx="121">
                  <c:v>45580</c:v>
                </c:pt>
                <c:pt idx="122">
                  <c:v>45579</c:v>
                </c:pt>
                <c:pt idx="123">
                  <c:v>45576</c:v>
                </c:pt>
                <c:pt idx="124">
                  <c:v>45575</c:v>
                </c:pt>
                <c:pt idx="125">
                  <c:v>45574</c:v>
                </c:pt>
                <c:pt idx="126">
                  <c:v>45573</c:v>
                </c:pt>
                <c:pt idx="127">
                  <c:v>45572</c:v>
                </c:pt>
                <c:pt idx="128">
                  <c:v>45569</c:v>
                </c:pt>
                <c:pt idx="129">
                  <c:v>45568</c:v>
                </c:pt>
                <c:pt idx="130">
                  <c:v>45567</c:v>
                </c:pt>
                <c:pt idx="131">
                  <c:v>45566</c:v>
                </c:pt>
                <c:pt idx="132">
                  <c:v>45565</c:v>
                </c:pt>
                <c:pt idx="133">
                  <c:v>45562</c:v>
                </c:pt>
                <c:pt idx="134">
                  <c:v>45561</c:v>
                </c:pt>
                <c:pt idx="135">
                  <c:v>45560</c:v>
                </c:pt>
                <c:pt idx="136">
                  <c:v>45559</c:v>
                </c:pt>
                <c:pt idx="137">
                  <c:v>45558</c:v>
                </c:pt>
                <c:pt idx="138">
                  <c:v>45555</c:v>
                </c:pt>
                <c:pt idx="139">
                  <c:v>45554</c:v>
                </c:pt>
                <c:pt idx="140">
                  <c:v>45553</c:v>
                </c:pt>
                <c:pt idx="141">
                  <c:v>45552</c:v>
                </c:pt>
                <c:pt idx="142">
                  <c:v>45551</c:v>
                </c:pt>
                <c:pt idx="143">
                  <c:v>45548</c:v>
                </c:pt>
                <c:pt idx="144">
                  <c:v>45547</c:v>
                </c:pt>
                <c:pt idx="145">
                  <c:v>45546</c:v>
                </c:pt>
                <c:pt idx="146">
                  <c:v>45545</c:v>
                </c:pt>
                <c:pt idx="147">
                  <c:v>45544</c:v>
                </c:pt>
                <c:pt idx="148">
                  <c:v>45541</c:v>
                </c:pt>
                <c:pt idx="149">
                  <c:v>45540</c:v>
                </c:pt>
                <c:pt idx="150">
                  <c:v>45539</c:v>
                </c:pt>
                <c:pt idx="151">
                  <c:v>45538</c:v>
                </c:pt>
                <c:pt idx="152">
                  <c:v>45537</c:v>
                </c:pt>
                <c:pt idx="153">
                  <c:v>45534</c:v>
                </c:pt>
                <c:pt idx="154">
                  <c:v>45533</c:v>
                </c:pt>
                <c:pt idx="155">
                  <c:v>45532</c:v>
                </c:pt>
                <c:pt idx="156">
                  <c:v>45531</c:v>
                </c:pt>
                <c:pt idx="157">
                  <c:v>45530</c:v>
                </c:pt>
                <c:pt idx="158">
                  <c:v>45527</c:v>
                </c:pt>
                <c:pt idx="159">
                  <c:v>45526</c:v>
                </c:pt>
                <c:pt idx="160">
                  <c:v>45525</c:v>
                </c:pt>
                <c:pt idx="161">
                  <c:v>45524</c:v>
                </c:pt>
                <c:pt idx="162">
                  <c:v>45523</c:v>
                </c:pt>
                <c:pt idx="163">
                  <c:v>45520</c:v>
                </c:pt>
                <c:pt idx="164">
                  <c:v>45519</c:v>
                </c:pt>
                <c:pt idx="165">
                  <c:v>45518</c:v>
                </c:pt>
                <c:pt idx="166">
                  <c:v>45517</c:v>
                </c:pt>
                <c:pt idx="167">
                  <c:v>45516</c:v>
                </c:pt>
                <c:pt idx="168">
                  <c:v>45512</c:v>
                </c:pt>
                <c:pt idx="169">
                  <c:v>45511</c:v>
                </c:pt>
                <c:pt idx="170">
                  <c:v>45510</c:v>
                </c:pt>
                <c:pt idx="171">
                  <c:v>45509</c:v>
                </c:pt>
                <c:pt idx="172">
                  <c:v>45506</c:v>
                </c:pt>
                <c:pt idx="173">
                  <c:v>45505</c:v>
                </c:pt>
                <c:pt idx="174">
                  <c:v>45504</c:v>
                </c:pt>
                <c:pt idx="175">
                  <c:v>45503</c:v>
                </c:pt>
                <c:pt idx="176">
                  <c:v>45502</c:v>
                </c:pt>
                <c:pt idx="177">
                  <c:v>45499</c:v>
                </c:pt>
                <c:pt idx="178">
                  <c:v>45498</c:v>
                </c:pt>
                <c:pt idx="179">
                  <c:v>45497</c:v>
                </c:pt>
                <c:pt idx="180">
                  <c:v>45496</c:v>
                </c:pt>
                <c:pt idx="181">
                  <c:v>45495</c:v>
                </c:pt>
                <c:pt idx="182">
                  <c:v>45492</c:v>
                </c:pt>
                <c:pt idx="183">
                  <c:v>45491</c:v>
                </c:pt>
                <c:pt idx="184">
                  <c:v>45490</c:v>
                </c:pt>
                <c:pt idx="185">
                  <c:v>45489</c:v>
                </c:pt>
                <c:pt idx="186">
                  <c:v>45488</c:v>
                </c:pt>
                <c:pt idx="187">
                  <c:v>45485</c:v>
                </c:pt>
                <c:pt idx="188">
                  <c:v>45484</c:v>
                </c:pt>
                <c:pt idx="189">
                  <c:v>45483</c:v>
                </c:pt>
                <c:pt idx="190">
                  <c:v>45482</c:v>
                </c:pt>
                <c:pt idx="191">
                  <c:v>45481</c:v>
                </c:pt>
                <c:pt idx="192">
                  <c:v>45478</c:v>
                </c:pt>
                <c:pt idx="193">
                  <c:v>45477</c:v>
                </c:pt>
                <c:pt idx="194">
                  <c:v>45476</c:v>
                </c:pt>
                <c:pt idx="195">
                  <c:v>45475</c:v>
                </c:pt>
                <c:pt idx="196">
                  <c:v>45474</c:v>
                </c:pt>
                <c:pt idx="197">
                  <c:v>45471</c:v>
                </c:pt>
                <c:pt idx="198">
                  <c:v>45470</c:v>
                </c:pt>
                <c:pt idx="199">
                  <c:v>45469</c:v>
                </c:pt>
                <c:pt idx="200">
                  <c:v>45468</c:v>
                </c:pt>
                <c:pt idx="201">
                  <c:v>45467</c:v>
                </c:pt>
                <c:pt idx="202">
                  <c:v>45464</c:v>
                </c:pt>
                <c:pt idx="203">
                  <c:v>45463</c:v>
                </c:pt>
                <c:pt idx="204">
                  <c:v>45462</c:v>
                </c:pt>
                <c:pt idx="205">
                  <c:v>45461</c:v>
                </c:pt>
                <c:pt idx="206">
                  <c:v>45457</c:v>
                </c:pt>
                <c:pt idx="207">
                  <c:v>45456</c:v>
                </c:pt>
                <c:pt idx="208">
                  <c:v>45455</c:v>
                </c:pt>
                <c:pt idx="209">
                  <c:v>45454</c:v>
                </c:pt>
                <c:pt idx="210">
                  <c:v>45453</c:v>
                </c:pt>
                <c:pt idx="211">
                  <c:v>45450</c:v>
                </c:pt>
                <c:pt idx="212">
                  <c:v>45449</c:v>
                </c:pt>
                <c:pt idx="213">
                  <c:v>45448</c:v>
                </c:pt>
                <c:pt idx="214">
                  <c:v>45447</c:v>
                </c:pt>
                <c:pt idx="215">
                  <c:v>45446</c:v>
                </c:pt>
                <c:pt idx="216">
                  <c:v>45443</c:v>
                </c:pt>
                <c:pt idx="217">
                  <c:v>45442</c:v>
                </c:pt>
                <c:pt idx="218">
                  <c:v>45441</c:v>
                </c:pt>
                <c:pt idx="219">
                  <c:v>45440</c:v>
                </c:pt>
                <c:pt idx="220">
                  <c:v>45439</c:v>
                </c:pt>
                <c:pt idx="221">
                  <c:v>45436</c:v>
                </c:pt>
                <c:pt idx="222">
                  <c:v>45435</c:v>
                </c:pt>
                <c:pt idx="223">
                  <c:v>45433</c:v>
                </c:pt>
                <c:pt idx="224">
                  <c:v>45432</c:v>
                </c:pt>
                <c:pt idx="225">
                  <c:v>45429</c:v>
                </c:pt>
                <c:pt idx="226">
                  <c:v>45428</c:v>
                </c:pt>
                <c:pt idx="227">
                  <c:v>45427</c:v>
                </c:pt>
                <c:pt idx="228">
                  <c:v>45426</c:v>
                </c:pt>
                <c:pt idx="229">
                  <c:v>45425</c:v>
                </c:pt>
                <c:pt idx="230">
                  <c:v>45422</c:v>
                </c:pt>
                <c:pt idx="231">
                  <c:v>45421</c:v>
                </c:pt>
                <c:pt idx="232">
                  <c:v>45420</c:v>
                </c:pt>
                <c:pt idx="233">
                  <c:v>45419</c:v>
                </c:pt>
                <c:pt idx="234">
                  <c:v>45418</c:v>
                </c:pt>
                <c:pt idx="235">
                  <c:v>45415</c:v>
                </c:pt>
                <c:pt idx="236">
                  <c:v>45414</c:v>
                </c:pt>
                <c:pt idx="237">
                  <c:v>45412</c:v>
                </c:pt>
                <c:pt idx="238">
                  <c:v>45411</c:v>
                </c:pt>
                <c:pt idx="239">
                  <c:v>45408</c:v>
                </c:pt>
                <c:pt idx="240">
                  <c:v>45407</c:v>
                </c:pt>
                <c:pt idx="241">
                  <c:v>45406</c:v>
                </c:pt>
                <c:pt idx="242">
                  <c:v>45405</c:v>
                </c:pt>
                <c:pt idx="243">
                  <c:v>45404</c:v>
                </c:pt>
                <c:pt idx="244">
                  <c:v>45401</c:v>
                </c:pt>
                <c:pt idx="245">
                  <c:v>45400</c:v>
                </c:pt>
                <c:pt idx="246">
                  <c:v>45399</c:v>
                </c:pt>
                <c:pt idx="247">
                  <c:v>45398</c:v>
                </c:pt>
                <c:pt idx="248">
                  <c:v>45397</c:v>
                </c:pt>
                <c:pt idx="249">
                  <c:v>45394</c:v>
                </c:pt>
                <c:pt idx="250">
                  <c:v>45393</c:v>
                </c:pt>
                <c:pt idx="251">
                  <c:v>45391</c:v>
                </c:pt>
                <c:pt idx="252">
                  <c:v>45390</c:v>
                </c:pt>
                <c:pt idx="253">
                  <c:v>45387</c:v>
                </c:pt>
                <c:pt idx="254">
                  <c:v>45386</c:v>
                </c:pt>
                <c:pt idx="255">
                  <c:v>45385</c:v>
                </c:pt>
                <c:pt idx="256">
                  <c:v>45384</c:v>
                </c:pt>
                <c:pt idx="257">
                  <c:v>45383</c:v>
                </c:pt>
                <c:pt idx="258">
                  <c:v>45379</c:v>
                </c:pt>
                <c:pt idx="259">
                  <c:v>45378</c:v>
                </c:pt>
                <c:pt idx="260">
                  <c:v>45377</c:v>
                </c:pt>
                <c:pt idx="261">
                  <c:v>45376</c:v>
                </c:pt>
                <c:pt idx="262">
                  <c:v>45373</c:v>
                </c:pt>
                <c:pt idx="263">
                  <c:v>45372</c:v>
                </c:pt>
                <c:pt idx="264">
                  <c:v>45371</c:v>
                </c:pt>
                <c:pt idx="265">
                  <c:v>45370</c:v>
                </c:pt>
                <c:pt idx="266">
                  <c:v>45369</c:v>
                </c:pt>
                <c:pt idx="267">
                  <c:v>45366</c:v>
                </c:pt>
                <c:pt idx="268">
                  <c:v>45365</c:v>
                </c:pt>
                <c:pt idx="269">
                  <c:v>45364</c:v>
                </c:pt>
                <c:pt idx="270">
                  <c:v>45363</c:v>
                </c:pt>
                <c:pt idx="271">
                  <c:v>45362</c:v>
                </c:pt>
                <c:pt idx="272">
                  <c:v>45359</c:v>
                </c:pt>
                <c:pt idx="273">
                  <c:v>45358</c:v>
                </c:pt>
                <c:pt idx="274">
                  <c:v>45357</c:v>
                </c:pt>
                <c:pt idx="275">
                  <c:v>45356</c:v>
                </c:pt>
                <c:pt idx="276">
                  <c:v>45355</c:v>
                </c:pt>
                <c:pt idx="277">
                  <c:v>45352</c:v>
                </c:pt>
                <c:pt idx="278">
                  <c:v>45351</c:v>
                </c:pt>
                <c:pt idx="279">
                  <c:v>45350</c:v>
                </c:pt>
                <c:pt idx="280">
                  <c:v>45349</c:v>
                </c:pt>
                <c:pt idx="281">
                  <c:v>45348</c:v>
                </c:pt>
                <c:pt idx="282">
                  <c:v>45345</c:v>
                </c:pt>
                <c:pt idx="283">
                  <c:v>45344</c:v>
                </c:pt>
                <c:pt idx="284">
                  <c:v>45343</c:v>
                </c:pt>
                <c:pt idx="285">
                  <c:v>45342</c:v>
                </c:pt>
                <c:pt idx="286">
                  <c:v>45341</c:v>
                </c:pt>
                <c:pt idx="287">
                  <c:v>45338</c:v>
                </c:pt>
                <c:pt idx="288">
                  <c:v>45337</c:v>
                </c:pt>
                <c:pt idx="289">
                  <c:v>45336</c:v>
                </c:pt>
                <c:pt idx="290">
                  <c:v>45335</c:v>
                </c:pt>
                <c:pt idx="291">
                  <c:v>45331</c:v>
                </c:pt>
                <c:pt idx="292">
                  <c:v>45330</c:v>
                </c:pt>
                <c:pt idx="293">
                  <c:v>45329</c:v>
                </c:pt>
                <c:pt idx="294">
                  <c:v>45328</c:v>
                </c:pt>
                <c:pt idx="295">
                  <c:v>45327</c:v>
                </c:pt>
                <c:pt idx="296">
                  <c:v>45324</c:v>
                </c:pt>
                <c:pt idx="297">
                  <c:v>45323</c:v>
                </c:pt>
                <c:pt idx="298">
                  <c:v>45322</c:v>
                </c:pt>
                <c:pt idx="299">
                  <c:v>45321</c:v>
                </c:pt>
                <c:pt idx="300">
                  <c:v>45320</c:v>
                </c:pt>
                <c:pt idx="301">
                  <c:v>45317</c:v>
                </c:pt>
                <c:pt idx="302">
                  <c:v>45316</c:v>
                </c:pt>
                <c:pt idx="303">
                  <c:v>45315</c:v>
                </c:pt>
                <c:pt idx="304">
                  <c:v>45314</c:v>
                </c:pt>
                <c:pt idx="305">
                  <c:v>45313</c:v>
                </c:pt>
                <c:pt idx="306">
                  <c:v>45310</c:v>
                </c:pt>
                <c:pt idx="307">
                  <c:v>45309</c:v>
                </c:pt>
                <c:pt idx="308">
                  <c:v>45308</c:v>
                </c:pt>
                <c:pt idx="309">
                  <c:v>45307</c:v>
                </c:pt>
                <c:pt idx="310">
                  <c:v>45306</c:v>
                </c:pt>
                <c:pt idx="311">
                  <c:v>45303</c:v>
                </c:pt>
                <c:pt idx="312">
                  <c:v>45302</c:v>
                </c:pt>
                <c:pt idx="313">
                  <c:v>45301</c:v>
                </c:pt>
                <c:pt idx="314">
                  <c:v>45300</c:v>
                </c:pt>
                <c:pt idx="315">
                  <c:v>45299</c:v>
                </c:pt>
                <c:pt idx="316">
                  <c:v>45296</c:v>
                </c:pt>
                <c:pt idx="317">
                  <c:v>45295</c:v>
                </c:pt>
                <c:pt idx="318">
                  <c:v>45294</c:v>
                </c:pt>
                <c:pt idx="319">
                  <c:v>45293</c:v>
                </c:pt>
                <c:pt idx="320">
                  <c:v>45289</c:v>
                </c:pt>
                <c:pt idx="321">
                  <c:v>45288</c:v>
                </c:pt>
                <c:pt idx="322">
                  <c:v>45287</c:v>
                </c:pt>
                <c:pt idx="323">
                  <c:v>45286</c:v>
                </c:pt>
                <c:pt idx="324">
                  <c:v>45282</c:v>
                </c:pt>
                <c:pt idx="325">
                  <c:v>45281</c:v>
                </c:pt>
                <c:pt idx="326">
                  <c:v>45280</c:v>
                </c:pt>
                <c:pt idx="327">
                  <c:v>45279</c:v>
                </c:pt>
                <c:pt idx="328">
                  <c:v>45278</c:v>
                </c:pt>
                <c:pt idx="329">
                  <c:v>45275</c:v>
                </c:pt>
                <c:pt idx="330">
                  <c:v>45274</c:v>
                </c:pt>
                <c:pt idx="331">
                  <c:v>45273</c:v>
                </c:pt>
                <c:pt idx="332">
                  <c:v>45272</c:v>
                </c:pt>
                <c:pt idx="333">
                  <c:v>45271</c:v>
                </c:pt>
                <c:pt idx="334">
                  <c:v>45268</c:v>
                </c:pt>
                <c:pt idx="335">
                  <c:v>45267</c:v>
                </c:pt>
                <c:pt idx="336">
                  <c:v>45266</c:v>
                </c:pt>
                <c:pt idx="337">
                  <c:v>45265</c:v>
                </c:pt>
                <c:pt idx="338">
                  <c:v>45264</c:v>
                </c:pt>
                <c:pt idx="339">
                  <c:v>45261</c:v>
                </c:pt>
                <c:pt idx="340">
                  <c:v>45260</c:v>
                </c:pt>
                <c:pt idx="341">
                  <c:v>45259</c:v>
                </c:pt>
                <c:pt idx="342">
                  <c:v>45258</c:v>
                </c:pt>
                <c:pt idx="343">
                  <c:v>45257</c:v>
                </c:pt>
                <c:pt idx="344">
                  <c:v>45254</c:v>
                </c:pt>
                <c:pt idx="345">
                  <c:v>45253</c:v>
                </c:pt>
                <c:pt idx="346">
                  <c:v>45252</c:v>
                </c:pt>
                <c:pt idx="347">
                  <c:v>45251</c:v>
                </c:pt>
                <c:pt idx="348">
                  <c:v>45250</c:v>
                </c:pt>
                <c:pt idx="349">
                  <c:v>45247</c:v>
                </c:pt>
                <c:pt idx="350">
                  <c:v>45246</c:v>
                </c:pt>
                <c:pt idx="351">
                  <c:v>45245</c:v>
                </c:pt>
                <c:pt idx="352">
                  <c:v>45244</c:v>
                </c:pt>
                <c:pt idx="353">
                  <c:v>45240</c:v>
                </c:pt>
                <c:pt idx="354">
                  <c:v>45239</c:v>
                </c:pt>
                <c:pt idx="355">
                  <c:v>45238</c:v>
                </c:pt>
                <c:pt idx="356">
                  <c:v>45237</c:v>
                </c:pt>
                <c:pt idx="357">
                  <c:v>45236</c:v>
                </c:pt>
                <c:pt idx="358">
                  <c:v>45233</c:v>
                </c:pt>
                <c:pt idx="359">
                  <c:v>45232</c:v>
                </c:pt>
                <c:pt idx="360">
                  <c:v>45231</c:v>
                </c:pt>
                <c:pt idx="361">
                  <c:v>45230</c:v>
                </c:pt>
                <c:pt idx="362">
                  <c:v>45229</c:v>
                </c:pt>
                <c:pt idx="363">
                  <c:v>45226</c:v>
                </c:pt>
                <c:pt idx="364">
                  <c:v>45225</c:v>
                </c:pt>
                <c:pt idx="365">
                  <c:v>45224</c:v>
                </c:pt>
                <c:pt idx="366">
                  <c:v>45223</c:v>
                </c:pt>
                <c:pt idx="367">
                  <c:v>45222</c:v>
                </c:pt>
                <c:pt idx="368">
                  <c:v>45219</c:v>
                </c:pt>
                <c:pt idx="369">
                  <c:v>45218</c:v>
                </c:pt>
                <c:pt idx="370">
                  <c:v>45217</c:v>
                </c:pt>
                <c:pt idx="371">
                  <c:v>45216</c:v>
                </c:pt>
                <c:pt idx="372">
                  <c:v>45215</c:v>
                </c:pt>
                <c:pt idx="373">
                  <c:v>45212</c:v>
                </c:pt>
                <c:pt idx="374">
                  <c:v>45211</c:v>
                </c:pt>
                <c:pt idx="375">
                  <c:v>45210</c:v>
                </c:pt>
                <c:pt idx="376">
                  <c:v>45209</c:v>
                </c:pt>
                <c:pt idx="377">
                  <c:v>45208</c:v>
                </c:pt>
                <c:pt idx="378">
                  <c:v>45205</c:v>
                </c:pt>
                <c:pt idx="379">
                  <c:v>45204</c:v>
                </c:pt>
                <c:pt idx="380">
                  <c:v>45203</c:v>
                </c:pt>
                <c:pt idx="381">
                  <c:v>45202</c:v>
                </c:pt>
                <c:pt idx="382">
                  <c:v>45201</c:v>
                </c:pt>
                <c:pt idx="383">
                  <c:v>45198</c:v>
                </c:pt>
                <c:pt idx="384">
                  <c:v>45197</c:v>
                </c:pt>
                <c:pt idx="385">
                  <c:v>45196</c:v>
                </c:pt>
                <c:pt idx="386">
                  <c:v>45195</c:v>
                </c:pt>
                <c:pt idx="387">
                  <c:v>45194</c:v>
                </c:pt>
                <c:pt idx="388">
                  <c:v>45191</c:v>
                </c:pt>
                <c:pt idx="389">
                  <c:v>45190</c:v>
                </c:pt>
                <c:pt idx="390">
                  <c:v>45189</c:v>
                </c:pt>
                <c:pt idx="391">
                  <c:v>45188</c:v>
                </c:pt>
                <c:pt idx="392">
                  <c:v>45187</c:v>
                </c:pt>
                <c:pt idx="393">
                  <c:v>45184</c:v>
                </c:pt>
                <c:pt idx="394">
                  <c:v>45183</c:v>
                </c:pt>
                <c:pt idx="395">
                  <c:v>45182</c:v>
                </c:pt>
                <c:pt idx="396">
                  <c:v>45181</c:v>
                </c:pt>
                <c:pt idx="397">
                  <c:v>45180</c:v>
                </c:pt>
                <c:pt idx="398">
                  <c:v>45177</c:v>
                </c:pt>
                <c:pt idx="399">
                  <c:v>45176</c:v>
                </c:pt>
                <c:pt idx="400">
                  <c:v>45175</c:v>
                </c:pt>
                <c:pt idx="401">
                  <c:v>45174</c:v>
                </c:pt>
                <c:pt idx="402">
                  <c:v>45173</c:v>
                </c:pt>
                <c:pt idx="403">
                  <c:v>45169</c:v>
                </c:pt>
                <c:pt idx="404">
                  <c:v>45168</c:v>
                </c:pt>
                <c:pt idx="405">
                  <c:v>45167</c:v>
                </c:pt>
                <c:pt idx="406">
                  <c:v>45166</c:v>
                </c:pt>
                <c:pt idx="407">
                  <c:v>45163</c:v>
                </c:pt>
                <c:pt idx="408">
                  <c:v>45162</c:v>
                </c:pt>
                <c:pt idx="409">
                  <c:v>45161</c:v>
                </c:pt>
                <c:pt idx="410">
                  <c:v>45160</c:v>
                </c:pt>
                <c:pt idx="411">
                  <c:v>45159</c:v>
                </c:pt>
                <c:pt idx="412">
                  <c:v>45156</c:v>
                </c:pt>
                <c:pt idx="413">
                  <c:v>45155</c:v>
                </c:pt>
                <c:pt idx="414">
                  <c:v>45154</c:v>
                </c:pt>
                <c:pt idx="415">
                  <c:v>45153</c:v>
                </c:pt>
                <c:pt idx="416">
                  <c:v>45152</c:v>
                </c:pt>
                <c:pt idx="417">
                  <c:v>45149</c:v>
                </c:pt>
                <c:pt idx="418">
                  <c:v>45148</c:v>
                </c:pt>
                <c:pt idx="419">
                  <c:v>45146</c:v>
                </c:pt>
                <c:pt idx="420">
                  <c:v>45145</c:v>
                </c:pt>
                <c:pt idx="421">
                  <c:v>45142</c:v>
                </c:pt>
                <c:pt idx="422">
                  <c:v>45141</c:v>
                </c:pt>
                <c:pt idx="423">
                  <c:v>45140</c:v>
                </c:pt>
                <c:pt idx="424">
                  <c:v>45139</c:v>
                </c:pt>
                <c:pt idx="425">
                  <c:v>45138</c:v>
                </c:pt>
                <c:pt idx="426">
                  <c:v>45135</c:v>
                </c:pt>
                <c:pt idx="427">
                  <c:v>45134</c:v>
                </c:pt>
                <c:pt idx="428">
                  <c:v>45133</c:v>
                </c:pt>
                <c:pt idx="429">
                  <c:v>45132</c:v>
                </c:pt>
                <c:pt idx="430">
                  <c:v>45131</c:v>
                </c:pt>
                <c:pt idx="431">
                  <c:v>45128</c:v>
                </c:pt>
                <c:pt idx="432">
                  <c:v>45127</c:v>
                </c:pt>
                <c:pt idx="433">
                  <c:v>45126</c:v>
                </c:pt>
                <c:pt idx="434">
                  <c:v>45125</c:v>
                </c:pt>
                <c:pt idx="435">
                  <c:v>45124</c:v>
                </c:pt>
                <c:pt idx="436">
                  <c:v>45121</c:v>
                </c:pt>
                <c:pt idx="437">
                  <c:v>45120</c:v>
                </c:pt>
                <c:pt idx="438">
                  <c:v>45119</c:v>
                </c:pt>
                <c:pt idx="439">
                  <c:v>45118</c:v>
                </c:pt>
                <c:pt idx="440">
                  <c:v>45117</c:v>
                </c:pt>
                <c:pt idx="441">
                  <c:v>45114</c:v>
                </c:pt>
                <c:pt idx="442">
                  <c:v>45113</c:v>
                </c:pt>
                <c:pt idx="443">
                  <c:v>45112</c:v>
                </c:pt>
                <c:pt idx="444">
                  <c:v>45111</c:v>
                </c:pt>
                <c:pt idx="445">
                  <c:v>45110</c:v>
                </c:pt>
                <c:pt idx="446">
                  <c:v>45107</c:v>
                </c:pt>
                <c:pt idx="447">
                  <c:v>45105</c:v>
                </c:pt>
                <c:pt idx="448">
                  <c:v>45104</c:v>
                </c:pt>
                <c:pt idx="449">
                  <c:v>45103</c:v>
                </c:pt>
                <c:pt idx="450">
                  <c:v>45100</c:v>
                </c:pt>
                <c:pt idx="451">
                  <c:v>45099</c:v>
                </c:pt>
                <c:pt idx="452">
                  <c:v>45098</c:v>
                </c:pt>
                <c:pt idx="453">
                  <c:v>45097</c:v>
                </c:pt>
                <c:pt idx="454">
                  <c:v>45096</c:v>
                </c:pt>
                <c:pt idx="455">
                  <c:v>45093</c:v>
                </c:pt>
                <c:pt idx="456">
                  <c:v>45092</c:v>
                </c:pt>
                <c:pt idx="457">
                  <c:v>45091</c:v>
                </c:pt>
                <c:pt idx="458">
                  <c:v>45090</c:v>
                </c:pt>
                <c:pt idx="459">
                  <c:v>45089</c:v>
                </c:pt>
                <c:pt idx="460">
                  <c:v>45086</c:v>
                </c:pt>
                <c:pt idx="461">
                  <c:v>45085</c:v>
                </c:pt>
                <c:pt idx="462">
                  <c:v>45084</c:v>
                </c:pt>
                <c:pt idx="463">
                  <c:v>45083</c:v>
                </c:pt>
                <c:pt idx="464">
                  <c:v>45082</c:v>
                </c:pt>
                <c:pt idx="465">
                  <c:v>45078</c:v>
                </c:pt>
                <c:pt idx="466">
                  <c:v>45077</c:v>
                </c:pt>
                <c:pt idx="467">
                  <c:v>45076</c:v>
                </c:pt>
                <c:pt idx="468">
                  <c:v>45075</c:v>
                </c:pt>
                <c:pt idx="469">
                  <c:v>45072</c:v>
                </c:pt>
                <c:pt idx="470">
                  <c:v>45071</c:v>
                </c:pt>
                <c:pt idx="471">
                  <c:v>45070</c:v>
                </c:pt>
                <c:pt idx="472">
                  <c:v>45069</c:v>
                </c:pt>
                <c:pt idx="473">
                  <c:v>45068</c:v>
                </c:pt>
                <c:pt idx="474">
                  <c:v>45065</c:v>
                </c:pt>
                <c:pt idx="475">
                  <c:v>45064</c:v>
                </c:pt>
                <c:pt idx="476">
                  <c:v>45063</c:v>
                </c:pt>
                <c:pt idx="477">
                  <c:v>45062</c:v>
                </c:pt>
                <c:pt idx="478">
                  <c:v>45061</c:v>
                </c:pt>
                <c:pt idx="479">
                  <c:v>45058</c:v>
                </c:pt>
                <c:pt idx="480">
                  <c:v>45057</c:v>
                </c:pt>
                <c:pt idx="481">
                  <c:v>45056</c:v>
                </c:pt>
                <c:pt idx="482">
                  <c:v>45055</c:v>
                </c:pt>
                <c:pt idx="483">
                  <c:v>45054</c:v>
                </c:pt>
                <c:pt idx="484">
                  <c:v>45051</c:v>
                </c:pt>
                <c:pt idx="485">
                  <c:v>45050</c:v>
                </c:pt>
                <c:pt idx="486">
                  <c:v>45049</c:v>
                </c:pt>
                <c:pt idx="487">
                  <c:v>45048</c:v>
                </c:pt>
                <c:pt idx="488">
                  <c:v>45044</c:v>
                </c:pt>
                <c:pt idx="489">
                  <c:v>45043</c:v>
                </c:pt>
                <c:pt idx="490">
                  <c:v>45042</c:v>
                </c:pt>
                <c:pt idx="491">
                  <c:v>45041</c:v>
                </c:pt>
                <c:pt idx="492">
                  <c:v>45040</c:v>
                </c:pt>
                <c:pt idx="493">
                  <c:v>45037</c:v>
                </c:pt>
                <c:pt idx="494">
                  <c:v>45036</c:v>
                </c:pt>
                <c:pt idx="495">
                  <c:v>45035</c:v>
                </c:pt>
                <c:pt idx="496">
                  <c:v>45034</c:v>
                </c:pt>
                <c:pt idx="497">
                  <c:v>45033</c:v>
                </c:pt>
                <c:pt idx="498">
                  <c:v>45030</c:v>
                </c:pt>
                <c:pt idx="499">
                  <c:v>45029</c:v>
                </c:pt>
                <c:pt idx="500">
                  <c:v>45028</c:v>
                </c:pt>
                <c:pt idx="501">
                  <c:v>45027</c:v>
                </c:pt>
                <c:pt idx="502">
                  <c:v>45026</c:v>
                </c:pt>
                <c:pt idx="503">
                  <c:v>45022</c:v>
                </c:pt>
                <c:pt idx="504">
                  <c:v>45021</c:v>
                </c:pt>
                <c:pt idx="505">
                  <c:v>45020</c:v>
                </c:pt>
                <c:pt idx="506">
                  <c:v>45019</c:v>
                </c:pt>
                <c:pt idx="507">
                  <c:v>45016</c:v>
                </c:pt>
                <c:pt idx="508">
                  <c:v>45015</c:v>
                </c:pt>
                <c:pt idx="509">
                  <c:v>45014</c:v>
                </c:pt>
                <c:pt idx="510">
                  <c:v>45013</c:v>
                </c:pt>
                <c:pt idx="511">
                  <c:v>45012</c:v>
                </c:pt>
                <c:pt idx="512">
                  <c:v>45009</c:v>
                </c:pt>
                <c:pt idx="513">
                  <c:v>45008</c:v>
                </c:pt>
                <c:pt idx="514">
                  <c:v>45007</c:v>
                </c:pt>
                <c:pt idx="515">
                  <c:v>45006</c:v>
                </c:pt>
                <c:pt idx="516">
                  <c:v>45005</c:v>
                </c:pt>
                <c:pt idx="517">
                  <c:v>45002</c:v>
                </c:pt>
                <c:pt idx="518">
                  <c:v>45001</c:v>
                </c:pt>
                <c:pt idx="519">
                  <c:v>45000</c:v>
                </c:pt>
                <c:pt idx="520">
                  <c:v>44999</c:v>
                </c:pt>
                <c:pt idx="521">
                  <c:v>44998</c:v>
                </c:pt>
                <c:pt idx="522">
                  <c:v>44995</c:v>
                </c:pt>
                <c:pt idx="523">
                  <c:v>44994</c:v>
                </c:pt>
                <c:pt idx="524">
                  <c:v>44993</c:v>
                </c:pt>
                <c:pt idx="525">
                  <c:v>44992</c:v>
                </c:pt>
                <c:pt idx="526">
                  <c:v>44991</c:v>
                </c:pt>
                <c:pt idx="527">
                  <c:v>44988</c:v>
                </c:pt>
                <c:pt idx="528">
                  <c:v>44987</c:v>
                </c:pt>
                <c:pt idx="529">
                  <c:v>44986</c:v>
                </c:pt>
                <c:pt idx="530">
                  <c:v>44985</c:v>
                </c:pt>
                <c:pt idx="531">
                  <c:v>44984</c:v>
                </c:pt>
                <c:pt idx="532">
                  <c:v>44981</c:v>
                </c:pt>
                <c:pt idx="533">
                  <c:v>44980</c:v>
                </c:pt>
                <c:pt idx="534">
                  <c:v>44979</c:v>
                </c:pt>
                <c:pt idx="535">
                  <c:v>44978</c:v>
                </c:pt>
                <c:pt idx="536">
                  <c:v>44977</c:v>
                </c:pt>
                <c:pt idx="537">
                  <c:v>44974</c:v>
                </c:pt>
                <c:pt idx="538">
                  <c:v>44973</c:v>
                </c:pt>
                <c:pt idx="539">
                  <c:v>44972</c:v>
                </c:pt>
                <c:pt idx="540">
                  <c:v>44971</c:v>
                </c:pt>
                <c:pt idx="541">
                  <c:v>44970</c:v>
                </c:pt>
                <c:pt idx="542">
                  <c:v>44967</c:v>
                </c:pt>
                <c:pt idx="543">
                  <c:v>44966</c:v>
                </c:pt>
                <c:pt idx="544">
                  <c:v>44965</c:v>
                </c:pt>
                <c:pt idx="545">
                  <c:v>44964</c:v>
                </c:pt>
                <c:pt idx="546">
                  <c:v>44963</c:v>
                </c:pt>
                <c:pt idx="547">
                  <c:v>44960</c:v>
                </c:pt>
                <c:pt idx="548">
                  <c:v>44959</c:v>
                </c:pt>
                <c:pt idx="549">
                  <c:v>44958</c:v>
                </c:pt>
                <c:pt idx="550">
                  <c:v>44957</c:v>
                </c:pt>
                <c:pt idx="551">
                  <c:v>44956</c:v>
                </c:pt>
                <c:pt idx="552">
                  <c:v>44953</c:v>
                </c:pt>
                <c:pt idx="553">
                  <c:v>44952</c:v>
                </c:pt>
                <c:pt idx="554">
                  <c:v>44951</c:v>
                </c:pt>
                <c:pt idx="555">
                  <c:v>44946</c:v>
                </c:pt>
                <c:pt idx="556">
                  <c:v>44945</c:v>
                </c:pt>
                <c:pt idx="557">
                  <c:v>44944</c:v>
                </c:pt>
                <c:pt idx="558">
                  <c:v>44943</c:v>
                </c:pt>
                <c:pt idx="559">
                  <c:v>44942</c:v>
                </c:pt>
                <c:pt idx="560">
                  <c:v>44939</c:v>
                </c:pt>
                <c:pt idx="561">
                  <c:v>44938</c:v>
                </c:pt>
                <c:pt idx="562">
                  <c:v>44937</c:v>
                </c:pt>
                <c:pt idx="563">
                  <c:v>44936</c:v>
                </c:pt>
                <c:pt idx="564">
                  <c:v>44935</c:v>
                </c:pt>
                <c:pt idx="565">
                  <c:v>44932</c:v>
                </c:pt>
                <c:pt idx="566">
                  <c:v>44931</c:v>
                </c:pt>
                <c:pt idx="567">
                  <c:v>44930</c:v>
                </c:pt>
                <c:pt idx="568">
                  <c:v>44929</c:v>
                </c:pt>
                <c:pt idx="569">
                  <c:v>44925</c:v>
                </c:pt>
                <c:pt idx="570">
                  <c:v>44924</c:v>
                </c:pt>
                <c:pt idx="571">
                  <c:v>44923</c:v>
                </c:pt>
                <c:pt idx="572">
                  <c:v>44922</c:v>
                </c:pt>
                <c:pt idx="573">
                  <c:v>44918</c:v>
                </c:pt>
                <c:pt idx="574">
                  <c:v>44917</c:v>
                </c:pt>
                <c:pt idx="575">
                  <c:v>44916</c:v>
                </c:pt>
                <c:pt idx="576">
                  <c:v>44915</c:v>
                </c:pt>
                <c:pt idx="577">
                  <c:v>44914</c:v>
                </c:pt>
                <c:pt idx="578">
                  <c:v>44911</c:v>
                </c:pt>
                <c:pt idx="579">
                  <c:v>44910</c:v>
                </c:pt>
                <c:pt idx="580">
                  <c:v>44909</c:v>
                </c:pt>
                <c:pt idx="581">
                  <c:v>44908</c:v>
                </c:pt>
                <c:pt idx="582">
                  <c:v>44907</c:v>
                </c:pt>
                <c:pt idx="583">
                  <c:v>44904</c:v>
                </c:pt>
                <c:pt idx="584">
                  <c:v>44903</c:v>
                </c:pt>
                <c:pt idx="585">
                  <c:v>44902</c:v>
                </c:pt>
                <c:pt idx="586">
                  <c:v>44901</c:v>
                </c:pt>
                <c:pt idx="587">
                  <c:v>44900</c:v>
                </c:pt>
                <c:pt idx="588">
                  <c:v>44897</c:v>
                </c:pt>
                <c:pt idx="589">
                  <c:v>44896</c:v>
                </c:pt>
                <c:pt idx="590">
                  <c:v>44895</c:v>
                </c:pt>
                <c:pt idx="591">
                  <c:v>44894</c:v>
                </c:pt>
                <c:pt idx="592">
                  <c:v>44893</c:v>
                </c:pt>
                <c:pt idx="593">
                  <c:v>44890</c:v>
                </c:pt>
                <c:pt idx="594">
                  <c:v>44889</c:v>
                </c:pt>
                <c:pt idx="595">
                  <c:v>44888</c:v>
                </c:pt>
                <c:pt idx="596">
                  <c:v>44887</c:v>
                </c:pt>
                <c:pt idx="597">
                  <c:v>44886</c:v>
                </c:pt>
                <c:pt idx="598">
                  <c:v>44883</c:v>
                </c:pt>
                <c:pt idx="599">
                  <c:v>44882</c:v>
                </c:pt>
                <c:pt idx="600">
                  <c:v>44881</c:v>
                </c:pt>
                <c:pt idx="601">
                  <c:v>44880</c:v>
                </c:pt>
                <c:pt idx="602">
                  <c:v>44879</c:v>
                </c:pt>
                <c:pt idx="603">
                  <c:v>44876</c:v>
                </c:pt>
                <c:pt idx="604">
                  <c:v>44875</c:v>
                </c:pt>
                <c:pt idx="605">
                  <c:v>44874</c:v>
                </c:pt>
                <c:pt idx="606">
                  <c:v>44873</c:v>
                </c:pt>
                <c:pt idx="607">
                  <c:v>44872</c:v>
                </c:pt>
                <c:pt idx="608">
                  <c:v>44869</c:v>
                </c:pt>
                <c:pt idx="609">
                  <c:v>44868</c:v>
                </c:pt>
                <c:pt idx="610">
                  <c:v>44867</c:v>
                </c:pt>
                <c:pt idx="611">
                  <c:v>44866</c:v>
                </c:pt>
                <c:pt idx="612">
                  <c:v>44865</c:v>
                </c:pt>
                <c:pt idx="613">
                  <c:v>44862</c:v>
                </c:pt>
                <c:pt idx="614">
                  <c:v>44861</c:v>
                </c:pt>
                <c:pt idx="615">
                  <c:v>44860</c:v>
                </c:pt>
                <c:pt idx="616">
                  <c:v>44859</c:v>
                </c:pt>
                <c:pt idx="617">
                  <c:v>44855</c:v>
                </c:pt>
                <c:pt idx="618">
                  <c:v>44854</c:v>
                </c:pt>
                <c:pt idx="619">
                  <c:v>44853</c:v>
                </c:pt>
                <c:pt idx="620">
                  <c:v>44852</c:v>
                </c:pt>
                <c:pt idx="621">
                  <c:v>44851</c:v>
                </c:pt>
                <c:pt idx="622">
                  <c:v>44848</c:v>
                </c:pt>
                <c:pt idx="623">
                  <c:v>44847</c:v>
                </c:pt>
                <c:pt idx="624">
                  <c:v>44846</c:v>
                </c:pt>
                <c:pt idx="625">
                  <c:v>44845</c:v>
                </c:pt>
                <c:pt idx="626">
                  <c:v>44844</c:v>
                </c:pt>
                <c:pt idx="627">
                  <c:v>44841</c:v>
                </c:pt>
                <c:pt idx="628">
                  <c:v>44840</c:v>
                </c:pt>
                <c:pt idx="629">
                  <c:v>44839</c:v>
                </c:pt>
                <c:pt idx="630">
                  <c:v>44838</c:v>
                </c:pt>
                <c:pt idx="631">
                  <c:v>44837</c:v>
                </c:pt>
                <c:pt idx="632">
                  <c:v>44834</c:v>
                </c:pt>
                <c:pt idx="633">
                  <c:v>44833</c:v>
                </c:pt>
                <c:pt idx="634">
                  <c:v>44832</c:v>
                </c:pt>
                <c:pt idx="635">
                  <c:v>44831</c:v>
                </c:pt>
                <c:pt idx="636">
                  <c:v>44830</c:v>
                </c:pt>
                <c:pt idx="637">
                  <c:v>44827</c:v>
                </c:pt>
                <c:pt idx="638">
                  <c:v>44826</c:v>
                </c:pt>
                <c:pt idx="639">
                  <c:v>44825</c:v>
                </c:pt>
                <c:pt idx="640">
                  <c:v>44824</c:v>
                </c:pt>
                <c:pt idx="641">
                  <c:v>44823</c:v>
                </c:pt>
                <c:pt idx="642">
                  <c:v>44820</c:v>
                </c:pt>
                <c:pt idx="643">
                  <c:v>44819</c:v>
                </c:pt>
                <c:pt idx="644">
                  <c:v>44818</c:v>
                </c:pt>
                <c:pt idx="645">
                  <c:v>44817</c:v>
                </c:pt>
                <c:pt idx="646">
                  <c:v>44816</c:v>
                </c:pt>
                <c:pt idx="647">
                  <c:v>44813</c:v>
                </c:pt>
                <c:pt idx="648">
                  <c:v>44812</c:v>
                </c:pt>
                <c:pt idx="649">
                  <c:v>44811</c:v>
                </c:pt>
                <c:pt idx="650">
                  <c:v>44810</c:v>
                </c:pt>
                <c:pt idx="651">
                  <c:v>44809</c:v>
                </c:pt>
                <c:pt idx="652">
                  <c:v>44806</c:v>
                </c:pt>
                <c:pt idx="653">
                  <c:v>44805</c:v>
                </c:pt>
                <c:pt idx="654">
                  <c:v>44804</c:v>
                </c:pt>
                <c:pt idx="655">
                  <c:v>44803</c:v>
                </c:pt>
                <c:pt idx="656">
                  <c:v>44802</c:v>
                </c:pt>
                <c:pt idx="657">
                  <c:v>44799</c:v>
                </c:pt>
                <c:pt idx="658">
                  <c:v>44798</c:v>
                </c:pt>
                <c:pt idx="659">
                  <c:v>44797</c:v>
                </c:pt>
                <c:pt idx="660">
                  <c:v>44796</c:v>
                </c:pt>
                <c:pt idx="661">
                  <c:v>44795</c:v>
                </c:pt>
                <c:pt idx="662">
                  <c:v>44792</c:v>
                </c:pt>
                <c:pt idx="663">
                  <c:v>44791</c:v>
                </c:pt>
                <c:pt idx="664">
                  <c:v>44790</c:v>
                </c:pt>
                <c:pt idx="665">
                  <c:v>44789</c:v>
                </c:pt>
                <c:pt idx="666">
                  <c:v>44788</c:v>
                </c:pt>
                <c:pt idx="667">
                  <c:v>44785</c:v>
                </c:pt>
                <c:pt idx="668">
                  <c:v>44784</c:v>
                </c:pt>
                <c:pt idx="669">
                  <c:v>44783</c:v>
                </c:pt>
                <c:pt idx="670">
                  <c:v>44781</c:v>
                </c:pt>
                <c:pt idx="671">
                  <c:v>44778</c:v>
                </c:pt>
                <c:pt idx="672">
                  <c:v>44777</c:v>
                </c:pt>
                <c:pt idx="673">
                  <c:v>44776</c:v>
                </c:pt>
                <c:pt idx="674">
                  <c:v>44775</c:v>
                </c:pt>
                <c:pt idx="675">
                  <c:v>44774</c:v>
                </c:pt>
                <c:pt idx="676">
                  <c:v>44771</c:v>
                </c:pt>
                <c:pt idx="677">
                  <c:v>44770</c:v>
                </c:pt>
                <c:pt idx="678">
                  <c:v>44769</c:v>
                </c:pt>
                <c:pt idx="679">
                  <c:v>44768</c:v>
                </c:pt>
                <c:pt idx="680">
                  <c:v>44767</c:v>
                </c:pt>
                <c:pt idx="681">
                  <c:v>44764</c:v>
                </c:pt>
                <c:pt idx="682">
                  <c:v>44763</c:v>
                </c:pt>
                <c:pt idx="683">
                  <c:v>44762</c:v>
                </c:pt>
                <c:pt idx="684">
                  <c:v>44761</c:v>
                </c:pt>
                <c:pt idx="685">
                  <c:v>44760</c:v>
                </c:pt>
                <c:pt idx="686">
                  <c:v>44757</c:v>
                </c:pt>
                <c:pt idx="687">
                  <c:v>44756</c:v>
                </c:pt>
                <c:pt idx="688">
                  <c:v>44755</c:v>
                </c:pt>
                <c:pt idx="689">
                  <c:v>44754</c:v>
                </c:pt>
                <c:pt idx="690">
                  <c:v>44750</c:v>
                </c:pt>
                <c:pt idx="691">
                  <c:v>44749</c:v>
                </c:pt>
                <c:pt idx="692">
                  <c:v>44748</c:v>
                </c:pt>
                <c:pt idx="693">
                  <c:v>44747</c:v>
                </c:pt>
                <c:pt idx="694">
                  <c:v>44746</c:v>
                </c:pt>
                <c:pt idx="695">
                  <c:v>44743</c:v>
                </c:pt>
                <c:pt idx="696">
                  <c:v>44742</c:v>
                </c:pt>
                <c:pt idx="697">
                  <c:v>44741</c:v>
                </c:pt>
                <c:pt idx="698">
                  <c:v>44740</c:v>
                </c:pt>
                <c:pt idx="699">
                  <c:v>44739</c:v>
                </c:pt>
                <c:pt idx="700">
                  <c:v>44736</c:v>
                </c:pt>
                <c:pt idx="701">
                  <c:v>44735</c:v>
                </c:pt>
                <c:pt idx="702">
                  <c:v>44734</c:v>
                </c:pt>
                <c:pt idx="703">
                  <c:v>44733</c:v>
                </c:pt>
                <c:pt idx="704">
                  <c:v>44732</c:v>
                </c:pt>
                <c:pt idx="705">
                  <c:v>44729</c:v>
                </c:pt>
                <c:pt idx="706">
                  <c:v>44728</c:v>
                </c:pt>
                <c:pt idx="707">
                  <c:v>44727</c:v>
                </c:pt>
                <c:pt idx="708">
                  <c:v>44726</c:v>
                </c:pt>
                <c:pt idx="709">
                  <c:v>44725</c:v>
                </c:pt>
                <c:pt idx="710">
                  <c:v>44722</c:v>
                </c:pt>
                <c:pt idx="711">
                  <c:v>44721</c:v>
                </c:pt>
                <c:pt idx="712">
                  <c:v>44720</c:v>
                </c:pt>
                <c:pt idx="713">
                  <c:v>44719</c:v>
                </c:pt>
                <c:pt idx="714">
                  <c:v>44718</c:v>
                </c:pt>
                <c:pt idx="715">
                  <c:v>44715</c:v>
                </c:pt>
                <c:pt idx="716">
                  <c:v>44714</c:v>
                </c:pt>
                <c:pt idx="717">
                  <c:v>44713</c:v>
                </c:pt>
                <c:pt idx="718">
                  <c:v>44712</c:v>
                </c:pt>
                <c:pt idx="719">
                  <c:v>44711</c:v>
                </c:pt>
                <c:pt idx="720">
                  <c:v>44708</c:v>
                </c:pt>
                <c:pt idx="721">
                  <c:v>44707</c:v>
                </c:pt>
                <c:pt idx="722">
                  <c:v>44706</c:v>
                </c:pt>
                <c:pt idx="723">
                  <c:v>44705</c:v>
                </c:pt>
                <c:pt idx="724">
                  <c:v>44704</c:v>
                </c:pt>
                <c:pt idx="725">
                  <c:v>44701</c:v>
                </c:pt>
                <c:pt idx="726">
                  <c:v>44700</c:v>
                </c:pt>
                <c:pt idx="727">
                  <c:v>44699</c:v>
                </c:pt>
                <c:pt idx="728">
                  <c:v>44698</c:v>
                </c:pt>
                <c:pt idx="729">
                  <c:v>44694</c:v>
                </c:pt>
                <c:pt idx="730">
                  <c:v>44693</c:v>
                </c:pt>
                <c:pt idx="731">
                  <c:v>44692</c:v>
                </c:pt>
                <c:pt idx="732">
                  <c:v>44691</c:v>
                </c:pt>
                <c:pt idx="733">
                  <c:v>44690</c:v>
                </c:pt>
                <c:pt idx="734">
                  <c:v>44687</c:v>
                </c:pt>
                <c:pt idx="735">
                  <c:v>44686</c:v>
                </c:pt>
                <c:pt idx="736">
                  <c:v>44685</c:v>
                </c:pt>
                <c:pt idx="737">
                  <c:v>44680</c:v>
                </c:pt>
                <c:pt idx="738">
                  <c:v>44679</c:v>
                </c:pt>
                <c:pt idx="739">
                  <c:v>44678</c:v>
                </c:pt>
                <c:pt idx="740">
                  <c:v>44677</c:v>
                </c:pt>
                <c:pt idx="741">
                  <c:v>44676</c:v>
                </c:pt>
                <c:pt idx="742">
                  <c:v>44673</c:v>
                </c:pt>
                <c:pt idx="743">
                  <c:v>44672</c:v>
                </c:pt>
                <c:pt idx="744">
                  <c:v>44671</c:v>
                </c:pt>
                <c:pt idx="745">
                  <c:v>44670</c:v>
                </c:pt>
                <c:pt idx="746">
                  <c:v>44669</c:v>
                </c:pt>
                <c:pt idx="747">
                  <c:v>44665</c:v>
                </c:pt>
                <c:pt idx="748">
                  <c:v>44664</c:v>
                </c:pt>
                <c:pt idx="749">
                  <c:v>44663</c:v>
                </c:pt>
                <c:pt idx="750">
                  <c:v>44662</c:v>
                </c:pt>
                <c:pt idx="751">
                  <c:v>44659</c:v>
                </c:pt>
                <c:pt idx="752">
                  <c:v>44658</c:v>
                </c:pt>
                <c:pt idx="753">
                  <c:v>44657</c:v>
                </c:pt>
                <c:pt idx="754">
                  <c:v>44656</c:v>
                </c:pt>
                <c:pt idx="755">
                  <c:v>44655</c:v>
                </c:pt>
                <c:pt idx="756">
                  <c:v>44652</c:v>
                </c:pt>
                <c:pt idx="757">
                  <c:v>44651</c:v>
                </c:pt>
                <c:pt idx="758">
                  <c:v>44650</c:v>
                </c:pt>
                <c:pt idx="759">
                  <c:v>44649</c:v>
                </c:pt>
                <c:pt idx="760">
                  <c:v>44648</c:v>
                </c:pt>
                <c:pt idx="761">
                  <c:v>44645</c:v>
                </c:pt>
                <c:pt idx="762">
                  <c:v>44644</c:v>
                </c:pt>
                <c:pt idx="763">
                  <c:v>44643</c:v>
                </c:pt>
                <c:pt idx="764">
                  <c:v>44642</c:v>
                </c:pt>
                <c:pt idx="765">
                  <c:v>44641</c:v>
                </c:pt>
                <c:pt idx="766">
                  <c:v>44638</c:v>
                </c:pt>
                <c:pt idx="767">
                  <c:v>44637</c:v>
                </c:pt>
                <c:pt idx="768">
                  <c:v>44636</c:v>
                </c:pt>
                <c:pt idx="769">
                  <c:v>44635</c:v>
                </c:pt>
                <c:pt idx="770">
                  <c:v>44634</c:v>
                </c:pt>
                <c:pt idx="771">
                  <c:v>44631</c:v>
                </c:pt>
                <c:pt idx="772">
                  <c:v>44630</c:v>
                </c:pt>
                <c:pt idx="773">
                  <c:v>44629</c:v>
                </c:pt>
                <c:pt idx="774">
                  <c:v>44628</c:v>
                </c:pt>
                <c:pt idx="775">
                  <c:v>44627</c:v>
                </c:pt>
                <c:pt idx="776">
                  <c:v>44624</c:v>
                </c:pt>
                <c:pt idx="777">
                  <c:v>44623</c:v>
                </c:pt>
                <c:pt idx="778">
                  <c:v>44622</c:v>
                </c:pt>
                <c:pt idx="779">
                  <c:v>44621</c:v>
                </c:pt>
                <c:pt idx="780">
                  <c:v>44620</c:v>
                </c:pt>
                <c:pt idx="781">
                  <c:v>44617</c:v>
                </c:pt>
                <c:pt idx="782">
                  <c:v>44616</c:v>
                </c:pt>
                <c:pt idx="783">
                  <c:v>44615</c:v>
                </c:pt>
                <c:pt idx="784">
                  <c:v>44614</c:v>
                </c:pt>
                <c:pt idx="785">
                  <c:v>44613</c:v>
                </c:pt>
                <c:pt idx="786">
                  <c:v>44610</c:v>
                </c:pt>
                <c:pt idx="787">
                  <c:v>44609</c:v>
                </c:pt>
                <c:pt idx="788">
                  <c:v>44608</c:v>
                </c:pt>
                <c:pt idx="789">
                  <c:v>44607</c:v>
                </c:pt>
                <c:pt idx="790">
                  <c:v>44606</c:v>
                </c:pt>
                <c:pt idx="791">
                  <c:v>44603</c:v>
                </c:pt>
                <c:pt idx="792">
                  <c:v>44602</c:v>
                </c:pt>
                <c:pt idx="793">
                  <c:v>44601</c:v>
                </c:pt>
                <c:pt idx="794">
                  <c:v>44600</c:v>
                </c:pt>
                <c:pt idx="795">
                  <c:v>44599</c:v>
                </c:pt>
                <c:pt idx="796">
                  <c:v>44596</c:v>
                </c:pt>
                <c:pt idx="797">
                  <c:v>44595</c:v>
                </c:pt>
                <c:pt idx="798">
                  <c:v>44592</c:v>
                </c:pt>
                <c:pt idx="799">
                  <c:v>44589</c:v>
                </c:pt>
                <c:pt idx="800">
                  <c:v>44588</c:v>
                </c:pt>
                <c:pt idx="801">
                  <c:v>44587</c:v>
                </c:pt>
                <c:pt idx="802">
                  <c:v>44586</c:v>
                </c:pt>
                <c:pt idx="803">
                  <c:v>44585</c:v>
                </c:pt>
                <c:pt idx="804">
                  <c:v>44582</c:v>
                </c:pt>
                <c:pt idx="805">
                  <c:v>44581</c:v>
                </c:pt>
                <c:pt idx="806">
                  <c:v>44580</c:v>
                </c:pt>
                <c:pt idx="807">
                  <c:v>44579</c:v>
                </c:pt>
                <c:pt idx="808">
                  <c:v>44578</c:v>
                </c:pt>
                <c:pt idx="809">
                  <c:v>44575</c:v>
                </c:pt>
                <c:pt idx="810">
                  <c:v>44574</c:v>
                </c:pt>
                <c:pt idx="811">
                  <c:v>44573</c:v>
                </c:pt>
                <c:pt idx="812">
                  <c:v>44572</c:v>
                </c:pt>
                <c:pt idx="813">
                  <c:v>44571</c:v>
                </c:pt>
                <c:pt idx="814">
                  <c:v>44568</c:v>
                </c:pt>
                <c:pt idx="815">
                  <c:v>44567</c:v>
                </c:pt>
                <c:pt idx="816">
                  <c:v>44566</c:v>
                </c:pt>
                <c:pt idx="817">
                  <c:v>44565</c:v>
                </c:pt>
                <c:pt idx="818">
                  <c:v>44564</c:v>
                </c:pt>
                <c:pt idx="819">
                  <c:v>44561</c:v>
                </c:pt>
                <c:pt idx="820">
                  <c:v>44560</c:v>
                </c:pt>
                <c:pt idx="821">
                  <c:v>44559</c:v>
                </c:pt>
                <c:pt idx="822">
                  <c:v>44558</c:v>
                </c:pt>
                <c:pt idx="823">
                  <c:v>44554</c:v>
                </c:pt>
                <c:pt idx="824">
                  <c:v>44553</c:v>
                </c:pt>
                <c:pt idx="825">
                  <c:v>44552</c:v>
                </c:pt>
                <c:pt idx="826">
                  <c:v>44551</c:v>
                </c:pt>
                <c:pt idx="827">
                  <c:v>44550</c:v>
                </c:pt>
                <c:pt idx="828">
                  <c:v>44547</c:v>
                </c:pt>
                <c:pt idx="829">
                  <c:v>44546</c:v>
                </c:pt>
                <c:pt idx="830">
                  <c:v>44545</c:v>
                </c:pt>
                <c:pt idx="831">
                  <c:v>44544</c:v>
                </c:pt>
                <c:pt idx="832">
                  <c:v>44543</c:v>
                </c:pt>
                <c:pt idx="833">
                  <c:v>44540</c:v>
                </c:pt>
                <c:pt idx="834">
                  <c:v>44539</c:v>
                </c:pt>
                <c:pt idx="835">
                  <c:v>44538</c:v>
                </c:pt>
                <c:pt idx="836">
                  <c:v>44537</c:v>
                </c:pt>
                <c:pt idx="837">
                  <c:v>44536</c:v>
                </c:pt>
                <c:pt idx="838">
                  <c:v>44533</c:v>
                </c:pt>
                <c:pt idx="839">
                  <c:v>44532</c:v>
                </c:pt>
                <c:pt idx="840">
                  <c:v>44531</c:v>
                </c:pt>
                <c:pt idx="841">
                  <c:v>44530</c:v>
                </c:pt>
                <c:pt idx="842">
                  <c:v>44529</c:v>
                </c:pt>
                <c:pt idx="843">
                  <c:v>44526</c:v>
                </c:pt>
                <c:pt idx="844">
                  <c:v>44525</c:v>
                </c:pt>
                <c:pt idx="845">
                  <c:v>44524</c:v>
                </c:pt>
                <c:pt idx="846">
                  <c:v>44523</c:v>
                </c:pt>
                <c:pt idx="847">
                  <c:v>44522</c:v>
                </c:pt>
                <c:pt idx="848">
                  <c:v>44519</c:v>
                </c:pt>
                <c:pt idx="849">
                  <c:v>44518</c:v>
                </c:pt>
                <c:pt idx="850">
                  <c:v>44517</c:v>
                </c:pt>
                <c:pt idx="851">
                  <c:v>44516</c:v>
                </c:pt>
                <c:pt idx="852">
                  <c:v>44515</c:v>
                </c:pt>
                <c:pt idx="853">
                  <c:v>44512</c:v>
                </c:pt>
                <c:pt idx="854">
                  <c:v>44511</c:v>
                </c:pt>
                <c:pt idx="855">
                  <c:v>44510</c:v>
                </c:pt>
                <c:pt idx="856">
                  <c:v>44509</c:v>
                </c:pt>
                <c:pt idx="857">
                  <c:v>44508</c:v>
                </c:pt>
                <c:pt idx="858">
                  <c:v>44505</c:v>
                </c:pt>
                <c:pt idx="859">
                  <c:v>44503</c:v>
                </c:pt>
                <c:pt idx="860">
                  <c:v>44502</c:v>
                </c:pt>
                <c:pt idx="861">
                  <c:v>44501</c:v>
                </c:pt>
                <c:pt idx="862">
                  <c:v>44498</c:v>
                </c:pt>
                <c:pt idx="863">
                  <c:v>44497</c:v>
                </c:pt>
                <c:pt idx="864">
                  <c:v>44496</c:v>
                </c:pt>
                <c:pt idx="865">
                  <c:v>44495</c:v>
                </c:pt>
                <c:pt idx="866">
                  <c:v>44494</c:v>
                </c:pt>
                <c:pt idx="867">
                  <c:v>44491</c:v>
                </c:pt>
                <c:pt idx="868">
                  <c:v>44490</c:v>
                </c:pt>
                <c:pt idx="869">
                  <c:v>44489</c:v>
                </c:pt>
                <c:pt idx="870">
                  <c:v>44488</c:v>
                </c:pt>
                <c:pt idx="871">
                  <c:v>44487</c:v>
                </c:pt>
                <c:pt idx="872">
                  <c:v>44484</c:v>
                </c:pt>
                <c:pt idx="873">
                  <c:v>44483</c:v>
                </c:pt>
                <c:pt idx="874">
                  <c:v>44482</c:v>
                </c:pt>
                <c:pt idx="875">
                  <c:v>44481</c:v>
                </c:pt>
                <c:pt idx="876">
                  <c:v>44480</c:v>
                </c:pt>
                <c:pt idx="877">
                  <c:v>44477</c:v>
                </c:pt>
                <c:pt idx="878">
                  <c:v>44476</c:v>
                </c:pt>
                <c:pt idx="879">
                  <c:v>44475</c:v>
                </c:pt>
                <c:pt idx="880">
                  <c:v>44474</c:v>
                </c:pt>
                <c:pt idx="881">
                  <c:v>44473</c:v>
                </c:pt>
                <c:pt idx="882">
                  <c:v>44470</c:v>
                </c:pt>
                <c:pt idx="883">
                  <c:v>44469</c:v>
                </c:pt>
                <c:pt idx="884">
                  <c:v>44468</c:v>
                </c:pt>
                <c:pt idx="885">
                  <c:v>44467</c:v>
                </c:pt>
                <c:pt idx="886">
                  <c:v>44466</c:v>
                </c:pt>
                <c:pt idx="887">
                  <c:v>44463</c:v>
                </c:pt>
                <c:pt idx="888">
                  <c:v>44462</c:v>
                </c:pt>
                <c:pt idx="889">
                  <c:v>44461</c:v>
                </c:pt>
                <c:pt idx="890">
                  <c:v>44460</c:v>
                </c:pt>
                <c:pt idx="891">
                  <c:v>44459</c:v>
                </c:pt>
                <c:pt idx="892">
                  <c:v>44456</c:v>
                </c:pt>
                <c:pt idx="893">
                  <c:v>44455</c:v>
                </c:pt>
                <c:pt idx="894">
                  <c:v>44454</c:v>
                </c:pt>
                <c:pt idx="895">
                  <c:v>44453</c:v>
                </c:pt>
                <c:pt idx="896">
                  <c:v>44452</c:v>
                </c:pt>
                <c:pt idx="897">
                  <c:v>44449</c:v>
                </c:pt>
                <c:pt idx="898">
                  <c:v>44448</c:v>
                </c:pt>
                <c:pt idx="899">
                  <c:v>44447</c:v>
                </c:pt>
                <c:pt idx="900">
                  <c:v>44446</c:v>
                </c:pt>
                <c:pt idx="901">
                  <c:v>44445</c:v>
                </c:pt>
                <c:pt idx="902">
                  <c:v>44442</c:v>
                </c:pt>
                <c:pt idx="903">
                  <c:v>44441</c:v>
                </c:pt>
                <c:pt idx="904">
                  <c:v>44440</c:v>
                </c:pt>
                <c:pt idx="905">
                  <c:v>44439</c:v>
                </c:pt>
                <c:pt idx="906">
                  <c:v>44438</c:v>
                </c:pt>
                <c:pt idx="907">
                  <c:v>44435</c:v>
                </c:pt>
                <c:pt idx="908">
                  <c:v>44434</c:v>
                </c:pt>
                <c:pt idx="909">
                  <c:v>44433</c:v>
                </c:pt>
                <c:pt idx="910">
                  <c:v>44432</c:v>
                </c:pt>
                <c:pt idx="911">
                  <c:v>44431</c:v>
                </c:pt>
                <c:pt idx="912">
                  <c:v>44428</c:v>
                </c:pt>
                <c:pt idx="913">
                  <c:v>44427</c:v>
                </c:pt>
                <c:pt idx="914">
                  <c:v>44426</c:v>
                </c:pt>
                <c:pt idx="915">
                  <c:v>44425</c:v>
                </c:pt>
                <c:pt idx="916">
                  <c:v>44424</c:v>
                </c:pt>
                <c:pt idx="917">
                  <c:v>44421</c:v>
                </c:pt>
                <c:pt idx="918">
                  <c:v>44420</c:v>
                </c:pt>
                <c:pt idx="919">
                  <c:v>44419</c:v>
                </c:pt>
                <c:pt idx="920">
                  <c:v>44418</c:v>
                </c:pt>
                <c:pt idx="921">
                  <c:v>44414</c:v>
                </c:pt>
                <c:pt idx="922">
                  <c:v>44413</c:v>
                </c:pt>
                <c:pt idx="923">
                  <c:v>44412</c:v>
                </c:pt>
                <c:pt idx="924">
                  <c:v>44411</c:v>
                </c:pt>
                <c:pt idx="925">
                  <c:v>44410</c:v>
                </c:pt>
                <c:pt idx="926">
                  <c:v>44407</c:v>
                </c:pt>
                <c:pt idx="927">
                  <c:v>44406</c:v>
                </c:pt>
                <c:pt idx="928">
                  <c:v>44405</c:v>
                </c:pt>
                <c:pt idx="929">
                  <c:v>44404</c:v>
                </c:pt>
                <c:pt idx="930">
                  <c:v>44403</c:v>
                </c:pt>
                <c:pt idx="931">
                  <c:v>44400</c:v>
                </c:pt>
                <c:pt idx="932">
                  <c:v>44399</c:v>
                </c:pt>
                <c:pt idx="933">
                  <c:v>44398</c:v>
                </c:pt>
                <c:pt idx="934">
                  <c:v>44396</c:v>
                </c:pt>
                <c:pt idx="935">
                  <c:v>44393</c:v>
                </c:pt>
                <c:pt idx="936">
                  <c:v>44392</c:v>
                </c:pt>
                <c:pt idx="937">
                  <c:v>44391</c:v>
                </c:pt>
                <c:pt idx="938">
                  <c:v>44390</c:v>
                </c:pt>
                <c:pt idx="939">
                  <c:v>44389</c:v>
                </c:pt>
                <c:pt idx="940">
                  <c:v>44386</c:v>
                </c:pt>
                <c:pt idx="941">
                  <c:v>44385</c:v>
                </c:pt>
                <c:pt idx="942">
                  <c:v>44384</c:v>
                </c:pt>
                <c:pt idx="943">
                  <c:v>44383</c:v>
                </c:pt>
                <c:pt idx="944">
                  <c:v>44382</c:v>
                </c:pt>
                <c:pt idx="945">
                  <c:v>44379</c:v>
                </c:pt>
                <c:pt idx="946">
                  <c:v>44378</c:v>
                </c:pt>
                <c:pt idx="947">
                  <c:v>44377</c:v>
                </c:pt>
                <c:pt idx="948">
                  <c:v>44376</c:v>
                </c:pt>
                <c:pt idx="949">
                  <c:v>44375</c:v>
                </c:pt>
                <c:pt idx="950">
                  <c:v>44372</c:v>
                </c:pt>
                <c:pt idx="951">
                  <c:v>44371</c:v>
                </c:pt>
                <c:pt idx="952">
                  <c:v>44370</c:v>
                </c:pt>
                <c:pt idx="953">
                  <c:v>44369</c:v>
                </c:pt>
                <c:pt idx="954">
                  <c:v>44368</c:v>
                </c:pt>
                <c:pt idx="955">
                  <c:v>44365</c:v>
                </c:pt>
                <c:pt idx="956">
                  <c:v>44364</c:v>
                </c:pt>
                <c:pt idx="957">
                  <c:v>44363</c:v>
                </c:pt>
                <c:pt idx="958">
                  <c:v>44362</c:v>
                </c:pt>
                <c:pt idx="959">
                  <c:v>44361</c:v>
                </c:pt>
                <c:pt idx="960">
                  <c:v>44358</c:v>
                </c:pt>
                <c:pt idx="961">
                  <c:v>44357</c:v>
                </c:pt>
                <c:pt idx="962">
                  <c:v>44356</c:v>
                </c:pt>
                <c:pt idx="963">
                  <c:v>44355</c:v>
                </c:pt>
                <c:pt idx="964">
                  <c:v>44354</c:v>
                </c:pt>
                <c:pt idx="965">
                  <c:v>44351</c:v>
                </c:pt>
                <c:pt idx="966">
                  <c:v>44350</c:v>
                </c:pt>
                <c:pt idx="967">
                  <c:v>44349</c:v>
                </c:pt>
                <c:pt idx="968">
                  <c:v>44348</c:v>
                </c:pt>
                <c:pt idx="969">
                  <c:v>44347</c:v>
                </c:pt>
                <c:pt idx="970">
                  <c:v>44344</c:v>
                </c:pt>
                <c:pt idx="971">
                  <c:v>44343</c:v>
                </c:pt>
                <c:pt idx="972">
                  <c:v>44341</c:v>
                </c:pt>
                <c:pt idx="973">
                  <c:v>44340</c:v>
                </c:pt>
                <c:pt idx="974">
                  <c:v>44337</c:v>
                </c:pt>
                <c:pt idx="975">
                  <c:v>44336</c:v>
                </c:pt>
                <c:pt idx="976">
                  <c:v>44335</c:v>
                </c:pt>
                <c:pt idx="977">
                  <c:v>44334</c:v>
                </c:pt>
                <c:pt idx="978">
                  <c:v>44333</c:v>
                </c:pt>
                <c:pt idx="979">
                  <c:v>44330</c:v>
                </c:pt>
                <c:pt idx="980">
                  <c:v>44328</c:v>
                </c:pt>
                <c:pt idx="981">
                  <c:v>44327</c:v>
                </c:pt>
                <c:pt idx="982">
                  <c:v>44326</c:v>
                </c:pt>
                <c:pt idx="983">
                  <c:v>44323</c:v>
                </c:pt>
                <c:pt idx="984">
                  <c:v>44322</c:v>
                </c:pt>
                <c:pt idx="985">
                  <c:v>44321</c:v>
                </c:pt>
                <c:pt idx="986">
                  <c:v>44320</c:v>
                </c:pt>
                <c:pt idx="987">
                  <c:v>44319</c:v>
                </c:pt>
                <c:pt idx="988">
                  <c:v>44316</c:v>
                </c:pt>
                <c:pt idx="989">
                  <c:v>44315</c:v>
                </c:pt>
                <c:pt idx="990">
                  <c:v>44314</c:v>
                </c:pt>
                <c:pt idx="991">
                  <c:v>44313</c:v>
                </c:pt>
                <c:pt idx="992">
                  <c:v>44312</c:v>
                </c:pt>
                <c:pt idx="993">
                  <c:v>44309</c:v>
                </c:pt>
                <c:pt idx="994">
                  <c:v>44308</c:v>
                </c:pt>
                <c:pt idx="995">
                  <c:v>44307</c:v>
                </c:pt>
                <c:pt idx="996">
                  <c:v>44306</c:v>
                </c:pt>
                <c:pt idx="997">
                  <c:v>44305</c:v>
                </c:pt>
                <c:pt idx="998">
                  <c:v>44302</c:v>
                </c:pt>
                <c:pt idx="999">
                  <c:v>44301</c:v>
                </c:pt>
                <c:pt idx="1000">
                  <c:v>44300</c:v>
                </c:pt>
                <c:pt idx="1001">
                  <c:v>44299</c:v>
                </c:pt>
                <c:pt idx="1002">
                  <c:v>44298</c:v>
                </c:pt>
                <c:pt idx="1003">
                  <c:v>44295</c:v>
                </c:pt>
                <c:pt idx="1004">
                  <c:v>44294</c:v>
                </c:pt>
                <c:pt idx="1005">
                  <c:v>44293</c:v>
                </c:pt>
                <c:pt idx="1006">
                  <c:v>44292</c:v>
                </c:pt>
                <c:pt idx="1007">
                  <c:v>44291</c:v>
                </c:pt>
                <c:pt idx="1008">
                  <c:v>44287</c:v>
                </c:pt>
                <c:pt idx="1009">
                  <c:v>44286</c:v>
                </c:pt>
                <c:pt idx="1010">
                  <c:v>44285</c:v>
                </c:pt>
                <c:pt idx="1011">
                  <c:v>44284</c:v>
                </c:pt>
                <c:pt idx="1012">
                  <c:v>44281</c:v>
                </c:pt>
                <c:pt idx="1013">
                  <c:v>44280</c:v>
                </c:pt>
                <c:pt idx="1014">
                  <c:v>44279</c:v>
                </c:pt>
                <c:pt idx="1015">
                  <c:v>44278</c:v>
                </c:pt>
                <c:pt idx="1016">
                  <c:v>44277</c:v>
                </c:pt>
                <c:pt idx="1017">
                  <c:v>44274</c:v>
                </c:pt>
                <c:pt idx="1018">
                  <c:v>44273</c:v>
                </c:pt>
                <c:pt idx="1019">
                  <c:v>44272</c:v>
                </c:pt>
                <c:pt idx="1020">
                  <c:v>44271</c:v>
                </c:pt>
                <c:pt idx="1021">
                  <c:v>44270</c:v>
                </c:pt>
                <c:pt idx="1022">
                  <c:v>44267</c:v>
                </c:pt>
                <c:pt idx="1023">
                  <c:v>44266</c:v>
                </c:pt>
                <c:pt idx="1024">
                  <c:v>44265</c:v>
                </c:pt>
                <c:pt idx="1025">
                  <c:v>44264</c:v>
                </c:pt>
                <c:pt idx="1026">
                  <c:v>44263</c:v>
                </c:pt>
                <c:pt idx="1027">
                  <c:v>44260</c:v>
                </c:pt>
                <c:pt idx="1028">
                  <c:v>44259</c:v>
                </c:pt>
                <c:pt idx="1029">
                  <c:v>44258</c:v>
                </c:pt>
                <c:pt idx="1030">
                  <c:v>44257</c:v>
                </c:pt>
                <c:pt idx="1031">
                  <c:v>44256</c:v>
                </c:pt>
                <c:pt idx="1032">
                  <c:v>44253</c:v>
                </c:pt>
                <c:pt idx="1033">
                  <c:v>44252</c:v>
                </c:pt>
                <c:pt idx="1034">
                  <c:v>44251</c:v>
                </c:pt>
                <c:pt idx="1035">
                  <c:v>44250</c:v>
                </c:pt>
                <c:pt idx="1036">
                  <c:v>44249</c:v>
                </c:pt>
                <c:pt idx="1037">
                  <c:v>44246</c:v>
                </c:pt>
                <c:pt idx="1038">
                  <c:v>44245</c:v>
                </c:pt>
                <c:pt idx="1039">
                  <c:v>44244</c:v>
                </c:pt>
                <c:pt idx="1040">
                  <c:v>44243</c:v>
                </c:pt>
                <c:pt idx="1041">
                  <c:v>44242</c:v>
                </c:pt>
                <c:pt idx="1042">
                  <c:v>44238</c:v>
                </c:pt>
                <c:pt idx="1043">
                  <c:v>44237</c:v>
                </c:pt>
                <c:pt idx="1044">
                  <c:v>44236</c:v>
                </c:pt>
                <c:pt idx="1045">
                  <c:v>44235</c:v>
                </c:pt>
                <c:pt idx="1046">
                  <c:v>44232</c:v>
                </c:pt>
                <c:pt idx="1047">
                  <c:v>44231</c:v>
                </c:pt>
                <c:pt idx="1048">
                  <c:v>44230</c:v>
                </c:pt>
                <c:pt idx="1049">
                  <c:v>44229</c:v>
                </c:pt>
                <c:pt idx="1050">
                  <c:v>44228</c:v>
                </c:pt>
                <c:pt idx="1051">
                  <c:v>44225</c:v>
                </c:pt>
                <c:pt idx="1052">
                  <c:v>44224</c:v>
                </c:pt>
                <c:pt idx="1053">
                  <c:v>44223</c:v>
                </c:pt>
                <c:pt idx="1054">
                  <c:v>44222</c:v>
                </c:pt>
                <c:pt idx="1055">
                  <c:v>44221</c:v>
                </c:pt>
                <c:pt idx="1056">
                  <c:v>44218</c:v>
                </c:pt>
                <c:pt idx="1057">
                  <c:v>44217</c:v>
                </c:pt>
                <c:pt idx="1058">
                  <c:v>44216</c:v>
                </c:pt>
                <c:pt idx="1059">
                  <c:v>44215</c:v>
                </c:pt>
                <c:pt idx="1060">
                  <c:v>44214</c:v>
                </c:pt>
                <c:pt idx="1061">
                  <c:v>44211</c:v>
                </c:pt>
                <c:pt idx="1062">
                  <c:v>44210</c:v>
                </c:pt>
                <c:pt idx="1063">
                  <c:v>44209</c:v>
                </c:pt>
                <c:pt idx="1064">
                  <c:v>44208</c:v>
                </c:pt>
                <c:pt idx="1065">
                  <c:v>44207</c:v>
                </c:pt>
                <c:pt idx="1066">
                  <c:v>44204</c:v>
                </c:pt>
                <c:pt idx="1067">
                  <c:v>44203</c:v>
                </c:pt>
                <c:pt idx="1068">
                  <c:v>44202</c:v>
                </c:pt>
                <c:pt idx="1069">
                  <c:v>44201</c:v>
                </c:pt>
                <c:pt idx="1070">
                  <c:v>44200</c:v>
                </c:pt>
                <c:pt idx="1071">
                  <c:v>44196</c:v>
                </c:pt>
                <c:pt idx="1072">
                  <c:v>44195</c:v>
                </c:pt>
                <c:pt idx="1073">
                  <c:v>44194</c:v>
                </c:pt>
                <c:pt idx="1074">
                  <c:v>44193</c:v>
                </c:pt>
                <c:pt idx="1075">
                  <c:v>44189</c:v>
                </c:pt>
                <c:pt idx="1076">
                  <c:v>44188</c:v>
                </c:pt>
                <c:pt idx="1077">
                  <c:v>44187</c:v>
                </c:pt>
                <c:pt idx="1078">
                  <c:v>44186</c:v>
                </c:pt>
                <c:pt idx="1079">
                  <c:v>44183</c:v>
                </c:pt>
                <c:pt idx="1080">
                  <c:v>44182</c:v>
                </c:pt>
                <c:pt idx="1081">
                  <c:v>44181</c:v>
                </c:pt>
                <c:pt idx="1082">
                  <c:v>44180</c:v>
                </c:pt>
                <c:pt idx="1083">
                  <c:v>44179</c:v>
                </c:pt>
                <c:pt idx="1084">
                  <c:v>44176</c:v>
                </c:pt>
                <c:pt idx="1085">
                  <c:v>44175</c:v>
                </c:pt>
                <c:pt idx="1086">
                  <c:v>44174</c:v>
                </c:pt>
                <c:pt idx="1087">
                  <c:v>44173</c:v>
                </c:pt>
                <c:pt idx="1088">
                  <c:v>44172</c:v>
                </c:pt>
                <c:pt idx="1089">
                  <c:v>44169</c:v>
                </c:pt>
                <c:pt idx="1090">
                  <c:v>44168</c:v>
                </c:pt>
                <c:pt idx="1091">
                  <c:v>44167</c:v>
                </c:pt>
                <c:pt idx="1092">
                  <c:v>44166</c:v>
                </c:pt>
                <c:pt idx="1093">
                  <c:v>44165</c:v>
                </c:pt>
                <c:pt idx="1094">
                  <c:v>44162</c:v>
                </c:pt>
                <c:pt idx="1095">
                  <c:v>44161</c:v>
                </c:pt>
                <c:pt idx="1096">
                  <c:v>44160</c:v>
                </c:pt>
                <c:pt idx="1097">
                  <c:v>44159</c:v>
                </c:pt>
                <c:pt idx="1098">
                  <c:v>44158</c:v>
                </c:pt>
                <c:pt idx="1099">
                  <c:v>44155</c:v>
                </c:pt>
                <c:pt idx="1100">
                  <c:v>44154</c:v>
                </c:pt>
                <c:pt idx="1101">
                  <c:v>44153</c:v>
                </c:pt>
                <c:pt idx="1102">
                  <c:v>44152</c:v>
                </c:pt>
                <c:pt idx="1103">
                  <c:v>44151</c:v>
                </c:pt>
                <c:pt idx="1104">
                  <c:v>44148</c:v>
                </c:pt>
                <c:pt idx="1105">
                  <c:v>44147</c:v>
                </c:pt>
                <c:pt idx="1106">
                  <c:v>44146</c:v>
                </c:pt>
                <c:pt idx="1107">
                  <c:v>44145</c:v>
                </c:pt>
                <c:pt idx="1108">
                  <c:v>44144</c:v>
                </c:pt>
                <c:pt idx="1109">
                  <c:v>44141</c:v>
                </c:pt>
                <c:pt idx="1110">
                  <c:v>44140</c:v>
                </c:pt>
                <c:pt idx="1111">
                  <c:v>44139</c:v>
                </c:pt>
                <c:pt idx="1112">
                  <c:v>44138</c:v>
                </c:pt>
                <c:pt idx="1113">
                  <c:v>44137</c:v>
                </c:pt>
                <c:pt idx="1114">
                  <c:v>44134</c:v>
                </c:pt>
                <c:pt idx="1115">
                  <c:v>44133</c:v>
                </c:pt>
                <c:pt idx="1116">
                  <c:v>44132</c:v>
                </c:pt>
                <c:pt idx="1117">
                  <c:v>44131</c:v>
                </c:pt>
                <c:pt idx="1118">
                  <c:v>44130</c:v>
                </c:pt>
                <c:pt idx="1119">
                  <c:v>44127</c:v>
                </c:pt>
                <c:pt idx="1120">
                  <c:v>44126</c:v>
                </c:pt>
                <c:pt idx="1121">
                  <c:v>44125</c:v>
                </c:pt>
                <c:pt idx="1122">
                  <c:v>44124</c:v>
                </c:pt>
                <c:pt idx="1123">
                  <c:v>44123</c:v>
                </c:pt>
                <c:pt idx="1124">
                  <c:v>44120</c:v>
                </c:pt>
                <c:pt idx="1125">
                  <c:v>44119</c:v>
                </c:pt>
                <c:pt idx="1126">
                  <c:v>44118</c:v>
                </c:pt>
                <c:pt idx="1127">
                  <c:v>44117</c:v>
                </c:pt>
                <c:pt idx="1128">
                  <c:v>44116</c:v>
                </c:pt>
                <c:pt idx="1129">
                  <c:v>44113</c:v>
                </c:pt>
                <c:pt idx="1130">
                  <c:v>44112</c:v>
                </c:pt>
                <c:pt idx="1131">
                  <c:v>44111</c:v>
                </c:pt>
                <c:pt idx="1132">
                  <c:v>44110</c:v>
                </c:pt>
                <c:pt idx="1133">
                  <c:v>44109</c:v>
                </c:pt>
                <c:pt idx="1134">
                  <c:v>44106</c:v>
                </c:pt>
                <c:pt idx="1135">
                  <c:v>44105</c:v>
                </c:pt>
                <c:pt idx="1136">
                  <c:v>44104</c:v>
                </c:pt>
                <c:pt idx="1137">
                  <c:v>44103</c:v>
                </c:pt>
                <c:pt idx="1138">
                  <c:v>44102</c:v>
                </c:pt>
                <c:pt idx="1139">
                  <c:v>44099</c:v>
                </c:pt>
                <c:pt idx="1140">
                  <c:v>44098</c:v>
                </c:pt>
                <c:pt idx="1141">
                  <c:v>44097</c:v>
                </c:pt>
                <c:pt idx="1142">
                  <c:v>44096</c:v>
                </c:pt>
                <c:pt idx="1143">
                  <c:v>44095</c:v>
                </c:pt>
                <c:pt idx="1144">
                  <c:v>44092</c:v>
                </c:pt>
                <c:pt idx="1145">
                  <c:v>44091</c:v>
                </c:pt>
                <c:pt idx="1146">
                  <c:v>44090</c:v>
                </c:pt>
                <c:pt idx="1147">
                  <c:v>44089</c:v>
                </c:pt>
                <c:pt idx="1148">
                  <c:v>44088</c:v>
                </c:pt>
                <c:pt idx="1149">
                  <c:v>44085</c:v>
                </c:pt>
                <c:pt idx="1150">
                  <c:v>44084</c:v>
                </c:pt>
                <c:pt idx="1151">
                  <c:v>44083</c:v>
                </c:pt>
                <c:pt idx="1152">
                  <c:v>44082</c:v>
                </c:pt>
                <c:pt idx="1153">
                  <c:v>44081</c:v>
                </c:pt>
                <c:pt idx="1154">
                  <c:v>44078</c:v>
                </c:pt>
                <c:pt idx="1155">
                  <c:v>44077</c:v>
                </c:pt>
                <c:pt idx="1156">
                  <c:v>44076</c:v>
                </c:pt>
                <c:pt idx="1157">
                  <c:v>44075</c:v>
                </c:pt>
                <c:pt idx="1158">
                  <c:v>44074</c:v>
                </c:pt>
                <c:pt idx="1159">
                  <c:v>44071</c:v>
                </c:pt>
                <c:pt idx="1160">
                  <c:v>44070</c:v>
                </c:pt>
                <c:pt idx="1161">
                  <c:v>44069</c:v>
                </c:pt>
                <c:pt idx="1162">
                  <c:v>44068</c:v>
                </c:pt>
                <c:pt idx="1163">
                  <c:v>44067</c:v>
                </c:pt>
                <c:pt idx="1164">
                  <c:v>44064</c:v>
                </c:pt>
                <c:pt idx="1165">
                  <c:v>44063</c:v>
                </c:pt>
                <c:pt idx="1166">
                  <c:v>44062</c:v>
                </c:pt>
                <c:pt idx="1167">
                  <c:v>44061</c:v>
                </c:pt>
                <c:pt idx="1168">
                  <c:v>44060</c:v>
                </c:pt>
                <c:pt idx="1169">
                  <c:v>44057</c:v>
                </c:pt>
                <c:pt idx="1170">
                  <c:v>44056</c:v>
                </c:pt>
                <c:pt idx="1171">
                  <c:v>44055</c:v>
                </c:pt>
                <c:pt idx="1172">
                  <c:v>44054</c:v>
                </c:pt>
                <c:pt idx="1173">
                  <c:v>44050</c:v>
                </c:pt>
                <c:pt idx="1174">
                  <c:v>44049</c:v>
                </c:pt>
                <c:pt idx="1175">
                  <c:v>44048</c:v>
                </c:pt>
                <c:pt idx="1176">
                  <c:v>44047</c:v>
                </c:pt>
                <c:pt idx="1177">
                  <c:v>44046</c:v>
                </c:pt>
                <c:pt idx="1178">
                  <c:v>44042</c:v>
                </c:pt>
                <c:pt idx="1179">
                  <c:v>44041</c:v>
                </c:pt>
                <c:pt idx="1180">
                  <c:v>44040</c:v>
                </c:pt>
                <c:pt idx="1181">
                  <c:v>44039</c:v>
                </c:pt>
                <c:pt idx="1182">
                  <c:v>44036</c:v>
                </c:pt>
                <c:pt idx="1183">
                  <c:v>44035</c:v>
                </c:pt>
                <c:pt idx="1184">
                  <c:v>44034</c:v>
                </c:pt>
                <c:pt idx="1185">
                  <c:v>44033</c:v>
                </c:pt>
                <c:pt idx="1186">
                  <c:v>44032</c:v>
                </c:pt>
                <c:pt idx="1187">
                  <c:v>44029</c:v>
                </c:pt>
                <c:pt idx="1188">
                  <c:v>44028</c:v>
                </c:pt>
                <c:pt idx="1189">
                  <c:v>44027</c:v>
                </c:pt>
                <c:pt idx="1190">
                  <c:v>44026</c:v>
                </c:pt>
                <c:pt idx="1191">
                  <c:v>44025</c:v>
                </c:pt>
                <c:pt idx="1192">
                  <c:v>44021</c:v>
                </c:pt>
                <c:pt idx="1193">
                  <c:v>44020</c:v>
                </c:pt>
                <c:pt idx="1194">
                  <c:v>44019</c:v>
                </c:pt>
                <c:pt idx="1195">
                  <c:v>44018</c:v>
                </c:pt>
                <c:pt idx="1196">
                  <c:v>44015</c:v>
                </c:pt>
                <c:pt idx="1197">
                  <c:v>44014</c:v>
                </c:pt>
                <c:pt idx="1198">
                  <c:v>44013</c:v>
                </c:pt>
                <c:pt idx="1199">
                  <c:v>44012</c:v>
                </c:pt>
              </c:numCache>
            </c:numRef>
          </c:cat>
          <c:val>
            <c:numRef>
              <c:f>国际铁矿石价格f50!$B$3:$B$1202</c:f>
              <c:numCache>
                <c:formatCode>#,##0.00_ </c:formatCode>
                <c:ptCount val="1200"/>
                <c:pt idx="0">
                  <c:v>98.35</c:v>
                </c:pt>
                <c:pt idx="1">
                  <c:v>95.75</c:v>
                </c:pt>
                <c:pt idx="2">
                  <c:v>95.65</c:v>
                </c:pt>
                <c:pt idx="3">
                  <c:v>98.85</c:v>
                </c:pt>
                <c:pt idx="4">
                  <c:v>101.8</c:v>
                </c:pt>
                <c:pt idx="5">
                  <c:v>102.95</c:v>
                </c:pt>
                <c:pt idx="6">
                  <c:v>103.9</c:v>
                </c:pt>
                <c:pt idx="7">
                  <c:v>104.1</c:v>
                </c:pt>
                <c:pt idx="8">
                  <c:v>103.85</c:v>
                </c:pt>
                <c:pt idx="9">
                  <c:v>104.55</c:v>
                </c:pt>
                <c:pt idx="10">
                  <c:v>103.3</c:v>
                </c:pt>
                <c:pt idx="11">
                  <c:v>102.55</c:v>
                </c:pt>
                <c:pt idx="12">
                  <c:v>103.15</c:v>
                </c:pt>
                <c:pt idx="13">
                  <c:v>101.05</c:v>
                </c:pt>
                <c:pt idx="14">
                  <c:v>101.75</c:v>
                </c:pt>
                <c:pt idx="15">
                  <c:v>101.65</c:v>
                </c:pt>
                <c:pt idx="16">
                  <c:v>103.5</c:v>
                </c:pt>
                <c:pt idx="17">
                  <c:v>103.3</c:v>
                </c:pt>
                <c:pt idx="18">
                  <c:v>105.05</c:v>
                </c:pt>
                <c:pt idx="19">
                  <c:v>103.5</c:v>
                </c:pt>
                <c:pt idx="20">
                  <c:v>101.85</c:v>
                </c:pt>
                <c:pt idx="21">
                  <c:v>101.95</c:v>
                </c:pt>
                <c:pt idx="22">
                  <c:v>101</c:v>
                </c:pt>
                <c:pt idx="23">
                  <c:v>101.9</c:v>
                </c:pt>
                <c:pt idx="24">
                  <c:v>101.3</c:v>
                </c:pt>
                <c:pt idx="25">
                  <c:v>100.4</c:v>
                </c:pt>
                <c:pt idx="26">
                  <c:v>101.95</c:v>
                </c:pt>
                <c:pt idx="27">
                  <c:v>101.05</c:v>
                </c:pt>
                <c:pt idx="28">
                  <c:v>103.9</c:v>
                </c:pt>
                <c:pt idx="29">
                  <c:v>105.85</c:v>
                </c:pt>
                <c:pt idx="30">
                  <c:v>106.85</c:v>
                </c:pt>
                <c:pt idx="31">
                  <c:v>106.85</c:v>
                </c:pt>
                <c:pt idx="32">
                  <c:v>109.1</c:v>
                </c:pt>
                <c:pt idx="33">
                  <c:v>109.35</c:v>
                </c:pt>
                <c:pt idx="34">
                  <c:v>109.5</c:v>
                </c:pt>
                <c:pt idx="35">
                  <c:v>107.6</c:v>
                </c:pt>
                <c:pt idx="36">
                  <c:v>107.6</c:v>
                </c:pt>
                <c:pt idx="37">
                  <c:v>106.35</c:v>
                </c:pt>
                <c:pt idx="38">
                  <c:v>106.8</c:v>
                </c:pt>
                <c:pt idx="39">
                  <c:v>107.15</c:v>
                </c:pt>
                <c:pt idx="40">
                  <c:v>108.6</c:v>
                </c:pt>
                <c:pt idx="41">
                  <c:v>106.55</c:v>
                </c:pt>
                <c:pt idx="42">
                  <c:v>107.7</c:v>
                </c:pt>
                <c:pt idx="43">
                  <c:v>106.75</c:v>
                </c:pt>
                <c:pt idx="44">
                  <c:v>106.5</c:v>
                </c:pt>
                <c:pt idx="45">
                  <c:v>104.45</c:v>
                </c:pt>
                <c:pt idx="46">
                  <c:v>105.45</c:v>
                </c:pt>
                <c:pt idx="47">
                  <c:v>105</c:v>
                </c:pt>
                <c:pt idx="48">
                  <c:v>106</c:v>
                </c:pt>
                <c:pt idx="49">
                  <c:v>104.75</c:v>
                </c:pt>
                <c:pt idx="50">
                  <c:v>104.75</c:v>
                </c:pt>
                <c:pt idx="51">
                  <c:v>105.25</c:v>
                </c:pt>
                <c:pt idx="52">
                  <c:v>103.95</c:v>
                </c:pt>
                <c:pt idx="53">
                  <c:v>103.75</c:v>
                </c:pt>
                <c:pt idx="54">
                  <c:v>104.9</c:v>
                </c:pt>
                <c:pt idx="55">
                  <c:v>104.15</c:v>
                </c:pt>
                <c:pt idx="56">
                  <c:v>104.15</c:v>
                </c:pt>
                <c:pt idx="57">
                  <c:v>103.05</c:v>
                </c:pt>
                <c:pt idx="58">
                  <c:v>100.9</c:v>
                </c:pt>
                <c:pt idx="59">
                  <c:v>100.7</c:v>
                </c:pt>
                <c:pt idx="60">
                  <c:v>99.2</c:v>
                </c:pt>
                <c:pt idx="61">
                  <c:v>97.6</c:v>
                </c:pt>
                <c:pt idx="62">
                  <c:v>97.5</c:v>
                </c:pt>
                <c:pt idx="63">
                  <c:v>97.1</c:v>
                </c:pt>
                <c:pt idx="64">
                  <c:v>97.25</c:v>
                </c:pt>
                <c:pt idx="65">
                  <c:v>97.05</c:v>
                </c:pt>
                <c:pt idx="66">
                  <c:v>98.8</c:v>
                </c:pt>
                <c:pt idx="67">
                  <c:v>101.05</c:v>
                </c:pt>
                <c:pt idx="68">
                  <c:v>100</c:v>
                </c:pt>
                <c:pt idx="69">
                  <c:v>100.7</c:v>
                </c:pt>
                <c:pt idx="70">
                  <c:v>99.4</c:v>
                </c:pt>
                <c:pt idx="71">
                  <c:v>100.9</c:v>
                </c:pt>
                <c:pt idx="72">
                  <c:v>100.6</c:v>
                </c:pt>
                <c:pt idx="73">
                  <c:v>101.55</c:v>
                </c:pt>
                <c:pt idx="74">
                  <c:v>100.9</c:v>
                </c:pt>
                <c:pt idx="75">
                  <c:v>102.05</c:v>
                </c:pt>
                <c:pt idx="76">
                  <c:v>103.4</c:v>
                </c:pt>
                <c:pt idx="77">
                  <c:v>105.35</c:v>
                </c:pt>
                <c:pt idx="78">
                  <c:v>106</c:v>
                </c:pt>
                <c:pt idx="79">
                  <c:v>104.6</c:v>
                </c:pt>
                <c:pt idx="80">
                  <c:v>107.1</c:v>
                </c:pt>
                <c:pt idx="81">
                  <c:v>105.1</c:v>
                </c:pt>
                <c:pt idx="82">
                  <c:v>105.8</c:v>
                </c:pt>
                <c:pt idx="83">
                  <c:v>106.1</c:v>
                </c:pt>
                <c:pt idx="84">
                  <c:v>103.4</c:v>
                </c:pt>
                <c:pt idx="85">
                  <c:v>104.35</c:v>
                </c:pt>
                <c:pt idx="86">
                  <c:v>106.45</c:v>
                </c:pt>
                <c:pt idx="87">
                  <c:v>106.35</c:v>
                </c:pt>
                <c:pt idx="88">
                  <c:v>105.8</c:v>
                </c:pt>
                <c:pt idx="89">
                  <c:v>105.45</c:v>
                </c:pt>
                <c:pt idx="90">
                  <c:v>104.4</c:v>
                </c:pt>
                <c:pt idx="91">
                  <c:v>104.4</c:v>
                </c:pt>
                <c:pt idx="92">
                  <c:v>103.35</c:v>
                </c:pt>
                <c:pt idx="93">
                  <c:v>102.95</c:v>
                </c:pt>
                <c:pt idx="94">
                  <c:v>101.2</c:v>
                </c:pt>
                <c:pt idx="95">
                  <c:v>102.4</c:v>
                </c:pt>
                <c:pt idx="96">
                  <c:v>101.6</c:v>
                </c:pt>
                <c:pt idx="97">
                  <c:v>101.85</c:v>
                </c:pt>
                <c:pt idx="98">
                  <c:v>99.9</c:v>
                </c:pt>
                <c:pt idx="99">
                  <c:v>96.8</c:v>
                </c:pt>
                <c:pt idx="100">
                  <c:v>98.7</c:v>
                </c:pt>
                <c:pt idx="101">
                  <c:v>100.95</c:v>
                </c:pt>
                <c:pt idx="102">
                  <c:v>101.15</c:v>
                </c:pt>
                <c:pt idx="103">
                  <c:v>101.15</c:v>
                </c:pt>
                <c:pt idx="104">
                  <c:v>102.8</c:v>
                </c:pt>
                <c:pt idx="105">
                  <c:v>105.85</c:v>
                </c:pt>
                <c:pt idx="106">
                  <c:v>104.5</c:v>
                </c:pt>
                <c:pt idx="107">
                  <c:v>105.5</c:v>
                </c:pt>
                <c:pt idx="108">
                  <c:v>104.1</c:v>
                </c:pt>
                <c:pt idx="109">
                  <c:v>102.2</c:v>
                </c:pt>
                <c:pt idx="110">
                  <c:v>103.85</c:v>
                </c:pt>
                <c:pt idx="111">
                  <c:v>103.3</c:v>
                </c:pt>
                <c:pt idx="112">
                  <c:v>103.55</c:v>
                </c:pt>
                <c:pt idx="113">
                  <c:v>101.2</c:v>
                </c:pt>
                <c:pt idx="114">
                  <c:v>99.25</c:v>
                </c:pt>
                <c:pt idx="115">
                  <c:v>98.25</c:v>
                </c:pt>
                <c:pt idx="116">
                  <c:v>100</c:v>
                </c:pt>
                <c:pt idx="117">
                  <c:v>101.3</c:v>
                </c:pt>
                <c:pt idx="118">
                  <c:v>101.15</c:v>
                </c:pt>
                <c:pt idx="119">
                  <c:v>99.75</c:v>
                </c:pt>
                <c:pt idx="120">
                  <c:v>104.4</c:v>
                </c:pt>
                <c:pt idx="121">
                  <c:v>105.25</c:v>
                </c:pt>
                <c:pt idx="122">
                  <c:v>107.5</c:v>
                </c:pt>
                <c:pt idx="123">
                  <c:v>106.15</c:v>
                </c:pt>
                <c:pt idx="124">
                  <c:v>104.25</c:v>
                </c:pt>
                <c:pt idx="125">
                  <c:v>104.75</c:v>
                </c:pt>
                <c:pt idx="126">
                  <c:v>104.65</c:v>
                </c:pt>
                <c:pt idx="127">
                  <c:v>109.1</c:v>
                </c:pt>
                <c:pt idx="128">
                  <c:v>108.1</c:v>
                </c:pt>
                <c:pt idx="129">
                  <c:v>108.1</c:v>
                </c:pt>
                <c:pt idx="130">
                  <c:v>108</c:v>
                </c:pt>
                <c:pt idx="131">
                  <c:v>108</c:v>
                </c:pt>
                <c:pt idx="132">
                  <c:v>108.3</c:v>
                </c:pt>
                <c:pt idx="133">
                  <c:v>101.8</c:v>
                </c:pt>
                <c:pt idx="134">
                  <c:v>98.05</c:v>
                </c:pt>
                <c:pt idx="135">
                  <c:v>96.35</c:v>
                </c:pt>
                <c:pt idx="136">
                  <c:v>94.6</c:v>
                </c:pt>
                <c:pt idx="137">
                  <c:v>89.35</c:v>
                </c:pt>
                <c:pt idx="138">
                  <c:v>91.35</c:v>
                </c:pt>
                <c:pt idx="139">
                  <c:v>92.6</c:v>
                </c:pt>
                <c:pt idx="140">
                  <c:v>90.4</c:v>
                </c:pt>
                <c:pt idx="141">
                  <c:v>91.55</c:v>
                </c:pt>
                <c:pt idx="142">
                  <c:v>90.95</c:v>
                </c:pt>
                <c:pt idx="143">
                  <c:v>92.65</c:v>
                </c:pt>
                <c:pt idx="144">
                  <c:v>94.6</c:v>
                </c:pt>
                <c:pt idx="145">
                  <c:v>92.3</c:v>
                </c:pt>
                <c:pt idx="146">
                  <c:v>90.25</c:v>
                </c:pt>
                <c:pt idx="147">
                  <c:v>91.45</c:v>
                </c:pt>
                <c:pt idx="148">
                  <c:v>91.75</c:v>
                </c:pt>
                <c:pt idx="149">
                  <c:v>90.5</c:v>
                </c:pt>
                <c:pt idx="150">
                  <c:v>92.25</c:v>
                </c:pt>
                <c:pt idx="151">
                  <c:v>93.3</c:v>
                </c:pt>
                <c:pt idx="152">
                  <c:v>96.15</c:v>
                </c:pt>
                <c:pt idx="153">
                  <c:v>100.25</c:v>
                </c:pt>
                <c:pt idx="154">
                  <c:v>101.25</c:v>
                </c:pt>
                <c:pt idx="155">
                  <c:v>100.45</c:v>
                </c:pt>
                <c:pt idx="156">
                  <c:v>101.1</c:v>
                </c:pt>
                <c:pt idx="157">
                  <c:v>100.1</c:v>
                </c:pt>
                <c:pt idx="158">
                  <c:v>96</c:v>
                </c:pt>
                <c:pt idx="159">
                  <c:v>97</c:v>
                </c:pt>
                <c:pt idx="160">
                  <c:v>97.9</c:v>
                </c:pt>
                <c:pt idx="161">
                  <c:v>95.1</c:v>
                </c:pt>
                <c:pt idx="162">
                  <c:v>94.45</c:v>
                </c:pt>
                <c:pt idx="163">
                  <c:v>91.9</c:v>
                </c:pt>
                <c:pt idx="164">
                  <c:v>92.75</c:v>
                </c:pt>
                <c:pt idx="165">
                  <c:v>95.25</c:v>
                </c:pt>
                <c:pt idx="166">
                  <c:v>98.25</c:v>
                </c:pt>
                <c:pt idx="167">
                  <c:v>98.85</c:v>
                </c:pt>
                <c:pt idx="168">
                  <c:v>99.3</c:v>
                </c:pt>
                <c:pt idx="169">
                  <c:v>100.6</c:v>
                </c:pt>
                <c:pt idx="170">
                  <c:v>102.3</c:v>
                </c:pt>
                <c:pt idx="171">
                  <c:v>104.1</c:v>
                </c:pt>
                <c:pt idx="172">
                  <c:v>103.55</c:v>
                </c:pt>
                <c:pt idx="173">
                  <c:v>102.3</c:v>
                </c:pt>
                <c:pt idx="174">
                  <c:v>100.95</c:v>
                </c:pt>
                <c:pt idx="175">
                  <c:v>99</c:v>
                </c:pt>
                <c:pt idx="176">
                  <c:v>101.45</c:v>
                </c:pt>
                <c:pt idx="177">
                  <c:v>101.95</c:v>
                </c:pt>
                <c:pt idx="178">
                  <c:v>99.7</c:v>
                </c:pt>
                <c:pt idx="179">
                  <c:v>100.85</c:v>
                </c:pt>
                <c:pt idx="180">
                  <c:v>100.4</c:v>
                </c:pt>
                <c:pt idx="181">
                  <c:v>103.2</c:v>
                </c:pt>
                <c:pt idx="182">
                  <c:v>104.35</c:v>
                </c:pt>
                <c:pt idx="183">
                  <c:v>105.3</c:v>
                </c:pt>
                <c:pt idx="184">
                  <c:v>104.95</c:v>
                </c:pt>
                <c:pt idx="185">
                  <c:v>107.25</c:v>
                </c:pt>
                <c:pt idx="186">
                  <c:v>108.75</c:v>
                </c:pt>
                <c:pt idx="187">
                  <c:v>108</c:v>
                </c:pt>
                <c:pt idx="188">
                  <c:v>108.15</c:v>
                </c:pt>
                <c:pt idx="189">
                  <c:v>105.5</c:v>
                </c:pt>
                <c:pt idx="190">
                  <c:v>109.6</c:v>
                </c:pt>
                <c:pt idx="191">
                  <c:v>108.65</c:v>
                </c:pt>
                <c:pt idx="192">
                  <c:v>110.5</c:v>
                </c:pt>
                <c:pt idx="193">
                  <c:v>114</c:v>
                </c:pt>
                <c:pt idx="194">
                  <c:v>113.5</c:v>
                </c:pt>
                <c:pt idx="195">
                  <c:v>110.55</c:v>
                </c:pt>
                <c:pt idx="196">
                  <c:v>110.05</c:v>
                </c:pt>
                <c:pt idx="197">
                  <c:v>106.7</c:v>
                </c:pt>
                <c:pt idx="198">
                  <c:v>105.75</c:v>
                </c:pt>
                <c:pt idx="199">
                  <c:v>106.75</c:v>
                </c:pt>
                <c:pt idx="200">
                  <c:v>103.75</c:v>
                </c:pt>
                <c:pt idx="201">
                  <c:v>102.65</c:v>
                </c:pt>
                <c:pt idx="202">
                  <c:v>105.1</c:v>
                </c:pt>
                <c:pt idx="203">
                  <c:v>106.7</c:v>
                </c:pt>
                <c:pt idx="204">
                  <c:v>107.35</c:v>
                </c:pt>
                <c:pt idx="205">
                  <c:v>106.15</c:v>
                </c:pt>
                <c:pt idx="206">
                  <c:v>107.65</c:v>
                </c:pt>
                <c:pt idx="207">
                  <c:v>106.6</c:v>
                </c:pt>
                <c:pt idx="208">
                  <c:v>105.15</c:v>
                </c:pt>
                <c:pt idx="209">
                  <c:v>103.8</c:v>
                </c:pt>
                <c:pt idx="210">
                  <c:v>108.5</c:v>
                </c:pt>
                <c:pt idx="211">
                  <c:v>109.25</c:v>
                </c:pt>
                <c:pt idx="212">
                  <c:v>109.1</c:v>
                </c:pt>
                <c:pt idx="213">
                  <c:v>106.35</c:v>
                </c:pt>
                <c:pt idx="214">
                  <c:v>106.8</c:v>
                </c:pt>
                <c:pt idx="215">
                  <c:v>109.65</c:v>
                </c:pt>
                <c:pt idx="216">
                  <c:v>115.25</c:v>
                </c:pt>
                <c:pt idx="217">
                  <c:v>115.15</c:v>
                </c:pt>
                <c:pt idx="218">
                  <c:v>118.75</c:v>
                </c:pt>
                <c:pt idx="219">
                  <c:v>117.85</c:v>
                </c:pt>
                <c:pt idx="220">
                  <c:v>119</c:v>
                </c:pt>
                <c:pt idx="221">
                  <c:v>120.55</c:v>
                </c:pt>
                <c:pt idx="222">
                  <c:v>119.5</c:v>
                </c:pt>
                <c:pt idx="223">
                  <c:v>120.7</c:v>
                </c:pt>
                <c:pt idx="224">
                  <c:v>118.5</c:v>
                </c:pt>
                <c:pt idx="225">
                  <c:v>118</c:v>
                </c:pt>
                <c:pt idx="226">
                  <c:v>116.9</c:v>
                </c:pt>
                <c:pt idx="227">
                  <c:v>114.15</c:v>
                </c:pt>
                <c:pt idx="228">
                  <c:v>115.05</c:v>
                </c:pt>
                <c:pt idx="229">
                  <c:v>117.25</c:v>
                </c:pt>
                <c:pt idx="230">
                  <c:v>116.6</c:v>
                </c:pt>
                <c:pt idx="231">
                  <c:v>116.25</c:v>
                </c:pt>
                <c:pt idx="232">
                  <c:v>115.35</c:v>
                </c:pt>
                <c:pt idx="233">
                  <c:v>118.75</c:v>
                </c:pt>
                <c:pt idx="234">
                  <c:v>120.2</c:v>
                </c:pt>
                <c:pt idx="235">
                  <c:v>117.05</c:v>
                </c:pt>
                <c:pt idx="236">
                  <c:v>117.15</c:v>
                </c:pt>
                <c:pt idx="237">
                  <c:v>116.75</c:v>
                </c:pt>
                <c:pt idx="238">
                  <c:v>117.1</c:v>
                </c:pt>
                <c:pt idx="239">
                  <c:v>118.15</c:v>
                </c:pt>
                <c:pt idx="240">
                  <c:v>118.9</c:v>
                </c:pt>
                <c:pt idx="241">
                  <c:v>118.85</c:v>
                </c:pt>
                <c:pt idx="242">
                  <c:v>113.65</c:v>
                </c:pt>
                <c:pt idx="243">
                  <c:v>116.85</c:v>
                </c:pt>
                <c:pt idx="244">
                  <c:v>117.5</c:v>
                </c:pt>
                <c:pt idx="245">
                  <c:v>117.8</c:v>
                </c:pt>
                <c:pt idx="246">
                  <c:v>116.6</c:v>
                </c:pt>
                <c:pt idx="247">
                  <c:v>110.4</c:v>
                </c:pt>
                <c:pt idx="248">
                  <c:v>113.05</c:v>
                </c:pt>
                <c:pt idx="249">
                  <c:v>112</c:v>
                </c:pt>
                <c:pt idx="250">
                  <c:v>108.65</c:v>
                </c:pt>
                <c:pt idx="251">
                  <c:v>107.55</c:v>
                </c:pt>
                <c:pt idx="252">
                  <c:v>104.45</c:v>
                </c:pt>
                <c:pt idx="253">
                  <c:v>98.5</c:v>
                </c:pt>
                <c:pt idx="254">
                  <c:v>98.3</c:v>
                </c:pt>
                <c:pt idx="255">
                  <c:v>99.25</c:v>
                </c:pt>
                <c:pt idx="256">
                  <c:v>102.25</c:v>
                </c:pt>
                <c:pt idx="257">
                  <c:v>102.5</c:v>
                </c:pt>
                <c:pt idx="258">
                  <c:v>102.8</c:v>
                </c:pt>
                <c:pt idx="259">
                  <c:v>101.3</c:v>
                </c:pt>
                <c:pt idx="260">
                  <c:v>104.2</c:v>
                </c:pt>
                <c:pt idx="261">
                  <c:v>108.8</c:v>
                </c:pt>
                <c:pt idx="262">
                  <c:v>109.1</c:v>
                </c:pt>
                <c:pt idx="263">
                  <c:v>110.65</c:v>
                </c:pt>
                <c:pt idx="264">
                  <c:v>106.5</c:v>
                </c:pt>
                <c:pt idx="265">
                  <c:v>107.9</c:v>
                </c:pt>
                <c:pt idx="266">
                  <c:v>105.25</c:v>
                </c:pt>
                <c:pt idx="267">
                  <c:v>100.2</c:v>
                </c:pt>
                <c:pt idx="268">
                  <c:v>104.35</c:v>
                </c:pt>
                <c:pt idx="269">
                  <c:v>107.15</c:v>
                </c:pt>
                <c:pt idx="270">
                  <c:v>110.3</c:v>
                </c:pt>
                <c:pt idx="271">
                  <c:v>108.4</c:v>
                </c:pt>
                <c:pt idx="272">
                  <c:v>116.65</c:v>
                </c:pt>
                <c:pt idx="273">
                  <c:v>119</c:v>
                </c:pt>
                <c:pt idx="274">
                  <c:v>117.7</c:v>
                </c:pt>
                <c:pt idx="275">
                  <c:v>117.25</c:v>
                </c:pt>
                <c:pt idx="276">
                  <c:v>117.75</c:v>
                </c:pt>
                <c:pt idx="277">
                  <c:v>115.4</c:v>
                </c:pt>
                <c:pt idx="278">
                  <c:v>117.1</c:v>
                </c:pt>
                <c:pt idx="279">
                  <c:v>116.9</c:v>
                </c:pt>
                <c:pt idx="280">
                  <c:v>118.2</c:v>
                </c:pt>
                <c:pt idx="281">
                  <c:v>116</c:v>
                </c:pt>
                <c:pt idx="282">
                  <c:v>121.1</c:v>
                </c:pt>
                <c:pt idx="283">
                  <c:v>120.6</c:v>
                </c:pt>
                <c:pt idx="284">
                  <c:v>120</c:v>
                </c:pt>
                <c:pt idx="285">
                  <c:v>121.95</c:v>
                </c:pt>
                <c:pt idx="286">
                  <c:v>128.80000000000001</c:v>
                </c:pt>
                <c:pt idx="287">
                  <c:v>130</c:v>
                </c:pt>
                <c:pt idx="288">
                  <c:v>129.5</c:v>
                </c:pt>
                <c:pt idx="289">
                  <c:v>129.5</c:v>
                </c:pt>
                <c:pt idx="290">
                  <c:v>129.19999999999999</c:v>
                </c:pt>
                <c:pt idx="291">
                  <c:v>129</c:v>
                </c:pt>
                <c:pt idx="292">
                  <c:v>129.80000000000001</c:v>
                </c:pt>
                <c:pt idx="293">
                  <c:v>126</c:v>
                </c:pt>
                <c:pt idx="294">
                  <c:v>125.5</c:v>
                </c:pt>
                <c:pt idx="295">
                  <c:v>127.2</c:v>
                </c:pt>
                <c:pt idx="296">
                  <c:v>128</c:v>
                </c:pt>
                <c:pt idx="297">
                  <c:v>132.80000000000001</c:v>
                </c:pt>
                <c:pt idx="298">
                  <c:v>131.80000000000001</c:v>
                </c:pt>
                <c:pt idx="299">
                  <c:v>134.80000000000001</c:v>
                </c:pt>
                <c:pt idx="300">
                  <c:v>137.44999999999999</c:v>
                </c:pt>
                <c:pt idx="301">
                  <c:v>136.15</c:v>
                </c:pt>
                <c:pt idx="302">
                  <c:v>136.6</c:v>
                </c:pt>
                <c:pt idx="303">
                  <c:v>136.15</c:v>
                </c:pt>
                <c:pt idx="304">
                  <c:v>132.35</c:v>
                </c:pt>
                <c:pt idx="305">
                  <c:v>129.44999999999999</c:v>
                </c:pt>
                <c:pt idx="306">
                  <c:v>130.55000000000001</c:v>
                </c:pt>
                <c:pt idx="307">
                  <c:v>131.05000000000001</c:v>
                </c:pt>
                <c:pt idx="308">
                  <c:v>127.65</c:v>
                </c:pt>
                <c:pt idx="309">
                  <c:v>129.44999999999999</c:v>
                </c:pt>
                <c:pt idx="310">
                  <c:v>128.94999999999999</c:v>
                </c:pt>
                <c:pt idx="311">
                  <c:v>131.19999999999999</c:v>
                </c:pt>
                <c:pt idx="312">
                  <c:v>135.75</c:v>
                </c:pt>
                <c:pt idx="313">
                  <c:v>134.35</c:v>
                </c:pt>
                <c:pt idx="314">
                  <c:v>139.1</c:v>
                </c:pt>
                <c:pt idx="315">
                  <c:v>139.4</c:v>
                </c:pt>
                <c:pt idx="316">
                  <c:v>140.30000000000001</c:v>
                </c:pt>
                <c:pt idx="317">
                  <c:v>143.19999999999999</c:v>
                </c:pt>
                <c:pt idx="318">
                  <c:v>143.94999999999999</c:v>
                </c:pt>
                <c:pt idx="319">
                  <c:v>143.19999999999999</c:v>
                </c:pt>
                <c:pt idx="320">
                  <c:v>140.5</c:v>
                </c:pt>
                <c:pt idx="321">
                  <c:v>138.9</c:v>
                </c:pt>
                <c:pt idx="322">
                  <c:v>141.4</c:v>
                </c:pt>
                <c:pt idx="323">
                  <c:v>141.44999999999999</c:v>
                </c:pt>
                <c:pt idx="324">
                  <c:v>140</c:v>
                </c:pt>
                <c:pt idx="325">
                  <c:v>138</c:v>
                </c:pt>
                <c:pt idx="326">
                  <c:v>134.94999999999999</c:v>
                </c:pt>
                <c:pt idx="327">
                  <c:v>133.80000000000001</c:v>
                </c:pt>
                <c:pt idx="328">
                  <c:v>133.94999999999999</c:v>
                </c:pt>
                <c:pt idx="329">
                  <c:v>135.6</c:v>
                </c:pt>
                <c:pt idx="330">
                  <c:v>135.25</c:v>
                </c:pt>
                <c:pt idx="331">
                  <c:v>135.9</c:v>
                </c:pt>
                <c:pt idx="332">
                  <c:v>138.05000000000001</c:v>
                </c:pt>
                <c:pt idx="333">
                  <c:v>136.85</c:v>
                </c:pt>
                <c:pt idx="334">
                  <c:v>137.4</c:v>
                </c:pt>
                <c:pt idx="335">
                  <c:v>136.05000000000001</c:v>
                </c:pt>
                <c:pt idx="336">
                  <c:v>133.65</c:v>
                </c:pt>
                <c:pt idx="337">
                  <c:v>131.4</c:v>
                </c:pt>
                <c:pt idx="338">
                  <c:v>131.05000000000001</c:v>
                </c:pt>
                <c:pt idx="339">
                  <c:v>133.25</c:v>
                </c:pt>
                <c:pt idx="340">
                  <c:v>132.05000000000001</c:v>
                </c:pt>
                <c:pt idx="341">
                  <c:v>130.44999999999999</c:v>
                </c:pt>
                <c:pt idx="342">
                  <c:v>129.44999999999999</c:v>
                </c:pt>
                <c:pt idx="343">
                  <c:v>133.44999999999999</c:v>
                </c:pt>
                <c:pt idx="344">
                  <c:v>135.6</c:v>
                </c:pt>
                <c:pt idx="345">
                  <c:v>134.80000000000001</c:v>
                </c:pt>
                <c:pt idx="346">
                  <c:v>136</c:v>
                </c:pt>
                <c:pt idx="347">
                  <c:v>133.94999999999999</c:v>
                </c:pt>
                <c:pt idx="348">
                  <c:v>131.9</c:v>
                </c:pt>
                <c:pt idx="349">
                  <c:v>129.75</c:v>
                </c:pt>
                <c:pt idx="350">
                  <c:v>132.4</c:v>
                </c:pt>
                <c:pt idx="351">
                  <c:v>132</c:v>
                </c:pt>
                <c:pt idx="352">
                  <c:v>130.19999999999999</c:v>
                </c:pt>
                <c:pt idx="353">
                  <c:v>129.80000000000001</c:v>
                </c:pt>
                <c:pt idx="354">
                  <c:v>128.15</c:v>
                </c:pt>
                <c:pt idx="355">
                  <c:v>127.7</c:v>
                </c:pt>
                <c:pt idx="356">
                  <c:v>126.1</c:v>
                </c:pt>
                <c:pt idx="357">
                  <c:v>127.1</c:v>
                </c:pt>
                <c:pt idx="358">
                  <c:v>126.8</c:v>
                </c:pt>
                <c:pt idx="359">
                  <c:v>126.6</c:v>
                </c:pt>
                <c:pt idx="360">
                  <c:v>125.35</c:v>
                </c:pt>
                <c:pt idx="361">
                  <c:v>123.15</c:v>
                </c:pt>
                <c:pt idx="362">
                  <c:v>122.9</c:v>
                </c:pt>
                <c:pt idx="363">
                  <c:v>121.8</c:v>
                </c:pt>
                <c:pt idx="364">
                  <c:v>119</c:v>
                </c:pt>
                <c:pt idx="365">
                  <c:v>120</c:v>
                </c:pt>
                <c:pt idx="366">
                  <c:v>118.55</c:v>
                </c:pt>
                <c:pt idx="367">
                  <c:v>115.55</c:v>
                </c:pt>
                <c:pt idx="368">
                  <c:v>115.25</c:v>
                </c:pt>
                <c:pt idx="369">
                  <c:v>119.35</c:v>
                </c:pt>
                <c:pt idx="370">
                  <c:v>118.35</c:v>
                </c:pt>
                <c:pt idx="371">
                  <c:v>120.35</c:v>
                </c:pt>
                <c:pt idx="372">
                  <c:v>120.15</c:v>
                </c:pt>
                <c:pt idx="373">
                  <c:v>118.45</c:v>
                </c:pt>
                <c:pt idx="374">
                  <c:v>118.2</c:v>
                </c:pt>
                <c:pt idx="375">
                  <c:v>116.25</c:v>
                </c:pt>
                <c:pt idx="376">
                  <c:v>114.05</c:v>
                </c:pt>
                <c:pt idx="377">
                  <c:v>116.35</c:v>
                </c:pt>
                <c:pt idx="378">
                  <c:v>119.45</c:v>
                </c:pt>
                <c:pt idx="379">
                  <c:v>119.5</c:v>
                </c:pt>
                <c:pt idx="380">
                  <c:v>119.7</c:v>
                </c:pt>
                <c:pt idx="381">
                  <c:v>119.8</c:v>
                </c:pt>
                <c:pt idx="382">
                  <c:v>119.9</c:v>
                </c:pt>
                <c:pt idx="383">
                  <c:v>119.8</c:v>
                </c:pt>
                <c:pt idx="384">
                  <c:v>119.7</c:v>
                </c:pt>
                <c:pt idx="385">
                  <c:v>118.3</c:v>
                </c:pt>
                <c:pt idx="386">
                  <c:v>117.4</c:v>
                </c:pt>
                <c:pt idx="387">
                  <c:v>118.8</c:v>
                </c:pt>
                <c:pt idx="388">
                  <c:v>123.6</c:v>
                </c:pt>
                <c:pt idx="389">
                  <c:v>119.85</c:v>
                </c:pt>
                <c:pt idx="390">
                  <c:v>124.65</c:v>
                </c:pt>
                <c:pt idx="391">
                  <c:v>122.75</c:v>
                </c:pt>
                <c:pt idx="392">
                  <c:v>124.45</c:v>
                </c:pt>
                <c:pt idx="393">
                  <c:v>125.6</c:v>
                </c:pt>
                <c:pt idx="394">
                  <c:v>123.95</c:v>
                </c:pt>
                <c:pt idx="395">
                  <c:v>122.5</c:v>
                </c:pt>
                <c:pt idx="396">
                  <c:v>122.6</c:v>
                </c:pt>
                <c:pt idx="397">
                  <c:v>120.65</c:v>
                </c:pt>
                <c:pt idx="398">
                  <c:v>116.8</c:v>
                </c:pt>
                <c:pt idx="399">
                  <c:v>117.7</c:v>
                </c:pt>
                <c:pt idx="400">
                  <c:v>119.5</c:v>
                </c:pt>
                <c:pt idx="401">
                  <c:v>118.75</c:v>
                </c:pt>
                <c:pt idx="402">
                  <c:v>118.5</c:v>
                </c:pt>
                <c:pt idx="403">
                  <c:v>118.2</c:v>
                </c:pt>
                <c:pt idx="404">
                  <c:v>116.45</c:v>
                </c:pt>
                <c:pt idx="405">
                  <c:v>114.05</c:v>
                </c:pt>
                <c:pt idx="406">
                  <c:v>113.95</c:v>
                </c:pt>
                <c:pt idx="407">
                  <c:v>116.6</c:v>
                </c:pt>
                <c:pt idx="408">
                  <c:v>114.5</c:v>
                </c:pt>
                <c:pt idx="409">
                  <c:v>116.5</c:v>
                </c:pt>
                <c:pt idx="410">
                  <c:v>113.3</c:v>
                </c:pt>
                <c:pt idx="411">
                  <c:v>110.35</c:v>
                </c:pt>
                <c:pt idx="412">
                  <c:v>109.35</c:v>
                </c:pt>
                <c:pt idx="413">
                  <c:v>108.8</c:v>
                </c:pt>
                <c:pt idx="414">
                  <c:v>104.45</c:v>
                </c:pt>
                <c:pt idx="415">
                  <c:v>104.1</c:v>
                </c:pt>
                <c:pt idx="416">
                  <c:v>103.45</c:v>
                </c:pt>
                <c:pt idx="417">
                  <c:v>105.1</c:v>
                </c:pt>
                <c:pt idx="418">
                  <c:v>103.35</c:v>
                </c:pt>
                <c:pt idx="419">
                  <c:v>104.8</c:v>
                </c:pt>
                <c:pt idx="420">
                  <c:v>104.1</c:v>
                </c:pt>
                <c:pt idx="421">
                  <c:v>105.05</c:v>
                </c:pt>
                <c:pt idx="422">
                  <c:v>103.75</c:v>
                </c:pt>
                <c:pt idx="423">
                  <c:v>106.95</c:v>
                </c:pt>
                <c:pt idx="424">
                  <c:v>109.55</c:v>
                </c:pt>
                <c:pt idx="425">
                  <c:v>110.05</c:v>
                </c:pt>
                <c:pt idx="426">
                  <c:v>109.4</c:v>
                </c:pt>
                <c:pt idx="427">
                  <c:v>113.1</c:v>
                </c:pt>
                <c:pt idx="428">
                  <c:v>116.45</c:v>
                </c:pt>
                <c:pt idx="429">
                  <c:v>116.75</c:v>
                </c:pt>
                <c:pt idx="430">
                  <c:v>114.5</c:v>
                </c:pt>
                <c:pt idx="431">
                  <c:v>115.35</c:v>
                </c:pt>
                <c:pt idx="432">
                  <c:v>116.25</c:v>
                </c:pt>
                <c:pt idx="433">
                  <c:v>114</c:v>
                </c:pt>
                <c:pt idx="434">
                  <c:v>115.85</c:v>
                </c:pt>
                <c:pt idx="435">
                  <c:v>115.05</c:v>
                </c:pt>
                <c:pt idx="436">
                  <c:v>115.8</c:v>
                </c:pt>
                <c:pt idx="437">
                  <c:v>111.75</c:v>
                </c:pt>
                <c:pt idx="438">
                  <c:v>110.55</c:v>
                </c:pt>
                <c:pt idx="439">
                  <c:v>107.6</c:v>
                </c:pt>
                <c:pt idx="440">
                  <c:v>105.4</c:v>
                </c:pt>
                <c:pt idx="441">
                  <c:v>109.45</c:v>
                </c:pt>
                <c:pt idx="442">
                  <c:v>111.85</c:v>
                </c:pt>
                <c:pt idx="443">
                  <c:v>111.55</c:v>
                </c:pt>
                <c:pt idx="444">
                  <c:v>110.5</c:v>
                </c:pt>
                <c:pt idx="445">
                  <c:v>110.55</c:v>
                </c:pt>
                <c:pt idx="446">
                  <c:v>111.6</c:v>
                </c:pt>
                <c:pt idx="447">
                  <c:v>113.5</c:v>
                </c:pt>
                <c:pt idx="448">
                  <c:v>113.95</c:v>
                </c:pt>
                <c:pt idx="449">
                  <c:v>109.45</c:v>
                </c:pt>
                <c:pt idx="450">
                  <c:v>112.15</c:v>
                </c:pt>
                <c:pt idx="451">
                  <c:v>112.4</c:v>
                </c:pt>
                <c:pt idx="452">
                  <c:v>112.4</c:v>
                </c:pt>
                <c:pt idx="453">
                  <c:v>114.75</c:v>
                </c:pt>
                <c:pt idx="454">
                  <c:v>115.15</c:v>
                </c:pt>
                <c:pt idx="455">
                  <c:v>115.5</c:v>
                </c:pt>
                <c:pt idx="456">
                  <c:v>115.4</c:v>
                </c:pt>
                <c:pt idx="457">
                  <c:v>114.3</c:v>
                </c:pt>
                <c:pt idx="458">
                  <c:v>112.9</c:v>
                </c:pt>
                <c:pt idx="459">
                  <c:v>112.4</c:v>
                </c:pt>
                <c:pt idx="460">
                  <c:v>116.65</c:v>
                </c:pt>
                <c:pt idx="461">
                  <c:v>114.5</c:v>
                </c:pt>
                <c:pt idx="462">
                  <c:v>111.1</c:v>
                </c:pt>
                <c:pt idx="463">
                  <c:v>109.9</c:v>
                </c:pt>
                <c:pt idx="464">
                  <c:v>109</c:v>
                </c:pt>
                <c:pt idx="465">
                  <c:v>104.35</c:v>
                </c:pt>
                <c:pt idx="466">
                  <c:v>103.2</c:v>
                </c:pt>
                <c:pt idx="467">
                  <c:v>102.65</c:v>
                </c:pt>
                <c:pt idx="468">
                  <c:v>104.45</c:v>
                </c:pt>
                <c:pt idx="469">
                  <c:v>102.45</c:v>
                </c:pt>
                <c:pt idx="470">
                  <c:v>98.1</c:v>
                </c:pt>
                <c:pt idx="471">
                  <c:v>97.35</c:v>
                </c:pt>
                <c:pt idx="472">
                  <c:v>102.4</c:v>
                </c:pt>
                <c:pt idx="473">
                  <c:v>104.85</c:v>
                </c:pt>
                <c:pt idx="474">
                  <c:v>108.4</c:v>
                </c:pt>
                <c:pt idx="475">
                  <c:v>110.3</c:v>
                </c:pt>
                <c:pt idx="476">
                  <c:v>111</c:v>
                </c:pt>
                <c:pt idx="477">
                  <c:v>108.4</c:v>
                </c:pt>
                <c:pt idx="478">
                  <c:v>108.4</c:v>
                </c:pt>
                <c:pt idx="479">
                  <c:v>103.05</c:v>
                </c:pt>
                <c:pt idx="480">
                  <c:v>102.85</c:v>
                </c:pt>
                <c:pt idx="481">
                  <c:v>107.5</c:v>
                </c:pt>
                <c:pt idx="482">
                  <c:v>106</c:v>
                </c:pt>
                <c:pt idx="483">
                  <c:v>109.95</c:v>
                </c:pt>
                <c:pt idx="484">
                  <c:v>103.65</c:v>
                </c:pt>
                <c:pt idx="485">
                  <c:v>104.05</c:v>
                </c:pt>
                <c:pt idx="486">
                  <c:v>106.2</c:v>
                </c:pt>
                <c:pt idx="487">
                  <c:v>106.4</c:v>
                </c:pt>
                <c:pt idx="488">
                  <c:v>106.5</c:v>
                </c:pt>
                <c:pt idx="489">
                  <c:v>106.05</c:v>
                </c:pt>
                <c:pt idx="490">
                  <c:v>107.65</c:v>
                </c:pt>
                <c:pt idx="491">
                  <c:v>104.35</c:v>
                </c:pt>
                <c:pt idx="492">
                  <c:v>106.8</c:v>
                </c:pt>
                <c:pt idx="493">
                  <c:v>112.15</c:v>
                </c:pt>
                <c:pt idx="494">
                  <c:v>118.2</c:v>
                </c:pt>
                <c:pt idx="495">
                  <c:v>120.7</c:v>
                </c:pt>
                <c:pt idx="496">
                  <c:v>120.45</c:v>
                </c:pt>
                <c:pt idx="497">
                  <c:v>120</c:v>
                </c:pt>
                <c:pt idx="498">
                  <c:v>118.9</c:v>
                </c:pt>
                <c:pt idx="499">
                  <c:v>118.95</c:v>
                </c:pt>
                <c:pt idx="500">
                  <c:v>120.75</c:v>
                </c:pt>
                <c:pt idx="501">
                  <c:v>122</c:v>
                </c:pt>
                <c:pt idx="502">
                  <c:v>119.65</c:v>
                </c:pt>
                <c:pt idx="503">
                  <c:v>119.6</c:v>
                </c:pt>
                <c:pt idx="504">
                  <c:v>120.45</c:v>
                </c:pt>
                <c:pt idx="505">
                  <c:v>121.1</c:v>
                </c:pt>
                <c:pt idx="506">
                  <c:v>122.4</c:v>
                </c:pt>
                <c:pt idx="507">
                  <c:v>127.3</c:v>
                </c:pt>
                <c:pt idx="508">
                  <c:v>128</c:v>
                </c:pt>
                <c:pt idx="509">
                  <c:v>125.1</c:v>
                </c:pt>
                <c:pt idx="510">
                  <c:v>123.7</c:v>
                </c:pt>
                <c:pt idx="511">
                  <c:v>121.65</c:v>
                </c:pt>
                <c:pt idx="512">
                  <c:v>121.1</c:v>
                </c:pt>
                <c:pt idx="513">
                  <c:v>120.3</c:v>
                </c:pt>
                <c:pt idx="514">
                  <c:v>121.4</c:v>
                </c:pt>
                <c:pt idx="515">
                  <c:v>124.7</c:v>
                </c:pt>
                <c:pt idx="516">
                  <c:v>126.5</c:v>
                </c:pt>
                <c:pt idx="517">
                  <c:v>132</c:v>
                </c:pt>
                <c:pt idx="518">
                  <c:v>130.44999999999999</c:v>
                </c:pt>
                <c:pt idx="519">
                  <c:v>133.1</c:v>
                </c:pt>
                <c:pt idx="520">
                  <c:v>133</c:v>
                </c:pt>
                <c:pt idx="521">
                  <c:v>132.35</c:v>
                </c:pt>
                <c:pt idx="522">
                  <c:v>129.94999999999999</c:v>
                </c:pt>
                <c:pt idx="523">
                  <c:v>129</c:v>
                </c:pt>
                <c:pt idx="524">
                  <c:v>127.9</c:v>
                </c:pt>
                <c:pt idx="525">
                  <c:v>128</c:v>
                </c:pt>
                <c:pt idx="526">
                  <c:v>125.35</c:v>
                </c:pt>
                <c:pt idx="527">
                  <c:v>127.45</c:v>
                </c:pt>
                <c:pt idx="528">
                  <c:v>127.25</c:v>
                </c:pt>
                <c:pt idx="529">
                  <c:v>126.8</c:v>
                </c:pt>
                <c:pt idx="530">
                  <c:v>124.1</c:v>
                </c:pt>
                <c:pt idx="531">
                  <c:v>122.5</c:v>
                </c:pt>
                <c:pt idx="532">
                  <c:v>126.65</c:v>
                </c:pt>
                <c:pt idx="533">
                  <c:v>130.19999999999999</c:v>
                </c:pt>
                <c:pt idx="534">
                  <c:v>130.6</c:v>
                </c:pt>
                <c:pt idx="535">
                  <c:v>131.85</c:v>
                </c:pt>
                <c:pt idx="536">
                  <c:v>129.55000000000001</c:v>
                </c:pt>
                <c:pt idx="537">
                  <c:v>127.3</c:v>
                </c:pt>
                <c:pt idx="538">
                  <c:v>124.75</c:v>
                </c:pt>
                <c:pt idx="539">
                  <c:v>123.6</c:v>
                </c:pt>
                <c:pt idx="540">
                  <c:v>123.75</c:v>
                </c:pt>
                <c:pt idx="541">
                  <c:v>121.85</c:v>
                </c:pt>
                <c:pt idx="542">
                  <c:v>126.1</c:v>
                </c:pt>
                <c:pt idx="543">
                  <c:v>125.5</c:v>
                </c:pt>
                <c:pt idx="544">
                  <c:v>122.9</c:v>
                </c:pt>
                <c:pt idx="545">
                  <c:v>121.7</c:v>
                </c:pt>
                <c:pt idx="546">
                  <c:v>124.05</c:v>
                </c:pt>
                <c:pt idx="547">
                  <c:v>126.25</c:v>
                </c:pt>
                <c:pt idx="548">
                  <c:v>125.15</c:v>
                </c:pt>
                <c:pt idx="549">
                  <c:v>126.7</c:v>
                </c:pt>
                <c:pt idx="550">
                  <c:v>128.94999999999999</c:v>
                </c:pt>
                <c:pt idx="551">
                  <c:v>129.80000000000001</c:v>
                </c:pt>
                <c:pt idx="552">
                  <c:v>127.4</c:v>
                </c:pt>
                <c:pt idx="553">
                  <c:v>127.4</c:v>
                </c:pt>
                <c:pt idx="554">
                  <c:v>126.8</c:v>
                </c:pt>
                <c:pt idx="555">
                  <c:v>126.65</c:v>
                </c:pt>
                <c:pt idx="556">
                  <c:v>124.95</c:v>
                </c:pt>
                <c:pt idx="557">
                  <c:v>122.7</c:v>
                </c:pt>
                <c:pt idx="558">
                  <c:v>121.5</c:v>
                </c:pt>
                <c:pt idx="559">
                  <c:v>120.75</c:v>
                </c:pt>
                <c:pt idx="560">
                  <c:v>127</c:v>
                </c:pt>
                <c:pt idx="561">
                  <c:v>123.65</c:v>
                </c:pt>
                <c:pt idx="562">
                  <c:v>124</c:v>
                </c:pt>
                <c:pt idx="563">
                  <c:v>122.15</c:v>
                </c:pt>
                <c:pt idx="564">
                  <c:v>118.7</c:v>
                </c:pt>
                <c:pt idx="565">
                  <c:v>119.8</c:v>
                </c:pt>
                <c:pt idx="566">
                  <c:v>117.2</c:v>
                </c:pt>
                <c:pt idx="567">
                  <c:v>117</c:v>
                </c:pt>
                <c:pt idx="568">
                  <c:v>117.65</c:v>
                </c:pt>
                <c:pt idx="569">
                  <c:v>117.35</c:v>
                </c:pt>
                <c:pt idx="570">
                  <c:v>115.55</c:v>
                </c:pt>
                <c:pt idx="571">
                  <c:v>114.75</c:v>
                </c:pt>
                <c:pt idx="572">
                  <c:v>114.65</c:v>
                </c:pt>
                <c:pt idx="573">
                  <c:v>112.5</c:v>
                </c:pt>
                <c:pt idx="574">
                  <c:v>111.65</c:v>
                </c:pt>
                <c:pt idx="575">
                  <c:v>114.25</c:v>
                </c:pt>
                <c:pt idx="576">
                  <c:v>110.5</c:v>
                </c:pt>
                <c:pt idx="577">
                  <c:v>109.2</c:v>
                </c:pt>
                <c:pt idx="578">
                  <c:v>112.7</c:v>
                </c:pt>
                <c:pt idx="579">
                  <c:v>113.15</c:v>
                </c:pt>
                <c:pt idx="580">
                  <c:v>109.75</c:v>
                </c:pt>
                <c:pt idx="581">
                  <c:v>110.3</c:v>
                </c:pt>
                <c:pt idx="582">
                  <c:v>110.25</c:v>
                </c:pt>
                <c:pt idx="583">
                  <c:v>112.4</c:v>
                </c:pt>
                <c:pt idx="584">
                  <c:v>110.7</c:v>
                </c:pt>
                <c:pt idx="585">
                  <c:v>107.45</c:v>
                </c:pt>
                <c:pt idx="586">
                  <c:v>109.7</c:v>
                </c:pt>
                <c:pt idx="587">
                  <c:v>109.6</c:v>
                </c:pt>
                <c:pt idx="588">
                  <c:v>107.3</c:v>
                </c:pt>
                <c:pt idx="589">
                  <c:v>103.1</c:v>
                </c:pt>
                <c:pt idx="590">
                  <c:v>101.15</c:v>
                </c:pt>
                <c:pt idx="591">
                  <c:v>101.25</c:v>
                </c:pt>
                <c:pt idx="592">
                  <c:v>98.9</c:v>
                </c:pt>
                <c:pt idx="593">
                  <c:v>99.65</c:v>
                </c:pt>
                <c:pt idx="594">
                  <c:v>96.45</c:v>
                </c:pt>
                <c:pt idx="595">
                  <c:v>95.2</c:v>
                </c:pt>
                <c:pt idx="596">
                  <c:v>94.2</c:v>
                </c:pt>
                <c:pt idx="597">
                  <c:v>96.25</c:v>
                </c:pt>
                <c:pt idx="598">
                  <c:v>99.1</c:v>
                </c:pt>
                <c:pt idx="599">
                  <c:v>98.35</c:v>
                </c:pt>
                <c:pt idx="600">
                  <c:v>98.1</c:v>
                </c:pt>
                <c:pt idx="601">
                  <c:v>95.7</c:v>
                </c:pt>
                <c:pt idx="602">
                  <c:v>95.3</c:v>
                </c:pt>
                <c:pt idx="603">
                  <c:v>92.25</c:v>
                </c:pt>
                <c:pt idx="604">
                  <c:v>88.15</c:v>
                </c:pt>
                <c:pt idx="605">
                  <c:v>89.55</c:v>
                </c:pt>
                <c:pt idx="606">
                  <c:v>89.05</c:v>
                </c:pt>
                <c:pt idx="607">
                  <c:v>87.95</c:v>
                </c:pt>
                <c:pt idx="608">
                  <c:v>88.05</c:v>
                </c:pt>
                <c:pt idx="609">
                  <c:v>83.75</c:v>
                </c:pt>
                <c:pt idx="610">
                  <c:v>83.05</c:v>
                </c:pt>
                <c:pt idx="611">
                  <c:v>80.150000000000006</c:v>
                </c:pt>
                <c:pt idx="612">
                  <c:v>79.5</c:v>
                </c:pt>
                <c:pt idx="613">
                  <c:v>81.849999999999994</c:v>
                </c:pt>
                <c:pt idx="614">
                  <c:v>82.5</c:v>
                </c:pt>
                <c:pt idx="615">
                  <c:v>87.8</c:v>
                </c:pt>
                <c:pt idx="616">
                  <c:v>89.5</c:v>
                </c:pt>
                <c:pt idx="617">
                  <c:v>93</c:v>
                </c:pt>
                <c:pt idx="618">
                  <c:v>91.4</c:v>
                </c:pt>
                <c:pt idx="619">
                  <c:v>93.75</c:v>
                </c:pt>
                <c:pt idx="620">
                  <c:v>94.8</c:v>
                </c:pt>
                <c:pt idx="621">
                  <c:v>93.75</c:v>
                </c:pt>
                <c:pt idx="622">
                  <c:v>96.15</c:v>
                </c:pt>
                <c:pt idx="623">
                  <c:v>94.2</c:v>
                </c:pt>
                <c:pt idx="624">
                  <c:v>96.5</c:v>
                </c:pt>
                <c:pt idx="625">
                  <c:v>97.05</c:v>
                </c:pt>
                <c:pt idx="626">
                  <c:v>98.75</c:v>
                </c:pt>
                <c:pt idx="627">
                  <c:v>95.8</c:v>
                </c:pt>
                <c:pt idx="628">
                  <c:v>95.8</c:v>
                </c:pt>
                <c:pt idx="629">
                  <c:v>95.7</c:v>
                </c:pt>
                <c:pt idx="630">
                  <c:v>95.5</c:v>
                </c:pt>
                <c:pt idx="631">
                  <c:v>95.3</c:v>
                </c:pt>
                <c:pt idx="632">
                  <c:v>95.95</c:v>
                </c:pt>
                <c:pt idx="633">
                  <c:v>95.85</c:v>
                </c:pt>
                <c:pt idx="634">
                  <c:v>95.5</c:v>
                </c:pt>
                <c:pt idx="635">
                  <c:v>97.6</c:v>
                </c:pt>
                <c:pt idx="636">
                  <c:v>96.05</c:v>
                </c:pt>
                <c:pt idx="637">
                  <c:v>99.6</c:v>
                </c:pt>
                <c:pt idx="638">
                  <c:v>98.75</c:v>
                </c:pt>
                <c:pt idx="639">
                  <c:v>96.4</c:v>
                </c:pt>
                <c:pt idx="640">
                  <c:v>96.65</c:v>
                </c:pt>
                <c:pt idx="641">
                  <c:v>97.7</c:v>
                </c:pt>
                <c:pt idx="642">
                  <c:v>98.45</c:v>
                </c:pt>
                <c:pt idx="643">
                  <c:v>101.05</c:v>
                </c:pt>
                <c:pt idx="644">
                  <c:v>100.8</c:v>
                </c:pt>
                <c:pt idx="645">
                  <c:v>104.25</c:v>
                </c:pt>
                <c:pt idx="646">
                  <c:v>101.95</c:v>
                </c:pt>
                <c:pt idx="647">
                  <c:v>103.65</c:v>
                </c:pt>
                <c:pt idx="648">
                  <c:v>99.8</c:v>
                </c:pt>
                <c:pt idx="649">
                  <c:v>96.9</c:v>
                </c:pt>
                <c:pt idx="650">
                  <c:v>97.3</c:v>
                </c:pt>
                <c:pt idx="651">
                  <c:v>98</c:v>
                </c:pt>
                <c:pt idx="652">
                  <c:v>95</c:v>
                </c:pt>
                <c:pt idx="653">
                  <c:v>95.6</c:v>
                </c:pt>
                <c:pt idx="654">
                  <c:v>100.95</c:v>
                </c:pt>
                <c:pt idx="655">
                  <c:v>97.6</c:v>
                </c:pt>
                <c:pt idx="656">
                  <c:v>101.75</c:v>
                </c:pt>
                <c:pt idx="657">
                  <c:v>105.8</c:v>
                </c:pt>
                <c:pt idx="658">
                  <c:v>102.25</c:v>
                </c:pt>
                <c:pt idx="659">
                  <c:v>102.5</c:v>
                </c:pt>
                <c:pt idx="660">
                  <c:v>102.3</c:v>
                </c:pt>
                <c:pt idx="661">
                  <c:v>100.65</c:v>
                </c:pt>
                <c:pt idx="662">
                  <c:v>99.7</c:v>
                </c:pt>
                <c:pt idx="663">
                  <c:v>100.6</c:v>
                </c:pt>
                <c:pt idx="664">
                  <c:v>100.4</c:v>
                </c:pt>
                <c:pt idx="665">
                  <c:v>104.05</c:v>
                </c:pt>
                <c:pt idx="666">
                  <c:v>104.4</c:v>
                </c:pt>
                <c:pt idx="667">
                  <c:v>108.85</c:v>
                </c:pt>
                <c:pt idx="668">
                  <c:v>110.6</c:v>
                </c:pt>
                <c:pt idx="669">
                  <c:v>108.4</c:v>
                </c:pt>
                <c:pt idx="670">
                  <c:v>108.8</c:v>
                </c:pt>
                <c:pt idx="671">
                  <c:v>106.95</c:v>
                </c:pt>
                <c:pt idx="672">
                  <c:v>103.8</c:v>
                </c:pt>
                <c:pt idx="673">
                  <c:v>108.1</c:v>
                </c:pt>
                <c:pt idx="674">
                  <c:v>113.3</c:v>
                </c:pt>
                <c:pt idx="675">
                  <c:v>112.9</c:v>
                </c:pt>
                <c:pt idx="676">
                  <c:v>114</c:v>
                </c:pt>
                <c:pt idx="677">
                  <c:v>117.95</c:v>
                </c:pt>
                <c:pt idx="678">
                  <c:v>111.05</c:v>
                </c:pt>
                <c:pt idx="679">
                  <c:v>111.7</c:v>
                </c:pt>
                <c:pt idx="680">
                  <c:v>104</c:v>
                </c:pt>
                <c:pt idx="681">
                  <c:v>100.35</c:v>
                </c:pt>
                <c:pt idx="682">
                  <c:v>96.4</c:v>
                </c:pt>
                <c:pt idx="683">
                  <c:v>97.55</c:v>
                </c:pt>
                <c:pt idx="684">
                  <c:v>96.45</c:v>
                </c:pt>
                <c:pt idx="685">
                  <c:v>100.9</c:v>
                </c:pt>
                <c:pt idx="686">
                  <c:v>96.6</c:v>
                </c:pt>
                <c:pt idx="687">
                  <c:v>100.25</c:v>
                </c:pt>
                <c:pt idx="688">
                  <c:v>109.4</c:v>
                </c:pt>
                <c:pt idx="689">
                  <c:v>105.8</c:v>
                </c:pt>
                <c:pt idx="690">
                  <c:v>114.05</c:v>
                </c:pt>
                <c:pt idx="691">
                  <c:v>114.85</c:v>
                </c:pt>
                <c:pt idx="692">
                  <c:v>112.35</c:v>
                </c:pt>
                <c:pt idx="693">
                  <c:v>114.3</c:v>
                </c:pt>
                <c:pt idx="694">
                  <c:v>109.9</c:v>
                </c:pt>
                <c:pt idx="695">
                  <c:v>116.45</c:v>
                </c:pt>
                <c:pt idx="696">
                  <c:v>120.1</c:v>
                </c:pt>
                <c:pt idx="697">
                  <c:v>123.2</c:v>
                </c:pt>
                <c:pt idx="698">
                  <c:v>125</c:v>
                </c:pt>
                <c:pt idx="699">
                  <c:v>119.6</c:v>
                </c:pt>
                <c:pt idx="700">
                  <c:v>115</c:v>
                </c:pt>
                <c:pt idx="701">
                  <c:v>116.05</c:v>
                </c:pt>
                <c:pt idx="702">
                  <c:v>109.4</c:v>
                </c:pt>
                <c:pt idx="703">
                  <c:v>115.9</c:v>
                </c:pt>
                <c:pt idx="704">
                  <c:v>112.35</c:v>
                </c:pt>
                <c:pt idx="705">
                  <c:v>122.15</c:v>
                </c:pt>
                <c:pt idx="706">
                  <c:v>129.5</c:v>
                </c:pt>
                <c:pt idx="707">
                  <c:v>130.85</c:v>
                </c:pt>
                <c:pt idx="708">
                  <c:v>134.19999999999999</c:v>
                </c:pt>
                <c:pt idx="709">
                  <c:v>136.6</c:v>
                </c:pt>
                <c:pt idx="710">
                  <c:v>141.55000000000001</c:v>
                </c:pt>
                <c:pt idx="711">
                  <c:v>143.85</c:v>
                </c:pt>
                <c:pt idx="712">
                  <c:v>146.9</c:v>
                </c:pt>
                <c:pt idx="713">
                  <c:v>147.25</c:v>
                </c:pt>
                <c:pt idx="714">
                  <c:v>146.75</c:v>
                </c:pt>
                <c:pt idx="715">
                  <c:v>143.65</c:v>
                </c:pt>
                <c:pt idx="716">
                  <c:v>143.65</c:v>
                </c:pt>
                <c:pt idx="717">
                  <c:v>136.55000000000001</c:v>
                </c:pt>
                <c:pt idx="718">
                  <c:v>136.5</c:v>
                </c:pt>
                <c:pt idx="719">
                  <c:v>136.6</c:v>
                </c:pt>
                <c:pt idx="720">
                  <c:v>134.44999999999999</c:v>
                </c:pt>
                <c:pt idx="721">
                  <c:v>131.25</c:v>
                </c:pt>
                <c:pt idx="722">
                  <c:v>133.4</c:v>
                </c:pt>
                <c:pt idx="723">
                  <c:v>130.5</c:v>
                </c:pt>
                <c:pt idx="724">
                  <c:v>135.94999999999999</c:v>
                </c:pt>
                <c:pt idx="725">
                  <c:v>136.25</c:v>
                </c:pt>
                <c:pt idx="726">
                  <c:v>129.4</c:v>
                </c:pt>
                <c:pt idx="727">
                  <c:v>126.6</c:v>
                </c:pt>
                <c:pt idx="728">
                  <c:v>130.15</c:v>
                </c:pt>
                <c:pt idx="729">
                  <c:v>127.35</c:v>
                </c:pt>
                <c:pt idx="730">
                  <c:v>127.55</c:v>
                </c:pt>
                <c:pt idx="731">
                  <c:v>133.5</c:v>
                </c:pt>
                <c:pt idx="732">
                  <c:v>128.1</c:v>
                </c:pt>
                <c:pt idx="733">
                  <c:v>131.35</c:v>
                </c:pt>
                <c:pt idx="734">
                  <c:v>139</c:v>
                </c:pt>
                <c:pt idx="735">
                  <c:v>145.80000000000001</c:v>
                </c:pt>
                <c:pt idx="736">
                  <c:v>142.9</c:v>
                </c:pt>
                <c:pt idx="737">
                  <c:v>142.35</c:v>
                </c:pt>
                <c:pt idx="738">
                  <c:v>142</c:v>
                </c:pt>
                <c:pt idx="739">
                  <c:v>140.44999999999999</c:v>
                </c:pt>
                <c:pt idx="740">
                  <c:v>138.94999999999999</c:v>
                </c:pt>
                <c:pt idx="741">
                  <c:v>135.75</c:v>
                </c:pt>
                <c:pt idx="742">
                  <c:v>150.5</c:v>
                </c:pt>
                <c:pt idx="743">
                  <c:v>150.05000000000001</c:v>
                </c:pt>
                <c:pt idx="744">
                  <c:v>150.69999999999999</c:v>
                </c:pt>
                <c:pt idx="745">
                  <c:v>149.85</c:v>
                </c:pt>
                <c:pt idx="746">
                  <c:v>153.85</c:v>
                </c:pt>
                <c:pt idx="747">
                  <c:v>152.80000000000001</c:v>
                </c:pt>
                <c:pt idx="748">
                  <c:v>151.4</c:v>
                </c:pt>
                <c:pt idx="749">
                  <c:v>154.85</c:v>
                </c:pt>
                <c:pt idx="750">
                  <c:v>150.6</c:v>
                </c:pt>
                <c:pt idx="751">
                  <c:v>154.65</c:v>
                </c:pt>
                <c:pt idx="752">
                  <c:v>155.05000000000001</c:v>
                </c:pt>
                <c:pt idx="753">
                  <c:v>160.19999999999999</c:v>
                </c:pt>
                <c:pt idx="754">
                  <c:v>160.80000000000001</c:v>
                </c:pt>
                <c:pt idx="755">
                  <c:v>160.80000000000001</c:v>
                </c:pt>
                <c:pt idx="756">
                  <c:v>159.85</c:v>
                </c:pt>
                <c:pt idx="757">
                  <c:v>158.30000000000001</c:v>
                </c:pt>
                <c:pt idx="758">
                  <c:v>158.19999999999999</c:v>
                </c:pt>
                <c:pt idx="759">
                  <c:v>152.94999999999999</c:v>
                </c:pt>
                <c:pt idx="760">
                  <c:v>152.4</c:v>
                </c:pt>
                <c:pt idx="761">
                  <c:v>150.80000000000001</c:v>
                </c:pt>
                <c:pt idx="762">
                  <c:v>146.35</c:v>
                </c:pt>
                <c:pt idx="763">
                  <c:v>146.44999999999999</c:v>
                </c:pt>
                <c:pt idx="764">
                  <c:v>143.5</c:v>
                </c:pt>
                <c:pt idx="765">
                  <c:v>147.9</c:v>
                </c:pt>
                <c:pt idx="766">
                  <c:v>151.35</c:v>
                </c:pt>
                <c:pt idx="767">
                  <c:v>146.9</c:v>
                </c:pt>
                <c:pt idx="768">
                  <c:v>145.44999999999999</c:v>
                </c:pt>
                <c:pt idx="769">
                  <c:v>135.55000000000001</c:v>
                </c:pt>
                <c:pt idx="770">
                  <c:v>144.9</c:v>
                </c:pt>
                <c:pt idx="771">
                  <c:v>154.5</c:v>
                </c:pt>
                <c:pt idx="772">
                  <c:v>156.35</c:v>
                </c:pt>
                <c:pt idx="773">
                  <c:v>157.55000000000001</c:v>
                </c:pt>
                <c:pt idx="774">
                  <c:v>162.25</c:v>
                </c:pt>
                <c:pt idx="775">
                  <c:v>162.75</c:v>
                </c:pt>
                <c:pt idx="776">
                  <c:v>152.4</c:v>
                </c:pt>
                <c:pt idx="777">
                  <c:v>153</c:v>
                </c:pt>
                <c:pt idx="778">
                  <c:v>145</c:v>
                </c:pt>
                <c:pt idx="779">
                  <c:v>144.44999999999999</c:v>
                </c:pt>
                <c:pt idx="780">
                  <c:v>139.1</c:v>
                </c:pt>
                <c:pt idx="781">
                  <c:v>133.44999999999999</c:v>
                </c:pt>
                <c:pt idx="782">
                  <c:v>136.94999999999999</c:v>
                </c:pt>
                <c:pt idx="783">
                  <c:v>138.05000000000001</c:v>
                </c:pt>
                <c:pt idx="784">
                  <c:v>136.75</c:v>
                </c:pt>
                <c:pt idx="785">
                  <c:v>139</c:v>
                </c:pt>
                <c:pt idx="786">
                  <c:v>133.5</c:v>
                </c:pt>
                <c:pt idx="787">
                  <c:v>130.65</c:v>
                </c:pt>
                <c:pt idx="788">
                  <c:v>140.30000000000001</c:v>
                </c:pt>
                <c:pt idx="789">
                  <c:v>136.19999999999999</c:v>
                </c:pt>
                <c:pt idx="790">
                  <c:v>149.4</c:v>
                </c:pt>
                <c:pt idx="791">
                  <c:v>150.15</c:v>
                </c:pt>
                <c:pt idx="792">
                  <c:v>153.75</c:v>
                </c:pt>
                <c:pt idx="793">
                  <c:v>146.75</c:v>
                </c:pt>
                <c:pt idx="794">
                  <c:v>149.94999999999999</c:v>
                </c:pt>
                <c:pt idx="795">
                  <c:v>149.4</c:v>
                </c:pt>
                <c:pt idx="796">
                  <c:v>146.6</c:v>
                </c:pt>
                <c:pt idx="797">
                  <c:v>145.94999999999999</c:v>
                </c:pt>
                <c:pt idx="798">
                  <c:v>141.75</c:v>
                </c:pt>
                <c:pt idx="799">
                  <c:v>147.9</c:v>
                </c:pt>
                <c:pt idx="800">
                  <c:v>138.75</c:v>
                </c:pt>
                <c:pt idx="801">
                  <c:v>138.1</c:v>
                </c:pt>
                <c:pt idx="802">
                  <c:v>137.85</c:v>
                </c:pt>
                <c:pt idx="803">
                  <c:v>133.69999999999999</c:v>
                </c:pt>
                <c:pt idx="804">
                  <c:v>137.4</c:v>
                </c:pt>
                <c:pt idx="805">
                  <c:v>133.65</c:v>
                </c:pt>
                <c:pt idx="806">
                  <c:v>130.19999999999999</c:v>
                </c:pt>
                <c:pt idx="807">
                  <c:v>127.3</c:v>
                </c:pt>
                <c:pt idx="808">
                  <c:v>124</c:v>
                </c:pt>
                <c:pt idx="809">
                  <c:v>126.75</c:v>
                </c:pt>
                <c:pt idx="810">
                  <c:v>127.95</c:v>
                </c:pt>
                <c:pt idx="811">
                  <c:v>131.6</c:v>
                </c:pt>
                <c:pt idx="812">
                  <c:v>128.6</c:v>
                </c:pt>
                <c:pt idx="813">
                  <c:v>125.45</c:v>
                </c:pt>
                <c:pt idx="814">
                  <c:v>127.3</c:v>
                </c:pt>
                <c:pt idx="815">
                  <c:v>128.25</c:v>
                </c:pt>
                <c:pt idx="816">
                  <c:v>125.35</c:v>
                </c:pt>
                <c:pt idx="817">
                  <c:v>122.9</c:v>
                </c:pt>
                <c:pt idx="818">
                  <c:v>119.5</c:v>
                </c:pt>
                <c:pt idx="819">
                  <c:v>119</c:v>
                </c:pt>
                <c:pt idx="820">
                  <c:v>117.25</c:v>
                </c:pt>
                <c:pt idx="821">
                  <c:v>118.05</c:v>
                </c:pt>
                <c:pt idx="822">
                  <c:v>117.7</c:v>
                </c:pt>
                <c:pt idx="823">
                  <c:v>125.05</c:v>
                </c:pt>
                <c:pt idx="824">
                  <c:v>123.75</c:v>
                </c:pt>
                <c:pt idx="825">
                  <c:v>122.6</c:v>
                </c:pt>
                <c:pt idx="826">
                  <c:v>123.8</c:v>
                </c:pt>
                <c:pt idx="827">
                  <c:v>123.2</c:v>
                </c:pt>
                <c:pt idx="828">
                  <c:v>118.25</c:v>
                </c:pt>
                <c:pt idx="829">
                  <c:v>114.7</c:v>
                </c:pt>
                <c:pt idx="830">
                  <c:v>109.7</c:v>
                </c:pt>
                <c:pt idx="831">
                  <c:v>108.25</c:v>
                </c:pt>
                <c:pt idx="832">
                  <c:v>110.2</c:v>
                </c:pt>
                <c:pt idx="833">
                  <c:v>102.6</c:v>
                </c:pt>
                <c:pt idx="834">
                  <c:v>106.7</c:v>
                </c:pt>
                <c:pt idx="835">
                  <c:v>107</c:v>
                </c:pt>
                <c:pt idx="836">
                  <c:v>108.55</c:v>
                </c:pt>
                <c:pt idx="837">
                  <c:v>100.4</c:v>
                </c:pt>
                <c:pt idx="838">
                  <c:v>98.5</c:v>
                </c:pt>
                <c:pt idx="839">
                  <c:v>98.35</c:v>
                </c:pt>
                <c:pt idx="840">
                  <c:v>101.4</c:v>
                </c:pt>
                <c:pt idx="841">
                  <c:v>100.1</c:v>
                </c:pt>
                <c:pt idx="842">
                  <c:v>99.95</c:v>
                </c:pt>
                <c:pt idx="843">
                  <c:v>96.65</c:v>
                </c:pt>
                <c:pt idx="844">
                  <c:v>100.1</c:v>
                </c:pt>
                <c:pt idx="845">
                  <c:v>103.45</c:v>
                </c:pt>
                <c:pt idx="846">
                  <c:v>99.45</c:v>
                </c:pt>
                <c:pt idx="847">
                  <c:v>94.7</c:v>
                </c:pt>
                <c:pt idx="848">
                  <c:v>91.3</c:v>
                </c:pt>
                <c:pt idx="849">
                  <c:v>87.2</c:v>
                </c:pt>
                <c:pt idx="850">
                  <c:v>89.95</c:v>
                </c:pt>
                <c:pt idx="851">
                  <c:v>90.4</c:v>
                </c:pt>
                <c:pt idx="852">
                  <c:v>89.15</c:v>
                </c:pt>
                <c:pt idx="853">
                  <c:v>89.75</c:v>
                </c:pt>
                <c:pt idx="854">
                  <c:v>94.2</c:v>
                </c:pt>
                <c:pt idx="855">
                  <c:v>89.5</c:v>
                </c:pt>
                <c:pt idx="856">
                  <c:v>92.45</c:v>
                </c:pt>
                <c:pt idx="857">
                  <c:v>93.85</c:v>
                </c:pt>
                <c:pt idx="858">
                  <c:v>92.75</c:v>
                </c:pt>
                <c:pt idx="859">
                  <c:v>99.7</c:v>
                </c:pt>
                <c:pt idx="860">
                  <c:v>96.45</c:v>
                </c:pt>
                <c:pt idx="861">
                  <c:v>103.3</c:v>
                </c:pt>
                <c:pt idx="862">
                  <c:v>106.75</c:v>
                </c:pt>
                <c:pt idx="863">
                  <c:v>113.15</c:v>
                </c:pt>
                <c:pt idx="864">
                  <c:v>119.65</c:v>
                </c:pt>
                <c:pt idx="865">
                  <c:v>122.75</c:v>
                </c:pt>
                <c:pt idx="866">
                  <c:v>119.75</c:v>
                </c:pt>
                <c:pt idx="867">
                  <c:v>120.35</c:v>
                </c:pt>
                <c:pt idx="868">
                  <c:v>117.5</c:v>
                </c:pt>
                <c:pt idx="869">
                  <c:v>124.45</c:v>
                </c:pt>
                <c:pt idx="870">
                  <c:v>123.5</c:v>
                </c:pt>
                <c:pt idx="871">
                  <c:v>124.15</c:v>
                </c:pt>
                <c:pt idx="872">
                  <c:v>125.45</c:v>
                </c:pt>
                <c:pt idx="873">
                  <c:v>126</c:v>
                </c:pt>
                <c:pt idx="874">
                  <c:v>123.6</c:v>
                </c:pt>
                <c:pt idx="875">
                  <c:v>128.5</c:v>
                </c:pt>
                <c:pt idx="876">
                  <c:v>136.94999999999999</c:v>
                </c:pt>
                <c:pt idx="877">
                  <c:v>125.05</c:v>
                </c:pt>
                <c:pt idx="878">
                  <c:v>117.8</c:v>
                </c:pt>
                <c:pt idx="879">
                  <c:v>117.8</c:v>
                </c:pt>
                <c:pt idx="880">
                  <c:v>117.8</c:v>
                </c:pt>
                <c:pt idx="881">
                  <c:v>117.8</c:v>
                </c:pt>
                <c:pt idx="882">
                  <c:v>117</c:v>
                </c:pt>
                <c:pt idx="883">
                  <c:v>118.25</c:v>
                </c:pt>
                <c:pt idx="884">
                  <c:v>114.8</c:v>
                </c:pt>
                <c:pt idx="885">
                  <c:v>112.35</c:v>
                </c:pt>
                <c:pt idx="886">
                  <c:v>118.65</c:v>
                </c:pt>
                <c:pt idx="887">
                  <c:v>110.15</c:v>
                </c:pt>
                <c:pt idx="888">
                  <c:v>108.9</c:v>
                </c:pt>
                <c:pt idx="889">
                  <c:v>107.55</c:v>
                </c:pt>
                <c:pt idx="890">
                  <c:v>94</c:v>
                </c:pt>
                <c:pt idx="891">
                  <c:v>94</c:v>
                </c:pt>
                <c:pt idx="892">
                  <c:v>100.8</c:v>
                </c:pt>
                <c:pt idx="893">
                  <c:v>106.5</c:v>
                </c:pt>
                <c:pt idx="894">
                  <c:v>113.4</c:v>
                </c:pt>
                <c:pt idx="895">
                  <c:v>120.35</c:v>
                </c:pt>
                <c:pt idx="896">
                  <c:v>122.6</c:v>
                </c:pt>
                <c:pt idx="897">
                  <c:v>128.75</c:v>
                </c:pt>
                <c:pt idx="898">
                  <c:v>130.5</c:v>
                </c:pt>
                <c:pt idx="899">
                  <c:v>133.05000000000001</c:v>
                </c:pt>
                <c:pt idx="900">
                  <c:v>137.85</c:v>
                </c:pt>
                <c:pt idx="901">
                  <c:v>131.5</c:v>
                </c:pt>
                <c:pt idx="902">
                  <c:v>145.05000000000001</c:v>
                </c:pt>
                <c:pt idx="903">
                  <c:v>139.69999999999999</c:v>
                </c:pt>
                <c:pt idx="904">
                  <c:v>143.55000000000001</c:v>
                </c:pt>
                <c:pt idx="905">
                  <c:v>152.6</c:v>
                </c:pt>
                <c:pt idx="906">
                  <c:v>157.75</c:v>
                </c:pt>
                <c:pt idx="907">
                  <c:v>159.05000000000001</c:v>
                </c:pt>
                <c:pt idx="908">
                  <c:v>153.35</c:v>
                </c:pt>
                <c:pt idx="909">
                  <c:v>149.44999999999999</c:v>
                </c:pt>
                <c:pt idx="910">
                  <c:v>148.6</c:v>
                </c:pt>
                <c:pt idx="911">
                  <c:v>136.5</c:v>
                </c:pt>
                <c:pt idx="912">
                  <c:v>139.1</c:v>
                </c:pt>
                <c:pt idx="913">
                  <c:v>130.19999999999999</c:v>
                </c:pt>
                <c:pt idx="914">
                  <c:v>153.05000000000001</c:v>
                </c:pt>
                <c:pt idx="915">
                  <c:v>159.5</c:v>
                </c:pt>
                <c:pt idx="916">
                  <c:v>162.5</c:v>
                </c:pt>
                <c:pt idx="917">
                  <c:v>160.85</c:v>
                </c:pt>
                <c:pt idx="918">
                  <c:v>161.44999999999999</c:v>
                </c:pt>
                <c:pt idx="919">
                  <c:v>166.2</c:v>
                </c:pt>
                <c:pt idx="920">
                  <c:v>162.19999999999999</c:v>
                </c:pt>
                <c:pt idx="921">
                  <c:v>171.2</c:v>
                </c:pt>
                <c:pt idx="922">
                  <c:v>170.05</c:v>
                </c:pt>
                <c:pt idx="923">
                  <c:v>183.15</c:v>
                </c:pt>
                <c:pt idx="924">
                  <c:v>184.15</c:v>
                </c:pt>
                <c:pt idx="925">
                  <c:v>183.4</c:v>
                </c:pt>
                <c:pt idx="926">
                  <c:v>180.5</c:v>
                </c:pt>
                <c:pt idx="927">
                  <c:v>195</c:v>
                </c:pt>
                <c:pt idx="928">
                  <c:v>201.25</c:v>
                </c:pt>
                <c:pt idx="929">
                  <c:v>200.45</c:v>
                </c:pt>
                <c:pt idx="930">
                  <c:v>202.95</c:v>
                </c:pt>
                <c:pt idx="931">
                  <c:v>201.9</c:v>
                </c:pt>
                <c:pt idx="932">
                  <c:v>201.5</c:v>
                </c:pt>
                <c:pt idx="933">
                  <c:v>213.6</c:v>
                </c:pt>
                <c:pt idx="934">
                  <c:v>220.05</c:v>
                </c:pt>
                <c:pt idx="935">
                  <c:v>221.1</c:v>
                </c:pt>
                <c:pt idx="936">
                  <c:v>222.3</c:v>
                </c:pt>
                <c:pt idx="937">
                  <c:v>217.85</c:v>
                </c:pt>
                <c:pt idx="938">
                  <c:v>217.85</c:v>
                </c:pt>
                <c:pt idx="939">
                  <c:v>218.45</c:v>
                </c:pt>
                <c:pt idx="940">
                  <c:v>216.5</c:v>
                </c:pt>
                <c:pt idx="941">
                  <c:v>218.2</c:v>
                </c:pt>
                <c:pt idx="942">
                  <c:v>222.85</c:v>
                </c:pt>
                <c:pt idx="943">
                  <c:v>222</c:v>
                </c:pt>
                <c:pt idx="944">
                  <c:v>221.4</c:v>
                </c:pt>
                <c:pt idx="945">
                  <c:v>217.3</c:v>
                </c:pt>
                <c:pt idx="946">
                  <c:v>218.8</c:v>
                </c:pt>
                <c:pt idx="947">
                  <c:v>218.4</c:v>
                </c:pt>
                <c:pt idx="948">
                  <c:v>214.1</c:v>
                </c:pt>
                <c:pt idx="949">
                  <c:v>220.05</c:v>
                </c:pt>
                <c:pt idx="950">
                  <c:v>218.7</c:v>
                </c:pt>
                <c:pt idx="951">
                  <c:v>214.9</c:v>
                </c:pt>
                <c:pt idx="952">
                  <c:v>216.6</c:v>
                </c:pt>
                <c:pt idx="953">
                  <c:v>212.7</c:v>
                </c:pt>
                <c:pt idx="954">
                  <c:v>206.55</c:v>
                </c:pt>
                <c:pt idx="955">
                  <c:v>217.3</c:v>
                </c:pt>
                <c:pt idx="956">
                  <c:v>220.8</c:v>
                </c:pt>
                <c:pt idx="957">
                  <c:v>213.65</c:v>
                </c:pt>
                <c:pt idx="958">
                  <c:v>222.35</c:v>
                </c:pt>
                <c:pt idx="959">
                  <c:v>222.3</c:v>
                </c:pt>
                <c:pt idx="960">
                  <c:v>219.95</c:v>
                </c:pt>
                <c:pt idx="961">
                  <c:v>217</c:v>
                </c:pt>
                <c:pt idx="962">
                  <c:v>213.5</c:v>
                </c:pt>
                <c:pt idx="963">
                  <c:v>210.4</c:v>
                </c:pt>
                <c:pt idx="964">
                  <c:v>202.85</c:v>
                </c:pt>
                <c:pt idx="965">
                  <c:v>208.35</c:v>
                </c:pt>
                <c:pt idx="966">
                  <c:v>211.2</c:v>
                </c:pt>
                <c:pt idx="967">
                  <c:v>209.45</c:v>
                </c:pt>
                <c:pt idx="968">
                  <c:v>209.1</c:v>
                </c:pt>
                <c:pt idx="969">
                  <c:v>198.75</c:v>
                </c:pt>
                <c:pt idx="970">
                  <c:v>189.55</c:v>
                </c:pt>
                <c:pt idx="971">
                  <c:v>187.65</c:v>
                </c:pt>
                <c:pt idx="972">
                  <c:v>191.65</c:v>
                </c:pt>
                <c:pt idx="973">
                  <c:v>188.25</c:v>
                </c:pt>
                <c:pt idx="974">
                  <c:v>200.1</c:v>
                </c:pt>
                <c:pt idx="975">
                  <c:v>210.85</c:v>
                </c:pt>
                <c:pt idx="976">
                  <c:v>215.45</c:v>
                </c:pt>
                <c:pt idx="977">
                  <c:v>223.75</c:v>
                </c:pt>
                <c:pt idx="978">
                  <c:v>217</c:v>
                </c:pt>
                <c:pt idx="979">
                  <c:v>209.35</c:v>
                </c:pt>
                <c:pt idx="980">
                  <c:v>233.1</c:v>
                </c:pt>
                <c:pt idx="981">
                  <c:v>228.9</c:v>
                </c:pt>
                <c:pt idx="982">
                  <c:v>229.55</c:v>
                </c:pt>
                <c:pt idx="983">
                  <c:v>212.75</c:v>
                </c:pt>
                <c:pt idx="984">
                  <c:v>202.65</c:v>
                </c:pt>
                <c:pt idx="985">
                  <c:v>192.7</c:v>
                </c:pt>
                <c:pt idx="986">
                  <c:v>189.65</c:v>
                </c:pt>
                <c:pt idx="987">
                  <c:v>186.45</c:v>
                </c:pt>
                <c:pt idx="988">
                  <c:v>186.45</c:v>
                </c:pt>
                <c:pt idx="989">
                  <c:v>190.45</c:v>
                </c:pt>
                <c:pt idx="990">
                  <c:v>190.45</c:v>
                </c:pt>
                <c:pt idx="991">
                  <c:v>193.85</c:v>
                </c:pt>
                <c:pt idx="992">
                  <c:v>191.45</c:v>
                </c:pt>
                <c:pt idx="993">
                  <c:v>185.1</c:v>
                </c:pt>
                <c:pt idx="994">
                  <c:v>183.6</c:v>
                </c:pt>
                <c:pt idx="995">
                  <c:v>185.75</c:v>
                </c:pt>
                <c:pt idx="996">
                  <c:v>187.75</c:v>
                </c:pt>
                <c:pt idx="997">
                  <c:v>181.2</c:v>
                </c:pt>
                <c:pt idx="998">
                  <c:v>177.85</c:v>
                </c:pt>
                <c:pt idx="999">
                  <c:v>177.3</c:v>
                </c:pt>
                <c:pt idx="1000">
                  <c:v>172.65</c:v>
                </c:pt>
                <c:pt idx="1001">
                  <c:v>172.35</c:v>
                </c:pt>
                <c:pt idx="1002">
                  <c:v>173</c:v>
                </c:pt>
                <c:pt idx="1003">
                  <c:v>172.35</c:v>
                </c:pt>
                <c:pt idx="1004">
                  <c:v>172.15</c:v>
                </c:pt>
                <c:pt idx="1005">
                  <c:v>172.9</c:v>
                </c:pt>
                <c:pt idx="1006">
                  <c:v>170.85</c:v>
                </c:pt>
                <c:pt idx="1007">
                  <c:v>167.7</c:v>
                </c:pt>
                <c:pt idx="1008">
                  <c:v>167</c:v>
                </c:pt>
                <c:pt idx="1009">
                  <c:v>164.75</c:v>
                </c:pt>
                <c:pt idx="1010">
                  <c:v>166.55</c:v>
                </c:pt>
                <c:pt idx="1011">
                  <c:v>167.7</c:v>
                </c:pt>
                <c:pt idx="1012">
                  <c:v>161.44999999999999</c:v>
                </c:pt>
                <c:pt idx="1013">
                  <c:v>160.19999999999999</c:v>
                </c:pt>
                <c:pt idx="1014">
                  <c:v>159.55000000000001</c:v>
                </c:pt>
                <c:pt idx="1015">
                  <c:v>160.5</c:v>
                </c:pt>
                <c:pt idx="1016">
                  <c:v>156.35</c:v>
                </c:pt>
                <c:pt idx="1017">
                  <c:v>160.19999999999999</c:v>
                </c:pt>
                <c:pt idx="1018">
                  <c:v>166</c:v>
                </c:pt>
                <c:pt idx="1019">
                  <c:v>165.85</c:v>
                </c:pt>
                <c:pt idx="1020">
                  <c:v>166.3</c:v>
                </c:pt>
                <c:pt idx="1021">
                  <c:v>163.65</c:v>
                </c:pt>
                <c:pt idx="1022">
                  <c:v>165.7</c:v>
                </c:pt>
                <c:pt idx="1023">
                  <c:v>171.05</c:v>
                </c:pt>
                <c:pt idx="1024">
                  <c:v>164.7</c:v>
                </c:pt>
                <c:pt idx="1025">
                  <c:v>163.6</c:v>
                </c:pt>
                <c:pt idx="1026">
                  <c:v>174.15</c:v>
                </c:pt>
                <c:pt idx="1027">
                  <c:v>174.65</c:v>
                </c:pt>
                <c:pt idx="1028">
                  <c:v>178.45</c:v>
                </c:pt>
                <c:pt idx="1029">
                  <c:v>177.45</c:v>
                </c:pt>
                <c:pt idx="1030">
                  <c:v>175.55</c:v>
                </c:pt>
                <c:pt idx="1031">
                  <c:v>174.35</c:v>
                </c:pt>
                <c:pt idx="1032">
                  <c:v>176.65</c:v>
                </c:pt>
                <c:pt idx="1033">
                  <c:v>174.3</c:v>
                </c:pt>
                <c:pt idx="1034">
                  <c:v>172.5</c:v>
                </c:pt>
                <c:pt idx="1035">
                  <c:v>172.75</c:v>
                </c:pt>
                <c:pt idx="1036">
                  <c:v>175.6</c:v>
                </c:pt>
                <c:pt idx="1037">
                  <c:v>172.2</c:v>
                </c:pt>
                <c:pt idx="1038">
                  <c:v>174.45</c:v>
                </c:pt>
                <c:pt idx="1039">
                  <c:v>168.95</c:v>
                </c:pt>
                <c:pt idx="1040">
                  <c:v>165.95</c:v>
                </c:pt>
                <c:pt idx="1041">
                  <c:v>165.95</c:v>
                </c:pt>
                <c:pt idx="1042">
                  <c:v>165.95</c:v>
                </c:pt>
                <c:pt idx="1043">
                  <c:v>165.95</c:v>
                </c:pt>
                <c:pt idx="1044">
                  <c:v>163.44999999999999</c:v>
                </c:pt>
                <c:pt idx="1045">
                  <c:v>159.80000000000001</c:v>
                </c:pt>
                <c:pt idx="1046">
                  <c:v>155.9</c:v>
                </c:pt>
                <c:pt idx="1047">
                  <c:v>158.05000000000001</c:v>
                </c:pt>
                <c:pt idx="1048">
                  <c:v>152.05000000000001</c:v>
                </c:pt>
                <c:pt idx="1049">
                  <c:v>150.1</c:v>
                </c:pt>
                <c:pt idx="1050">
                  <c:v>156.05000000000001</c:v>
                </c:pt>
                <c:pt idx="1051">
                  <c:v>158.05000000000001</c:v>
                </c:pt>
                <c:pt idx="1052">
                  <c:v>156.19999999999999</c:v>
                </c:pt>
                <c:pt idx="1053">
                  <c:v>165.55</c:v>
                </c:pt>
                <c:pt idx="1054">
                  <c:v>164.65</c:v>
                </c:pt>
                <c:pt idx="1055">
                  <c:v>168.5</c:v>
                </c:pt>
                <c:pt idx="1056">
                  <c:v>168.6</c:v>
                </c:pt>
                <c:pt idx="1057">
                  <c:v>170.55</c:v>
                </c:pt>
                <c:pt idx="1058">
                  <c:v>168.9</c:v>
                </c:pt>
                <c:pt idx="1059">
                  <c:v>170.25</c:v>
                </c:pt>
                <c:pt idx="1060">
                  <c:v>173.6</c:v>
                </c:pt>
                <c:pt idx="1061">
                  <c:v>172.8</c:v>
                </c:pt>
                <c:pt idx="1062">
                  <c:v>171.45</c:v>
                </c:pt>
                <c:pt idx="1063">
                  <c:v>169</c:v>
                </c:pt>
                <c:pt idx="1064">
                  <c:v>171.35</c:v>
                </c:pt>
                <c:pt idx="1065">
                  <c:v>171.1</c:v>
                </c:pt>
                <c:pt idx="1066">
                  <c:v>171.75</c:v>
                </c:pt>
                <c:pt idx="1067">
                  <c:v>170.6</c:v>
                </c:pt>
                <c:pt idx="1068">
                  <c:v>167.95</c:v>
                </c:pt>
                <c:pt idx="1069">
                  <c:v>167.15</c:v>
                </c:pt>
                <c:pt idx="1070">
                  <c:v>164.5</c:v>
                </c:pt>
                <c:pt idx="1071">
                  <c:v>159.19999999999999</c:v>
                </c:pt>
                <c:pt idx="1072">
                  <c:v>158.9</c:v>
                </c:pt>
                <c:pt idx="1073">
                  <c:v>162.5</c:v>
                </c:pt>
                <c:pt idx="1074">
                  <c:v>164.25</c:v>
                </c:pt>
                <c:pt idx="1075">
                  <c:v>166.5</c:v>
                </c:pt>
                <c:pt idx="1076">
                  <c:v>163.05000000000001</c:v>
                </c:pt>
                <c:pt idx="1077">
                  <c:v>167</c:v>
                </c:pt>
                <c:pt idx="1078">
                  <c:v>176.9</c:v>
                </c:pt>
                <c:pt idx="1079">
                  <c:v>164.15</c:v>
                </c:pt>
                <c:pt idx="1080">
                  <c:v>158.69999999999999</c:v>
                </c:pt>
                <c:pt idx="1081">
                  <c:v>157.05000000000001</c:v>
                </c:pt>
                <c:pt idx="1082">
                  <c:v>155.75</c:v>
                </c:pt>
                <c:pt idx="1083">
                  <c:v>154.5</c:v>
                </c:pt>
                <c:pt idx="1084">
                  <c:v>160.69999999999999</c:v>
                </c:pt>
                <c:pt idx="1085">
                  <c:v>158.25</c:v>
                </c:pt>
                <c:pt idx="1086">
                  <c:v>150.75</c:v>
                </c:pt>
                <c:pt idx="1087">
                  <c:v>149.94999999999999</c:v>
                </c:pt>
                <c:pt idx="1088">
                  <c:v>147.55000000000001</c:v>
                </c:pt>
                <c:pt idx="1089">
                  <c:v>145.30000000000001</c:v>
                </c:pt>
                <c:pt idx="1090">
                  <c:v>137.80000000000001</c:v>
                </c:pt>
                <c:pt idx="1091">
                  <c:v>136.75</c:v>
                </c:pt>
                <c:pt idx="1092">
                  <c:v>133.05000000000001</c:v>
                </c:pt>
                <c:pt idx="1093">
                  <c:v>132.30000000000001</c:v>
                </c:pt>
                <c:pt idx="1094">
                  <c:v>130.94999999999999</c:v>
                </c:pt>
                <c:pt idx="1095">
                  <c:v>129.94999999999999</c:v>
                </c:pt>
                <c:pt idx="1096">
                  <c:v>128.15</c:v>
                </c:pt>
                <c:pt idx="1097">
                  <c:v>127.75</c:v>
                </c:pt>
                <c:pt idx="1098">
                  <c:v>126.8</c:v>
                </c:pt>
                <c:pt idx="1099">
                  <c:v>129.5</c:v>
                </c:pt>
                <c:pt idx="1100">
                  <c:v>128.30000000000001</c:v>
                </c:pt>
                <c:pt idx="1101">
                  <c:v>127.25</c:v>
                </c:pt>
                <c:pt idx="1102">
                  <c:v>126.15</c:v>
                </c:pt>
                <c:pt idx="1103">
                  <c:v>124</c:v>
                </c:pt>
                <c:pt idx="1104">
                  <c:v>122.65</c:v>
                </c:pt>
                <c:pt idx="1105">
                  <c:v>123.4</c:v>
                </c:pt>
                <c:pt idx="1106">
                  <c:v>124.9</c:v>
                </c:pt>
                <c:pt idx="1107">
                  <c:v>123.3</c:v>
                </c:pt>
                <c:pt idx="1108">
                  <c:v>121.8</c:v>
                </c:pt>
                <c:pt idx="1109">
                  <c:v>118.1</c:v>
                </c:pt>
                <c:pt idx="1110">
                  <c:v>117.45</c:v>
                </c:pt>
                <c:pt idx="1111">
                  <c:v>117.65</c:v>
                </c:pt>
                <c:pt idx="1112">
                  <c:v>117.7</c:v>
                </c:pt>
                <c:pt idx="1113">
                  <c:v>119.05</c:v>
                </c:pt>
                <c:pt idx="1114">
                  <c:v>117.95</c:v>
                </c:pt>
                <c:pt idx="1115">
                  <c:v>116.25</c:v>
                </c:pt>
                <c:pt idx="1116">
                  <c:v>116.95</c:v>
                </c:pt>
                <c:pt idx="1117">
                  <c:v>115.7</c:v>
                </c:pt>
                <c:pt idx="1118">
                  <c:v>115</c:v>
                </c:pt>
                <c:pt idx="1119">
                  <c:v>115.55</c:v>
                </c:pt>
                <c:pt idx="1120">
                  <c:v>119.75</c:v>
                </c:pt>
                <c:pt idx="1121">
                  <c:v>120.4</c:v>
                </c:pt>
                <c:pt idx="1122">
                  <c:v>119.5</c:v>
                </c:pt>
                <c:pt idx="1123">
                  <c:v>119.4</c:v>
                </c:pt>
                <c:pt idx="1124">
                  <c:v>119.05</c:v>
                </c:pt>
                <c:pt idx="1125">
                  <c:v>118.9</c:v>
                </c:pt>
                <c:pt idx="1126">
                  <c:v>119.75</c:v>
                </c:pt>
                <c:pt idx="1127">
                  <c:v>121.35</c:v>
                </c:pt>
                <c:pt idx="1128">
                  <c:v>123.85</c:v>
                </c:pt>
                <c:pt idx="1129">
                  <c:v>125.85</c:v>
                </c:pt>
                <c:pt idx="1130">
                  <c:v>123.15</c:v>
                </c:pt>
                <c:pt idx="1131">
                  <c:v>123.15</c:v>
                </c:pt>
                <c:pt idx="1132">
                  <c:v>123.15</c:v>
                </c:pt>
                <c:pt idx="1133">
                  <c:v>123.15</c:v>
                </c:pt>
                <c:pt idx="1134">
                  <c:v>123.15</c:v>
                </c:pt>
                <c:pt idx="1135">
                  <c:v>123.15</c:v>
                </c:pt>
                <c:pt idx="1136">
                  <c:v>123.15</c:v>
                </c:pt>
                <c:pt idx="1137">
                  <c:v>118.95</c:v>
                </c:pt>
                <c:pt idx="1138">
                  <c:v>117.05</c:v>
                </c:pt>
                <c:pt idx="1139">
                  <c:v>116.05</c:v>
                </c:pt>
                <c:pt idx="1140">
                  <c:v>115.9</c:v>
                </c:pt>
                <c:pt idx="1141">
                  <c:v>114.4</c:v>
                </c:pt>
                <c:pt idx="1142">
                  <c:v>117</c:v>
                </c:pt>
                <c:pt idx="1143">
                  <c:v>120</c:v>
                </c:pt>
                <c:pt idx="1144">
                  <c:v>125.2</c:v>
                </c:pt>
                <c:pt idx="1145">
                  <c:v>122.05</c:v>
                </c:pt>
                <c:pt idx="1146">
                  <c:v>124.3</c:v>
                </c:pt>
                <c:pt idx="1147">
                  <c:v>128.55000000000001</c:v>
                </c:pt>
                <c:pt idx="1148">
                  <c:v>130.5</c:v>
                </c:pt>
                <c:pt idx="1149">
                  <c:v>129.05000000000001</c:v>
                </c:pt>
                <c:pt idx="1150">
                  <c:v>126.3</c:v>
                </c:pt>
                <c:pt idx="1151">
                  <c:v>127.2</c:v>
                </c:pt>
                <c:pt idx="1152">
                  <c:v>129</c:v>
                </c:pt>
                <c:pt idx="1153">
                  <c:v>129.9</c:v>
                </c:pt>
                <c:pt idx="1154">
                  <c:v>128.69999999999999</c:v>
                </c:pt>
                <c:pt idx="1155">
                  <c:v>130.80000000000001</c:v>
                </c:pt>
                <c:pt idx="1156">
                  <c:v>128.05000000000001</c:v>
                </c:pt>
                <c:pt idx="1157">
                  <c:v>125.45</c:v>
                </c:pt>
                <c:pt idx="1158">
                  <c:v>124.35</c:v>
                </c:pt>
                <c:pt idx="1159">
                  <c:v>123.25</c:v>
                </c:pt>
                <c:pt idx="1160">
                  <c:v>121.2</c:v>
                </c:pt>
                <c:pt idx="1161">
                  <c:v>123.25</c:v>
                </c:pt>
                <c:pt idx="1162">
                  <c:v>121.5</c:v>
                </c:pt>
                <c:pt idx="1163">
                  <c:v>124.45</c:v>
                </c:pt>
                <c:pt idx="1164">
                  <c:v>126.65</c:v>
                </c:pt>
                <c:pt idx="1165">
                  <c:v>128.4</c:v>
                </c:pt>
                <c:pt idx="1166">
                  <c:v>128.80000000000001</c:v>
                </c:pt>
                <c:pt idx="1167">
                  <c:v>127.6</c:v>
                </c:pt>
                <c:pt idx="1168">
                  <c:v>121.9</c:v>
                </c:pt>
                <c:pt idx="1169">
                  <c:v>121.75</c:v>
                </c:pt>
                <c:pt idx="1170">
                  <c:v>120.75</c:v>
                </c:pt>
                <c:pt idx="1171">
                  <c:v>122.2</c:v>
                </c:pt>
                <c:pt idx="1172">
                  <c:v>121.45</c:v>
                </c:pt>
                <c:pt idx="1173">
                  <c:v>118.85</c:v>
                </c:pt>
                <c:pt idx="1174">
                  <c:v>121.4</c:v>
                </c:pt>
                <c:pt idx="1175">
                  <c:v>118.45</c:v>
                </c:pt>
                <c:pt idx="1176">
                  <c:v>118</c:v>
                </c:pt>
                <c:pt idx="1177">
                  <c:v>116.35</c:v>
                </c:pt>
                <c:pt idx="1178">
                  <c:v>111.45</c:v>
                </c:pt>
                <c:pt idx="1179">
                  <c:v>110.9</c:v>
                </c:pt>
                <c:pt idx="1180">
                  <c:v>108.05</c:v>
                </c:pt>
                <c:pt idx="1181">
                  <c:v>107.8</c:v>
                </c:pt>
                <c:pt idx="1182">
                  <c:v>109.55</c:v>
                </c:pt>
                <c:pt idx="1183">
                  <c:v>111.2</c:v>
                </c:pt>
                <c:pt idx="1184">
                  <c:v>110.4</c:v>
                </c:pt>
                <c:pt idx="1185">
                  <c:v>111.15</c:v>
                </c:pt>
                <c:pt idx="1186">
                  <c:v>109.5</c:v>
                </c:pt>
                <c:pt idx="1187">
                  <c:v>110.45</c:v>
                </c:pt>
                <c:pt idx="1188">
                  <c:v>110.35</c:v>
                </c:pt>
                <c:pt idx="1189">
                  <c:v>112.7</c:v>
                </c:pt>
                <c:pt idx="1190">
                  <c:v>112.4</c:v>
                </c:pt>
                <c:pt idx="1191">
                  <c:v>111.85</c:v>
                </c:pt>
                <c:pt idx="1192">
                  <c:v>107.05</c:v>
                </c:pt>
                <c:pt idx="1193">
                  <c:v>106.9</c:v>
                </c:pt>
                <c:pt idx="1194">
                  <c:v>103.45</c:v>
                </c:pt>
                <c:pt idx="1195">
                  <c:v>101.6</c:v>
                </c:pt>
                <c:pt idx="1196">
                  <c:v>101.2</c:v>
                </c:pt>
                <c:pt idx="1197">
                  <c:v>100.45</c:v>
                </c:pt>
                <c:pt idx="1198">
                  <c:v>100.75</c:v>
                </c:pt>
                <c:pt idx="1199">
                  <c:v>101.05</c:v>
                </c:pt>
              </c:numCache>
            </c:numRef>
          </c:val>
          <c:smooth val="0"/>
          <c:extLst xmlns:c16r2="http://schemas.microsoft.com/office/drawing/2015/06/chart">
            <c:ext xmlns:c16="http://schemas.microsoft.com/office/drawing/2014/chart" uri="{C3380CC4-5D6E-409C-BE32-E72D297353CC}">
              <c16:uniqueId val="{00000000-8E07-45C0-8703-332194D0BE9E}"/>
            </c:ext>
          </c:extLst>
        </c:ser>
        <c:dLbls>
          <c:showLegendKey val="0"/>
          <c:showVal val="0"/>
          <c:showCatName val="0"/>
          <c:showSerName val="0"/>
          <c:showPercent val="0"/>
          <c:showBubbleSize val="0"/>
        </c:dLbls>
        <c:marker val="1"/>
        <c:smooth val="0"/>
        <c:axId val="375293056"/>
        <c:axId val="375294592"/>
      </c:lineChart>
      <c:dateAx>
        <c:axId val="375293056"/>
        <c:scaling>
          <c:orientation val="minMax"/>
          <c:min val="44133"/>
        </c:scaling>
        <c:delete val="0"/>
        <c:axPos val="b"/>
        <c:numFmt formatCode="yyyy/mm" sourceLinked="0"/>
        <c:majorTickMark val="out"/>
        <c:minorTickMark val="none"/>
        <c:tickLblPos val="nextTo"/>
        <c:spPr>
          <a:noFill/>
          <a:ln w="15875" cap="flat" cmpd="sng" algn="ctr">
            <a:solidFill>
              <a:schemeClr val="tx1"/>
            </a:solidFill>
            <a:prstDash val="solid"/>
            <a:round/>
          </a:ln>
          <a:effectLst/>
        </c:spPr>
        <c:txPr>
          <a:bodyPr rot="1020000" spcFirstLastPara="0" vertOverflow="ellipsis" vert="horz" wrap="square" anchor="ctr" anchorCtr="1"/>
          <a:lstStyle/>
          <a:p>
            <a:pPr>
              <a:defRPr lang="zh-CN" sz="800" b="0" i="0" u="none" strike="noStrike" kern="1200" baseline="0">
                <a:solidFill>
                  <a:srgbClr val="000000"/>
                </a:solidFill>
                <a:latin typeface="楷体" panose="02010609060101010101" pitchFamily="3" charset="-122"/>
                <a:ea typeface="楷体" panose="02010609060101010101" pitchFamily="3" charset="-122"/>
                <a:cs typeface="楷体" panose="02010609060101010101" pitchFamily="3" charset="-122"/>
              </a:defRPr>
            </a:pPr>
            <a:endParaRPr lang="zh-CN"/>
          </a:p>
        </c:txPr>
        <c:crossAx val="375294592"/>
        <c:crosses val="autoZero"/>
        <c:auto val="0"/>
        <c:lblOffset val="100"/>
        <c:baseTimeUnit val="days"/>
        <c:majorUnit val="3"/>
        <c:majorTimeUnit val="months"/>
      </c:dateAx>
      <c:valAx>
        <c:axId val="375294592"/>
        <c:scaling>
          <c:orientation val="minMax"/>
        </c:scaling>
        <c:delete val="0"/>
        <c:axPos val="l"/>
        <c:numFmt formatCode="#,##0_);[Red]\(#,##0\)" sourceLinked="0"/>
        <c:majorTickMark val="out"/>
        <c:minorTickMark val="none"/>
        <c:tickLblPos val="nextTo"/>
        <c:spPr>
          <a:ln w="15875" cap="flat" cmpd="sng" algn="ctr">
            <a:solidFill>
              <a:schemeClr val="tx1"/>
            </a:solidFill>
            <a:prstDash val="solid"/>
            <a:round/>
          </a:ln>
        </c:spPr>
        <c:txPr>
          <a:bodyPr rot="0" spcFirstLastPara="0" vertOverflow="ellipsis" vert="horz" wrap="square" anchor="ctr" anchorCtr="1"/>
          <a:lstStyle/>
          <a:p>
            <a:pPr>
              <a:defRPr lang="zh-CN" sz="800" b="0" i="0" u="none" strike="noStrike" kern="1200" baseline="0">
                <a:solidFill>
                  <a:srgbClr val="000000"/>
                </a:solidFill>
                <a:latin typeface="Cambria Math" panose="02040503050406030204"/>
                <a:ea typeface="Cambria Math" panose="02040503050406030204"/>
                <a:cs typeface="Cambria Math" panose="02040503050406030204"/>
              </a:defRPr>
            </a:pPr>
            <a:endParaRPr lang="zh-CN"/>
          </a:p>
        </c:txPr>
        <c:crossAx val="375293056"/>
        <c:crosses val="autoZero"/>
        <c:crossBetween val="between"/>
      </c:valAx>
      <c:spPr>
        <a:solidFill>
          <a:srgbClr val="FFFFFF"/>
        </a:solidFill>
        <a:ln w="25400">
          <a:noFill/>
        </a:ln>
      </c:spPr>
    </c:plotArea>
    <c:plotVisOnly val="1"/>
    <c:dispBlanksAs val="gap"/>
    <c:showDLblsOverMax val="0"/>
    <c:extLst xmlns:c16r2="http://schemas.microsoft.com/office/drawing/2015/06/chart">
      <c:ext uri="{0b15fc19-7d7d-44ad-8c2d-2c3a37ce22c3}">
        <chartProps xmlns="https://web.wps.cn/et/2018/main" chartId="{692ad6c6-3eba-46b8-af2c-fcfa59057263}"/>
      </c:ext>
    </c:extLst>
  </c:chart>
  <c:spPr>
    <a:solidFill>
      <a:srgbClr val="FFFFFF"/>
    </a:solidFill>
    <a:ln w="6350" cap="flat" cmpd="sng" algn="ctr">
      <a:noFill/>
      <a:prstDash val="solid"/>
      <a:round/>
    </a:ln>
  </c:spPr>
  <c:txPr>
    <a:bodyPr/>
    <a:lstStyle/>
    <a:p>
      <a:pPr>
        <a:defRPr lang="zh-CN" sz="1000" b="0" i="0" u="none" strike="noStrike" baseline="0">
          <a:solidFill>
            <a:srgbClr val="000000"/>
          </a:solidFill>
          <a:latin typeface="等线" panose="02010600030101010101" charset="-122"/>
          <a:ea typeface="等线" panose="02010600030101010101" charset="-122"/>
          <a:cs typeface="等线" panose="02010600030101010101" charset="-122"/>
        </a:defRPr>
      </a:pPr>
      <a:endParaRPr lang="zh-CN"/>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8891203703703713E-2"/>
          <c:y val="2.9295370370370499E-2"/>
          <c:w val="0.90797500000000064"/>
          <c:h val="0.66419592592592591"/>
        </c:manualLayout>
      </c:layout>
      <c:lineChart>
        <c:grouping val="standard"/>
        <c:varyColors val="0"/>
        <c:ser>
          <c:idx val="3"/>
          <c:order val="1"/>
          <c:spPr>
            <a:ln w="22225" cap="rnd">
              <a:solidFill>
                <a:srgbClr val="106D9C"/>
              </a:solidFill>
              <a:round/>
            </a:ln>
            <a:effectLst/>
          </c:spPr>
          <c:marker>
            <c:symbol val="none"/>
          </c:marker>
          <c:cat>
            <c:strRef>
              <c:f>作图!$G$48:$G$73</c:f>
              <c:strCache>
                <c:ptCount val="26"/>
                <c:pt idx="0">
                  <c:v>2023年1月</c:v>
                </c:pt>
                <c:pt idx="1">
                  <c:v>2月</c:v>
                </c:pt>
                <c:pt idx="2">
                  <c:v>3月</c:v>
                </c:pt>
                <c:pt idx="3">
                  <c:v>4月</c:v>
                </c:pt>
                <c:pt idx="4">
                  <c:v>5月</c:v>
                </c:pt>
                <c:pt idx="5">
                  <c:v>6月</c:v>
                </c:pt>
                <c:pt idx="6">
                  <c:v>7月</c:v>
                </c:pt>
                <c:pt idx="7">
                  <c:v>8月</c:v>
                </c:pt>
                <c:pt idx="8">
                  <c:v>9月</c:v>
                </c:pt>
                <c:pt idx="9">
                  <c:v>10月</c:v>
                </c:pt>
                <c:pt idx="10">
                  <c:v>11月</c:v>
                </c:pt>
                <c:pt idx="11">
                  <c:v>12月</c:v>
                </c:pt>
                <c:pt idx="12">
                  <c:v>2024年1月</c:v>
                </c:pt>
                <c:pt idx="13">
                  <c:v>2月</c:v>
                </c:pt>
                <c:pt idx="14">
                  <c:v>3月</c:v>
                </c:pt>
                <c:pt idx="15">
                  <c:v>4月</c:v>
                </c:pt>
                <c:pt idx="16">
                  <c:v>5月</c:v>
                </c:pt>
                <c:pt idx="17">
                  <c:v>6月</c:v>
                </c:pt>
                <c:pt idx="18">
                  <c:v>7月</c:v>
                </c:pt>
                <c:pt idx="19">
                  <c:v>8月</c:v>
                </c:pt>
                <c:pt idx="20">
                  <c:v>9月</c:v>
                </c:pt>
                <c:pt idx="21">
                  <c:v>10月</c:v>
                </c:pt>
                <c:pt idx="22">
                  <c:v>11月</c:v>
                </c:pt>
                <c:pt idx="23">
                  <c:v>12月</c:v>
                </c:pt>
                <c:pt idx="24">
                  <c:v>2025年1月</c:v>
                </c:pt>
                <c:pt idx="25">
                  <c:v>2月</c:v>
                </c:pt>
              </c:strCache>
            </c:strRef>
          </c:cat>
          <c:val>
            <c:numRef>
              <c:f>作图!$J$48:$J$73</c:f>
              <c:numCache>
                <c:formatCode>0_ </c:formatCode>
                <c:ptCount val="26"/>
                <c:pt idx="0">
                  <c:v>10049147.4</c:v>
                </c:pt>
                <c:pt idx="1">
                  <c:v>8552391</c:v>
                </c:pt>
                <c:pt idx="2">
                  <c:v>9582845</c:v>
                </c:pt>
                <c:pt idx="3">
                  <c:v>8725330</c:v>
                </c:pt>
                <c:pt idx="4" formatCode="0.00_ ">
                  <c:v>8674166.2100000009</c:v>
                </c:pt>
                <c:pt idx="5" formatCode="0.00_ ">
                  <c:v>8704626.7609999999</c:v>
                </c:pt>
                <c:pt idx="6" formatCode="0.00_ ">
                  <c:v>8788062.5969999991</c:v>
                </c:pt>
                <c:pt idx="7" formatCode="0.00_ ">
                  <c:v>8937706</c:v>
                </c:pt>
                <c:pt idx="8" formatCode="0.00_ ">
                  <c:v>9133722</c:v>
                </c:pt>
                <c:pt idx="9" formatCode="0.00_ ">
                  <c:v>9808092</c:v>
                </c:pt>
                <c:pt idx="10" formatCode="0.00_ ">
                  <c:v>9606294.9350000005</c:v>
                </c:pt>
                <c:pt idx="11" formatCode="0.00_ ">
                  <c:v>9584044.2670000009</c:v>
                </c:pt>
                <c:pt idx="12" formatCode="0.00_ ">
                  <c:v>9099294.9670000002</c:v>
                </c:pt>
                <c:pt idx="13" formatCode="0.00_ ">
                  <c:v>8632181.5449999999</c:v>
                </c:pt>
                <c:pt idx="14" formatCode="#,##0.00_ ">
                  <c:v>9086925.557</c:v>
                </c:pt>
                <c:pt idx="15" formatCode="#,##0.00_ ">
                  <c:v>9451403.1190000009</c:v>
                </c:pt>
                <c:pt idx="16" formatCode="#,##0.00_ ">
                  <c:v>9499896.9910000004</c:v>
                </c:pt>
                <c:pt idx="17" formatCode="#,##0.00_ ">
                  <c:v>8989641.0779999997</c:v>
                </c:pt>
                <c:pt idx="18" formatCode="#,##0.00_ ">
                  <c:v>10246964.220000001</c:v>
                </c:pt>
                <c:pt idx="19" formatCode="#,##0.00_ ">
                  <c:v>9136679.1830000002</c:v>
                </c:pt>
                <c:pt idx="20" formatCode="#,##0.00_ ">
                  <c:v>9342983.773</c:v>
                </c:pt>
                <c:pt idx="21" formatCode="#,##0.00_ ">
                  <c:v>9897912.2310000006</c:v>
                </c:pt>
                <c:pt idx="22" formatCode="#,##0.00_ ">
                  <c:v>9267561.7520000003</c:v>
                </c:pt>
                <c:pt idx="23" formatCode="#,##0.00_ ">
                  <c:v>9778992.4370000008</c:v>
                </c:pt>
                <c:pt idx="24" formatCode="#,##0.00_ ">
                  <c:v>10606912.795</c:v>
                </c:pt>
                <c:pt idx="25" formatCode="#,##0.00_ ">
                  <c:v>8599607.4829999991</c:v>
                </c:pt>
              </c:numCache>
            </c:numRef>
          </c:val>
          <c:smooth val="0"/>
          <c:extLst xmlns:c16r2="http://schemas.microsoft.com/office/drawing/2015/06/chart">
            <c:ext xmlns:c16="http://schemas.microsoft.com/office/drawing/2014/chart" uri="{C3380CC4-5D6E-409C-BE32-E72D297353CC}">
              <c16:uniqueId val="{00000000-BDB2-4835-A8E0-7A8D36E66867}"/>
            </c:ext>
          </c:extLst>
        </c:ser>
        <c:ser>
          <c:idx val="4"/>
          <c:order val="2"/>
          <c:spPr>
            <a:ln w="22225" cap="rnd">
              <a:solidFill>
                <a:srgbClr val="F79646">
                  <a:lumMod val="75000"/>
                </a:srgbClr>
              </a:solidFill>
              <a:prstDash val="sysDash"/>
              <a:round/>
            </a:ln>
            <a:effectLst/>
          </c:spPr>
          <c:marker>
            <c:symbol val="none"/>
          </c:marker>
          <c:cat>
            <c:strRef>
              <c:f>作图!$G$48:$G$73</c:f>
              <c:strCache>
                <c:ptCount val="26"/>
                <c:pt idx="0">
                  <c:v>2023年1月</c:v>
                </c:pt>
                <c:pt idx="1">
                  <c:v>2月</c:v>
                </c:pt>
                <c:pt idx="2">
                  <c:v>3月</c:v>
                </c:pt>
                <c:pt idx="3">
                  <c:v>4月</c:v>
                </c:pt>
                <c:pt idx="4">
                  <c:v>5月</c:v>
                </c:pt>
                <c:pt idx="5">
                  <c:v>6月</c:v>
                </c:pt>
                <c:pt idx="6">
                  <c:v>7月</c:v>
                </c:pt>
                <c:pt idx="7">
                  <c:v>8月</c:v>
                </c:pt>
                <c:pt idx="8">
                  <c:v>9月</c:v>
                </c:pt>
                <c:pt idx="9">
                  <c:v>10月</c:v>
                </c:pt>
                <c:pt idx="10">
                  <c:v>11月</c:v>
                </c:pt>
                <c:pt idx="11">
                  <c:v>12月</c:v>
                </c:pt>
                <c:pt idx="12">
                  <c:v>2024年1月</c:v>
                </c:pt>
                <c:pt idx="13">
                  <c:v>2月</c:v>
                </c:pt>
                <c:pt idx="14">
                  <c:v>3月</c:v>
                </c:pt>
                <c:pt idx="15">
                  <c:v>4月</c:v>
                </c:pt>
                <c:pt idx="16">
                  <c:v>5月</c:v>
                </c:pt>
                <c:pt idx="17">
                  <c:v>6月</c:v>
                </c:pt>
                <c:pt idx="18">
                  <c:v>7月</c:v>
                </c:pt>
                <c:pt idx="19">
                  <c:v>8月</c:v>
                </c:pt>
                <c:pt idx="20">
                  <c:v>9月</c:v>
                </c:pt>
                <c:pt idx="21">
                  <c:v>10月</c:v>
                </c:pt>
                <c:pt idx="22">
                  <c:v>11月</c:v>
                </c:pt>
                <c:pt idx="23">
                  <c:v>12月</c:v>
                </c:pt>
                <c:pt idx="24">
                  <c:v>2025年1月</c:v>
                </c:pt>
                <c:pt idx="25">
                  <c:v>2月</c:v>
                </c:pt>
              </c:strCache>
            </c:strRef>
          </c:cat>
          <c:val>
            <c:numRef>
              <c:f>作图!$L$48:$L$73</c:f>
              <c:numCache>
                <c:formatCode>0.00_ </c:formatCode>
                <c:ptCount val="26"/>
                <c:pt idx="0">
                  <c:v>-3498569.5390000008</c:v>
                </c:pt>
                <c:pt idx="1">
                  <c:v>-897686</c:v>
                </c:pt>
                <c:pt idx="2">
                  <c:v>-758845</c:v>
                </c:pt>
                <c:pt idx="3">
                  <c:v>-436357</c:v>
                </c:pt>
                <c:pt idx="4">
                  <c:v>-1381562.2100000009</c:v>
                </c:pt>
                <c:pt idx="5">
                  <c:v>39217.087999999523</c:v>
                </c:pt>
                <c:pt idx="6">
                  <c:v>-63730.202999999747</c:v>
                </c:pt>
                <c:pt idx="7">
                  <c:v>-943177.71899999958</c:v>
                </c:pt>
                <c:pt idx="8">
                  <c:v>65360</c:v>
                </c:pt>
                <c:pt idx="9">
                  <c:v>-660973</c:v>
                </c:pt>
                <c:pt idx="10">
                  <c:v>-788327.8320000004</c:v>
                </c:pt>
                <c:pt idx="11">
                  <c:v>58881.74499999918</c:v>
                </c:pt>
                <c:pt idx="12">
                  <c:v>-1766540.5789999999</c:v>
                </c:pt>
                <c:pt idx="13">
                  <c:v>-382977.41399999987</c:v>
                </c:pt>
                <c:pt idx="14">
                  <c:v>382399.28800000064</c:v>
                </c:pt>
                <c:pt idx="15">
                  <c:v>-471327.40400000103</c:v>
                </c:pt>
                <c:pt idx="16">
                  <c:v>-1223042.2980000004</c:v>
                </c:pt>
                <c:pt idx="17">
                  <c:v>219421.16200000048</c:v>
                </c:pt>
                <c:pt idx="18">
                  <c:v>-634257.18900000118</c:v>
                </c:pt>
                <c:pt idx="19">
                  <c:v>-703195.61900000088</c:v>
                </c:pt>
                <c:pt idx="20">
                  <c:v>-306090.73699999973</c:v>
                </c:pt>
                <c:pt idx="21">
                  <c:v>-472329.70399999991</c:v>
                </c:pt>
                <c:pt idx="22">
                  <c:v>-115537.72499999963</c:v>
                </c:pt>
                <c:pt idx="23">
                  <c:v>127721.82399999909</c:v>
                </c:pt>
                <c:pt idx="24">
                  <c:v>-2741727.8209999995</c:v>
                </c:pt>
                <c:pt idx="25">
                  <c:v>590530.12900000066</c:v>
                </c:pt>
              </c:numCache>
            </c:numRef>
          </c:val>
          <c:smooth val="0"/>
          <c:extLst xmlns:c16r2="http://schemas.microsoft.com/office/drawing/2015/06/chart">
            <c:ext xmlns:c16="http://schemas.microsoft.com/office/drawing/2014/chart" uri="{C3380CC4-5D6E-409C-BE32-E72D297353CC}">
              <c16:uniqueId val="{00000001-BDB2-4835-A8E0-7A8D36E66867}"/>
            </c:ext>
          </c:extLst>
        </c:ser>
        <c:ser>
          <c:idx val="1"/>
          <c:order val="0"/>
          <c:spPr>
            <a:ln w="22225" cap="rnd">
              <a:solidFill>
                <a:srgbClr val="74A3BA"/>
              </a:solidFill>
              <a:prstDash val="sysDash"/>
              <a:round/>
            </a:ln>
            <a:effectLst/>
          </c:spPr>
          <c:marker>
            <c:symbol val="none"/>
          </c:marker>
          <c:dLbls>
            <c:dLbl>
              <c:idx val="9"/>
              <c:layout>
                <c:manualLayout>
                  <c:x val="0.47239490190844802"/>
                  <c:y val="-0.24662243814100895"/>
                </c:manualLayout>
              </c:layout>
              <c:tx>
                <c:rich>
                  <a:bodyPr/>
                  <a:lstStyle/>
                  <a:p>
                    <a:pPr>
                      <a:defRPr lang="ja-JP" sz="800">
                        <a:latin typeface="楷体" panose="02010609060101010101" pitchFamily="49" charset="-122"/>
                        <a:ea typeface="楷体" panose="02010609060101010101" pitchFamily="49" charset="-122"/>
                      </a:defRPr>
                    </a:pPr>
                    <a:r>
                      <a:rPr lang="zh-CN" altLang="en-US"/>
                      <a:t>进口</a:t>
                    </a:r>
                  </a:p>
                </c:rich>
              </c:tx>
              <c:spPr/>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BDB2-4835-A8E0-7A8D36E66867}"/>
                </c:ext>
              </c:extLst>
            </c:dLbl>
            <c:spPr>
              <a:noFill/>
              <a:ln>
                <a:noFill/>
              </a:ln>
              <a:effectLst/>
            </c:spPr>
            <c:txPr>
              <a:bodyPr/>
              <a:lstStyle/>
              <a:p>
                <a:pPr>
                  <a:defRPr lang="ja-JP"/>
                </a:pPr>
                <a:endParaRPr lang="zh-CN"/>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作图!$G$48:$G$73</c:f>
              <c:strCache>
                <c:ptCount val="26"/>
                <c:pt idx="0">
                  <c:v>2023年1月</c:v>
                </c:pt>
                <c:pt idx="1">
                  <c:v>2月</c:v>
                </c:pt>
                <c:pt idx="2">
                  <c:v>3月</c:v>
                </c:pt>
                <c:pt idx="3">
                  <c:v>4月</c:v>
                </c:pt>
                <c:pt idx="4">
                  <c:v>5月</c:v>
                </c:pt>
                <c:pt idx="5">
                  <c:v>6月</c:v>
                </c:pt>
                <c:pt idx="6">
                  <c:v>7月</c:v>
                </c:pt>
                <c:pt idx="7">
                  <c:v>8月</c:v>
                </c:pt>
                <c:pt idx="8">
                  <c:v>9月</c:v>
                </c:pt>
                <c:pt idx="9">
                  <c:v>10月</c:v>
                </c:pt>
                <c:pt idx="10">
                  <c:v>11月</c:v>
                </c:pt>
                <c:pt idx="11">
                  <c:v>12月</c:v>
                </c:pt>
                <c:pt idx="12">
                  <c:v>2024年1月</c:v>
                </c:pt>
                <c:pt idx="13">
                  <c:v>2月</c:v>
                </c:pt>
                <c:pt idx="14">
                  <c:v>3月</c:v>
                </c:pt>
                <c:pt idx="15">
                  <c:v>4月</c:v>
                </c:pt>
                <c:pt idx="16">
                  <c:v>5月</c:v>
                </c:pt>
                <c:pt idx="17">
                  <c:v>6月</c:v>
                </c:pt>
                <c:pt idx="18">
                  <c:v>7月</c:v>
                </c:pt>
                <c:pt idx="19">
                  <c:v>8月</c:v>
                </c:pt>
                <c:pt idx="20">
                  <c:v>9月</c:v>
                </c:pt>
                <c:pt idx="21">
                  <c:v>10月</c:v>
                </c:pt>
                <c:pt idx="22">
                  <c:v>11月</c:v>
                </c:pt>
                <c:pt idx="23">
                  <c:v>12月</c:v>
                </c:pt>
                <c:pt idx="24">
                  <c:v>2025年1月</c:v>
                </c:pt>
                <c:pt idx="25">
                  <c:v>2月</c:v>
                </c:pt>
              </c:strCache>
            </c:strRef>
          </c:cat>
          <c:val>
            <c:numRef>
              <c:f>作图!$H$48:$H$73</c:f>
              <c:numCache>
                <c:formatCode>0_ </c:formatCode>
                <c:ptCount val="26"/>
                <c:pt idx="0">
                  <c:v>6550577.8609999996</c:v>
                </c:pt>
                <c:pt idx="1">
                  <c:v>7654705</c:v>
                </c:pt>
                <c:pt idx="2">
                  <c:v>8824000</c:v>
                </c:pt>
                <c:pt idx="3">
                  <c:v>8288973</c:v>
                </c:pt>
                <c:pt idx="4">
                  <c:v>7292604</c:v>
                </c:pt>
                <c:pt idx="5">
                  <c:v>8743843.8489999995</c:v>
                </c:pt>
                <c:pt idx="6">
                  <c:v>8724332.3939999994</c:v>
                </c:pt>
                <c:pt idx="7">
                  <c:v>7994528.2810000004</c:v>
                </c:pt>
                <c:pt idx="8">
                  <c:v>9199082</c:v>
                </c:pt>
                <c:pt idx="9">
                  <c:v>9147119</c:v>
                </c:pt>
                <c:pt idx="10">
                  <c:v>8817967.1030000001</c:v>
                </c:pt>
                <c:pt idx="11">
                  <c:v>9642926.0120000001</c:v>
                </c:pt>
                <c:pt idx="12" formatCode="#,##0.00_ ">
                  <c:v>7332754.3880000003</c:v>
                </c:pt>
                <c:pt idx="13" formatCode="#,##0.00_ ">
                  <c:v>8249204.1310000001</c:v>
                </c:pt>
                <c:pt idx="14" formatCode="#,##0.00_ ">
                  <c:v>9469324.8450000007</c:v>
                </c:pt>
                <c:pt idx="15" formatCode="#,##0.00_ ">
                  <c:v>8980075.7149999999</c:v>
                </c:pt>
                <c:pt idx="16" formatCode="#,##0.00_ ">
                  <c:v>8276854.693</c:v>
                </c:pt>
                <c:pt idx="17" formatCode="#,##0.00_ ">
                  <c:v>9209062.2400000002</c:v>
                </c:pt>
                <c:pt idx="18" formatCode="#,##0.00_ ">
                  <c:v>9612707.0309999995</c:v>
                </c:pt>
                <c:pt idx="19" formatCode="#,##0.00_ ">
                  <c:v>8433483.5639999993</c:v>
                </c:pt>
                <c:pt idx="20" formatCode="#,##0.00_ ">
                  <c:v>9036893.0360000003</c:v>
                </c:pt>
                <c:pt idx="21" formatCode="#,##0.00_ ">
                  <c:v>9425582.5270000007</c:v>
                </c:pt>
                <c:pt idx="22" formatCode="#,##0.00_ ">
                  <c:v>9152024.0270000007</c:v>
                </c:pt>
                <c:pt idx="23" formatCode="#,##0.00_ ">
                  <c:v>9906714.2609999999</c:v>
                </c:pt>
                <c:pt idx="24" formatCode="#,##0.00_ ">
                  <c:v>7865184.9740000004</c:v>
                </c:pt>
                <c:pt idx="25" formatCode="#,##0.00_ ">
                  <c:v>9190137.6119999997</c:v>
                </c:pt>
              </c:numCache>
            </c:numRef>
          </c:val>
          <c:smooth val="0"/>
          <c:extLst xmlns:c16r2="http://schemas.microsoft.com/office/drawing/2015/06/chart">
            <c:ext xmlns:c16="http://schemas.microsoft.com/office/drawing/2014/chart" uri="{C3380CC4-5D6E-409C-BE32-E72D297353CC}">
              <c16:uniqueId val="{00000003-BDB2-4835-A8E0-7A8D36E66867}"/>
            </c:ext>
          </c:extLst>
        </c:ser>
        <c:dLbls>
          <c:showLegendKey val="0"/>
          <c:showVal val="0"/>
          <c:showCatName val="0"/>
          <c:showSerName val="0"/>
          <c:showPercent val="0"/>
          <c:showBubbleSize val="0"/>
        </c:dLbls>
        <c:marker val="1"/>
        <c:smooth val="0"/>
        <c:axId val="373903360"/>
        <c:axId val="373904896"/>
      </c:lineChart>
      <c:catAx>
        <c:axId val="373903360"/>
        <c:scaling>
          <c:orientation val="minMax"/>
        </c:scaling>
        <c:delete val="0"/>
        <c:axPos val="b"/>
        <c:numFmt formatCode="General" sourceLinked="1"/>
        <c:majorTickMark val="out"/>
        <c:minorTickMark val="out"/>
        <c:tickLblPos val="low"/>
        <c:spPr>
          <a:noFill/>
          <a:ln w="15875" cap="flat" cmpd="sng" algn="ctr">
            <a:solidFill>
              <a:sysClr val="windowText" lastClr="000000"/>
            </a:solidFill>
            <a:round/>
          </a:ln>
          <a:effectLst/>
        </c:spPr>
        <c:txPr>
          <a:bodyPr rot="0" spcFirstLastPara="1" vertOverflow="ellipsis"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zh-CN"/>
          </a:p>
        </c:txPr>
        <c:crossAx val="373904896"/>
        <c:crosses val="autoZero"/>
        <c:auto val="1"/>
        <c:lblAlgn val="ctr"/>
        <c:lblOffset val="100"/>
        <c:tickLblSkip val="3"/>
        <c:tickMarkSkip val="1"/>
        <c:noMultiLvlLbl val="0"/>
      </c:catAx>
      <c:valAx>
        <c:axId val="373904896"/>
        <c:scaling>
          <c:orientation val="minMax"/>
        </c:scaling>
        <c:delete val="0"/>
        <c:axPos val="l"/>
        <c:numFmt formatCode="#,##0_ " sourceLinked="0"/>
        <c:majorTickMark val="out"/>
        <c:minorTickMark val="none"/>
        <c:tickLblPos val="nextTo"/>
        <c:spPr>
          <a:noFill/>
          <a:ln w="15875">
            <a:solidFill>
              <a:sysClr val="windowText" lastClr="000000"/>
            </a:solidFill>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zh-CN"/>
          </a:p>
        </c:txPr>
        <c:crossAx val="373903360"/>
        <c:crosses val="autoZero"/>
        <c:crossBetween val="between"/>
      </c:valAx>
      <c:spPr>
        <a:noFill/>
        <a:ln w="25400">
          <a:noFill/>
        </a:ln>
      </c:spPr>
    </c:plotArea>
    <c:plotVisOnly val="1"/>
    <c:dispBlanksAs val="gap"/>
    <c:showDLblsOverMax val="0"/>
  </c:chart>
  <c:spPr>
    <a:solidFill>
      <a:srgbClr val="FFFFFF"/>
    </a:solidFill>
    <a:ln w="3175">
      <a:solidFill>
        <a:srgbClr val="FFFFFF"/>
      </a:solidFill>
      <a:prstDash val="solid"/>
    </a:ln>
  </c:spPr>
  <c:txPr>
    <a:bodyPr/>
    <a:lstStyle/>
    <a:p>
      <a:pPr>
        <a:defRPr/>
      </a:pPr>
      <a:endParaRPr lang="zh-CN"/>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8891203703703713E-2"/>
          <c:y val="2.9295370370370454E-2"/>
          <c:w val="0.90797500000000064"/>
          <c:h val="0.74510541718927592"/>
        </c:manualLayout>
      </c:layout>
      <c:lineChart>
        <c:grouping val="standard"/>
        <c:varyColors val="0"/>
        <c:ser>
          <c:idx val="0"/>
          <c:order val="0"/>
          <c:tx>
            <c:strRef>
              <c:f>Sheet1!$D$4</c:f>
              <c:strCache>
                <c:ptCount val="1"/>
                <c:pt idx="0">
                  <c:v>综合CPI</c:v>
                </c:pt>
              </c:strCache>
            </c:strRef>
          </c:tx>
          <c:spPr>
            <a:ln w="22225" cap="rnd">
              <a:solidFill>
                <a:srgbClr val="106D9C"/>
              </a:solidFill>
              <a:round/>
            </a:ln>
            <a:effectLst/>
          </c:spPr>
          <c:marker>
            <c:symbol val="none"/>
          </c:marker>
          <c:dLbls>
            <c:dLbl>
              <c:idx val="6"/>
              <c:layout>
                <c:manualLayout>
                  <c:x val="6.2292440393465924E-2"/>
                  <c:y val="-1.722100877567994E-2"/>
                </c:manualLayout>
              </c:layout>
              <c:tx>
                <c:rich>
                  <a:bodyPr/>
                  <a:lstStyle/>
                  <a:p>
                    <a:pPr>
                      <a:defRPr lang="ja-JP" sz="800">
                        <a:latin typeface="楷体" panose="02010609060101010101" pitchFamily="49" charset="-122"/>
                        <a:ea typeface="楷体" panose="02010609060101010101" pitchFamily="49" charset="-122"/>
                      </a:defRPr>
                    </a:pPr>
                    <a:r>
                      <a:rPr lang="zh-CN" altLang="en-US"/>
                      <a:t>综合</a:t>
                    </a:r>
                    <a:r>
                      <a:rPr lang="en-US" altLang="zh-CN"/>
                      <a:t>CPI</a:t>
                    </a:r>
                  </a:p>
                </c:rich>
              </c:tx>
              <c:spPr/>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E383-465C-AA07-A2131130A968}"/>
                </c:ext>
              </c:extLst>
            </c:dLbl>
            <c:spPr>
              <a:noFill/>
              <a:ln>
                <a:noFill/>
              </a:ln>
              <a:effectLst/>
            </c:spPr>
            <c:txPr>
              <a:bodyPr/>
              <a:lstStyle/>
              <a:p>
                <a:pPr>
                  <a:defRPr lang="ja-JP"/>
                </a:pPr>
                <a:endParaRPr lang="zh-CN"/>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Sheet1!$B$53:$B$91</c:f>
              <c:strCache>
                <c:ptCount val="39"/>
                <c:pt idx="0">
                  <c:v>1月
2022</c:v>
                </c:pt>
                <c:pt idx="1">
                  <c:v>2月</c:v>
                </c:pt>
                <c:pt idx="2">
                  <c:v>3月</c:v>
                </c:pt>
                <c:pt idx="3">
                  <c:v>4月</c:v>
                </c:pt>
                <c:pt idx="4">
                  <c:v>5月</c:v>
                </c:pt>
                <c:pt idx="5">
                  <c:v>6月</c:v>
                </c:pt>
                <c:pt idx="6">
                  <c:v>7月</c:v>
                </c:pt>
                <c:pt idx="7">
                  <c:v>8月</c:v>
                </c:pt>
                <c:pt idx="8">
                  <c:v>9月</c:v>
                </c:pt>
                <c:pt idx="9">
                  <c:v>10月</c:v>
                </c:pt>
                <c:pt idx="10">
                  <c:v>11月</c:v>
                </c:pt>
                <c:pt idx="11">
                  <c:v>12月</c:v>
                </c:pt>
                <c:pt idx="12">
                  <c:v>1月
2023</c:v>
                </c:pt>
                <c:pt idx="13">
                  <c:v>2月</c:v>
                </c:pt>
                <c:pt idx="14">
                  <c:v>3月</c:v>
                </c:pt>
                <c:pt idx="15">
                  <c:v>4月</c:v>
                </c:pt>
                <c:pt idx="16">
                  <c:v>5月</c:v>
                </c:pt>
                <c:pt idx="17">
                  <c:v>6月</c:v>
                </c:pt>
                <c:pt idx="18">
                  <c:v>7月</c:v>
                </c:pt>
                <c:pt idx="19">
                  <c:v>8月</c:v>
                </c:pt>
                <c:pt idx="20">
                  <c:v>9月</c:v>
                </c:pt>
                <c:pt idx="21">
                  <c:v>10月</c:v>
                </c:pt>
                <c:pt idx="22">
                  <c:v>11月</c:v>
                </c:pt>
                <c:pt idx="23">
                  <c:v>12月</c:v>
                </c:pt>
                <c:pt idx="24">
                  <c:v>1月
2024</c:v>
                </c:pt>
                <c:pt idx="25">
                  <c:v>2月</c:v>
                </c:pt>
                <c:pt idx="26">
                  <c:v>3月</c:v>
                </c:pt>
                <c:pt idx="27">
                  <c:v>4月</c:v>
                </c:pt>
                <c:pt idx="28">
                  <c:v>5月</c:v>
                </c:pt>
                <c:pt idx="29">
                  <c:v>6月</c:v>
                </c:pt>
                <c:pt idx="30">
                  <c:v>7月</c:v>
                </c:pt>
                <c:pt idx="31">
                  <c:v>8月</c:v>
                </c:pt>
                <c:pt idx="32">
                  <c:v>9月</c:v>
                </c:pt>
                <c:pt idx="33">
                  <c:v>10月</c:v>
                </c:pt>
                <c:pt idx="34">
                  <c:v>11月</c:v>
                </c:pt>
                <c:pt idx="35">
                  <c:v>12月</c:v>
                </c:pt>
                <c:pt idx="36">
                  <c:v>1月
2025</c:v>
                </c:pt>
                <c:pt idx="37">
                  <c:v>2月</c:v>
                </c:pt>
                <c:pt idx="38">
                  <c:v>3月</c:v>
                </c:pt>
              </c:strCache>
            </c:strRef>
          </c:cat>
          <c:val>
            <c:numRef>
              <c:f>Sheet1!$D$53:$D$91</c:f>
              <c:numCache>
                <c:formatCode>0.0_ </c:formatCode>
                <c:ptCount val="39"/>
                <c:pt idx="0">
                  <c:v>0.5</c:v>
                </c:pt>
                <c:pt idx="1">
                  <c:v>0.9</c:v>
                </c:pt>
                <c:pt idx="2">
                  <c:v>1.2</c:v>
                </c:pt>
                <c:pt idx="3">
                  <c:v>2.5</c:v>
                </c:pt>
                <c:pt idx="4">
                  <c:v>2.5</c:v>
                </c:pt>
                <c:pt idx="5">
                  <c:v>2.4</c:v>
                </c:pt>
                <c:pt idx="6">
                  <c:v>2.6</c:v>
                </c:pt>
                <c:pt idx="7">
                  <c:v>3</c:v>
                </c:pt>
                <c:pt idx="8">
                  <c:v>3</c:v>
                </c:pt>
                <c:pt idx="9">
                  <c:v>3.7</c:v>
                </c:pt>
                <c:pt idx="10">
                  <c:v>3.8</c:v>
                </c:pt>
                <c:pt idx="11">
                  <c:v>4</c:v>
                </c:pt>
                <c:pt idx="12">
                  <c:v>4.3</c:v>
                </c:pt>
                <c:pt idx="13">
                  <c:v>3.3</c:v>
                </c:pt>
                <c:pt idx="14">
                  <c:v>3.2</c:v>
                </c:pt>
                <c:pt idx="15">
                  <c:v>3.5</c:v>
                </c:pt>
                <c:pt idx="16">
                  <c:v>3.2</c:v>
                </c:pt>
                <c:pt idx="17">
                  <c:v>3.3</c:v>
                </c:pt>
                <c:pt idx="18">
                  <c:v>3.3</c:v>
                </c:pt>
                <c:pt idx="19">
                  <c:v>3.2</c:v>
                </c:pt>
                <c:pt idx="20">
                  <c:v>3</c:v>
                </c:pt>
                <c:pt idx="21">
                  <c:v>3.3</c:v>
                </c:pt>
                <c:pt idx="22">
                  <c:v>2.8</c:v>
                </c:pt>
                <c:pt idx="23">
                  <c:v>2.6</c:v>
                </c:pt>
                <c:pt idx="24">
                  <c:v>2.2000000000000002</c:v>
                </c:pt>
                <c:pt idx="25">
                  <c:v>2.8</c:v>
                </c:pt>
                <c:pt idx="26">
                  <c:v>2.7</c:v>
                </c:pt>
                <c:pt idx="27">
                  <c:v>2.5</c:v>
                </c:pt>
                <c:pt idx="28">
                  <c:v>2.8</c:v>
                </c:pt>
                <c:pt idx="29">
                  <c:v>2.8</c:v>
                </c:pt>
                <c:pt idx="30">
                  <c:v>2.8</c:v>
                </c:pt>
                <c:pt idx="31">
                  <c:v>3</c:v>
                </c:pt>
                <c:pt idx="32">
                  <c:v>2.5</c:v>
                </c:pt>
                <c:pt idx="33">
                  <c:v>2.2999999999999998</c:v>
                </c:pt>
                <c:pt idx="34">
                  <c:v>2.9</c:v>
                </c:pt>
                <c:pt idx="35">
                  <c:v>3.6</c:v>
                </c:pt>
                <c:pt idx="36">
                  <c:v>4</c:v>
                </c:pt>
                <c:pt idx="37">
                  <c:v>3.7</c:v>
                </c:pt>
              </c:numCache>
            </c:numRef>
          </c:val>
          <c:smooth val="0"/>
          <c:extLst xmlns:c16r2="http://schemas.microsoft.com/office/drawing/2015/06/chart">
            <c:ext xmlns:c16="http://schemas.microsoft.com/office/drawing/2014/chart" uri="{C3380CC4-5D6E-409C-BE32-E72D297353CC}">
              <c16:uniqueId val="{00000001-E383-465C-AA07-A2131130A968}"/>
            </c:ext>
          </c:extLst>
        </c:ser>
        <c:ser>
          <c:idx val="2"/>
          <c:order val="1"/>
          <c:tx>
            <c:strRef>
              <c:f>Sheet1!$F$4</c:f>
              <c:strCache>
                <c:ptCount val="1"/>
                <c:pt idx="0">
                  <c:v>PPI</c:v>
                </c:pt>
              </c:strCache>
            </c:strRef>
          </c:tx>
          <c:spPr>
            <a:ln w="25400">
              <a:solidFill>
                <a:srgbClr val="106D9C"/>
              </a:solidFill>
              <a:prstDash val="dash"/>
            </a:ln>
          </c:spPr>
          <c:marker>
            <c:symbol val="none"/>
          </c:marker>
          <c:dLbls>
            <c:dLbl>
              <c:idx val="6"/>
              <c:layout>
                <c:manualLayout>
                  <c:x val="0.17611633651486724"/>
                  <c:y val="6.5012320152971995E-2"/>
                </c:manualLayout>
              </c:layout>
              <c:tx>
                <c:rich>
                  <a:bodyPr/>
                  <a:lstStyle/>
                  <a:p>
                    <a:pPr>
                      <a:defRPr lang="ja-JP" sz="800" baseline="0">
                        <a:solidFill>
                          <a:sysClr val="windowText" lastClr="000000"/>
                        </a:solidFill>
                        <a:latin typeface="Times New Roman" panose="02020603050405020304" pitchFamily="18" charset="0"/>
                        <a:ea typeface="楷体" panose="02010609060101010101" pitchFamily="49" charset="-122"/>
                      </a:defRPr>
                    </a:pPr>
                    <a:r>
                      <a:rPr lang="en-US" altLang="en-US">
                        <a:solidFill>
                          <a:sysClr val="windowText" lastClr="000000"/>
                        </a:solidFill>
                      </a:rPr>
                      <a:t>PPI</a:t>
                    </a:r>
                  </a:p>
                </c:rich>
              </c:tx>
              <c:spPr/>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E383-465C-AA07-A2131130A968}"/>
                </c:ext>
              </c:extLst>
            </c:dLbl>
            <c:spPr>
              <a:noFill/>
              <a:ln>
                <a:noFill/>
              </a:ln>
              <a:effectLst/>
            </c:spPr>
            <c:txPr>
              <a:bodyPr/>
              <a:lstStyle/>
              <a:p>
                <a:pPr>
                  <a:defRPr lang="ja-JP"/>
                </a:pPr>
                <a:endParaRPr lang="zh-CN"/>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Sheet1!$B$53:$B$91</c:f>
              <c:strCache>
                <c:ptCount val="39"/>
                <c:pt idx="0">
                  <c:v>1月
2022</c:v>
                </c:pt>
                <c:pt idx="1">
                  <c:v>2月</c:v>
                </c:pt>
                <c:pt idx="2">
                  <c:v>3月</c:v>
                </c:pt>
                <c:pt idx="3">
                  <c:v>4月</c:v>
                </c:pt>
                <c:pt idx="4">
                  <c:v>5月</c:v>
                </c:pt>
                <c:pt idx="5">
                  <c:v>6月</c:v>
                </c:pt>
                <c:pt idx="6">
                  <c:v>7月</c:v>
                </c:pt>
                <c:pt idx="7">
                  <c:v>8月</c:v>
                </c:pt>
                <c:pt idx="8">
                  <c:v>9月</c:v>
                </c:pt>
                <c:pt idx="9">
                  <c:v>10月</c:v>
                </c:pt>
                <c:pt idx="10">
                  <c:v>11月</c:v>
                </c:pt>
                <c:pt idx="11">
                  <c:v>12月</c:v>
                </c:pt>
                <c:pt idx="12">
                  <c:v>1月
2023</c:v>
                </c:pt>
                <c:pt idx="13">
                  <c:v>2月</c:v>
                </c:pt>
                <c:pt idx="14">
                  <c:v>3月</c:v>
                </c:pt>
                <c:pt idx="15">
                  <c:v>4月</c:v>
                </c:pt>
                <c:pt idx="16">
                  <c:v>5月</c:v>
                </c:pt>
                <c:pt idx="17">
                  <c:v>6月</c:v>
                </c:pt>
                <c:pt idx="18">
                  <c:v>7月</c:v>
                </c:pt>
                <c:pt idx="19">
                  <c:v>8月</c:v>
                </c:pt>
                <c:pt idx="20">
                  <c:v>9月</c:v>
                </c:pt>
                <c:pt idx="21">
                  <c:v>10月</c:v>
                </c:pt>
                <c:pt idx="22">
                  <c:v>11月</c:v>
                </c:pt>
                <c:pt idx="23">
                  <c:v>12月</c:v>
                </c:pt>
                <c:pt idx="24">
                  <c:v>1月
2024</c:v>
                </c:pt>
                <c:pt idx="25">
                  <c:v>2月</c:v>
                </c:pt>
                <c:pt idx="26">
                  <c:v>3月</c:v>
                </c:pt>
                <c:pt idx="27">
                  <c:v>4月</c:v>
                </c:pt>
                <c:pt idx="28">
                  <c:v>5月</c:v>
                </c:pt>
                <c:pt idx="29">
                  <c:v>6月</c:v>
                </c:pt>
                <c:pt idx="30">
                  <c:v>7月</c:v>
                </c:pt>
                <c:pt idx="31">
                  <c:v>8月</c:v>
                </c:pt>
                <c:pt idx="32">
                  <c:v>9月</c:v>
                </c:pt>
                <c:pt idx="33">
                  <c:v>10月</c:v>
                </c:pt>
                <c:pt idx="34">
                  <c:v>11月</c:v>
                </c:pt>
                <c:pt idx="35">
                  <c:v>12月</c:v>
                </c:pt>
                <c:pt idx="36">
                  <c:v>1月
2025</c:v>
                </c:pt>
                <c:pt idx="37">
                  <c:v>2月</c:v>
                </c:pt>
                <c:pt idx="38">
                  <c:v>3月</c:v>
                </c:pt>
              </c:strCache>
            </c:strRef>
          </c:cat>
          <c:val>
            <c:numRef>
              <c:f>Sheet1!$F$53:$F$91</c:f>
              <c:numCache>
                <c:formatCode>General</c:formatCode>
                <c:ptCount val="39"/>
                <c:pt idx="0">
                  <c:v>9.1</c:v>
                </c:pt>
                <c:pt idx="1">
                  <c:v>9.4</c:v>
                </c:pt>
                <c:pt idx="2">
                  <c:v>9.4</c:v>
                </c:pt>
                <c:pt idx="3">
                  <c:v>9.9</c:v>
                </c:pt>
                <c:pt idx="4">
                  <c:v>9.4</c:v>
                </c:pt>
                <c:pt idx="5">
                  <c:v>9.6</c:v>
                </c:pt>
                <c:pt idx="6">
                  <c:v>9.3000000000000007</c:v>
                </c:pt>
                <c:pt idx="7">
                  <c:v>9.6</c:v>
                </c:pt>
                <c:pt idx="8">
                  <c:v>10.3</c:v>
                </c:pt>
                <c:pt idx="9">
                  <c:v>9.6999999999999993</c:v>
                </c:pt>
                <c:pt idx="10">
                  <c:v>9.9</c:v>
                </c:pt>
                <c:pt idx="11">
                  <c:v>10.5</c:v>
                </c:pt>
                <c:pt idx="12">
                  <c:v>9.6</c:v>
                </c:pt>
                <c:pt idx="13">
                  <c:v>8.34</c:v>
                </c:pt>
                <c:pt idx="14">
                  <c:v>7.36</c:v>
                </c:pt>
                <c:pt idx="15">
                  <c:v>5.92</c:v>
                </c:pt>
                <c:pt idx="16">
                  <c:v>5.12</c:v>
                </c:pt>
                <c:pt idx="17">
                  <c:v>4.0999999999999996</c:v>
                </c:pt>
                <c:pt idx="18">
                  <c:v>3.6</c:v>
                </c:pt>
                <c:pt idx="19">
                  <c:v>3.4</c:v>
                </c:pt>
                <c:pt idx="20">
                  <c:v>2.2000000000000002</c:v>
                </c:pt>
                <c:pt idx="21">
                  <c:v>1.1000000000000001</c:v>
                </c:pt>
                <c:pt idx="22">
                  <c:v>0.5</c:v>
                </c:pt>
                <c:pt idx="23">
                  <c:v>0.3</c:v>
                </c:pt>
                <c:pt idx="24">
                  <c:v>0.3</c:v>
                </c:pt>
                <c:pt idx="25">
                  <c:v>0.7</c:v>
                </c:pt>
                <c:pt idx="26">
                  <c:v>0.9</c:v>
                </c:pt>
                <c:pt idx="27">
                  <c:v>0.9</c:v>
                </c:pt>
                <c:pt idx="28">
                  <c:v>2.2999999999999998</c:v>
                </c:pt>
                <c:pt idx="29">
                  <c:v>2.6</c:v>
                </c:pt>
                <c:pt idx="30">
                  <c:v>3.1</c:v>
                </c:pt>
                <c:pt idx="31">
                  <c:v>2.6</c:v>
                </c:pt>
                <c:pt idx="32">
                  <c:v>3.1</c:v>
                </c:pt>
                <c:pt idx="33">
                  <c:v>3.7</c:v>
                </c:pt>
                <c:pt idx="34">
                  <c:v>3.8</c:v>
                </c:pt>
                <c:pt idx="35">
                  <c:v>4</c:v>
                </c:pt>
                <c:pt idx="36">
                  <c:v>4.2</c:v>
                </c:pt>
                <c:pt idx="37">
                  <c:v>4.0999999999999996</c:v>
                </c:pt>
                <c:pt idx="38">
                  <c:v>4.2</c:v>
                </c:pt>
              </c:numCache>
            </c:numRef>
          </c:val>
          <c:smooth val="0"/>
          <c:extLst xmlns:c16r2="http://schemas.microsoft.com/office/drawing/2015/06/chart">
            <c:ext xmlns:c16="http://schemas.microsoft.com/office/drawing/2014/chart" uri="{C3380CC4-5D6E-409C-BE32-E72D297353CC}">
              <c16:uniqueId val="{00000003-E383-465C-AA07-A2131130A968}"/>
            </c:ext>
          </c:extLst>
        </c:ser>
        <c:dLbls>
          <c:showLegendKey val="0"/>
          <c:showVal val="0"/>
          <c:showCatName val="0"/>
          <c:showSerName val="0"/>
          <c:showPercent val="0"/>
          <c:showBubbleSize val="0"/>
        </c:dLbls>
        <c:marker val="1"/>
        <c:smooth val="0"/>
        <c:axId val="373877376"/>
        <c:axId val="373956992"/>
      </c:lineChart>
      <c:catAx>
        <c:axId val="373877376"/>
        <c:scaling>
          <c:orientation val="minMax"/>
        </c:scaling>
        <c:delete val="0"/>
        <c:axPos val="b"/>
        <c:numFmt formatCode="General" sourceLinked="1"/>
        <c:majorTickMark val="out"/>
        <c:minorTickMark val="out"/>
        <c:tickLblPos val="low"/>
        <c:spPr>
          <a:noFill/>
          <a:ln w="15875" cap="flat" cmpd="sng" algn="ctr">
            <a:solidFill>
              <a:sysClr val="windowText" lastClr="000000"/>
            </a:solidFill>
            <a:round/>
          </a:ln>
          <a:effectLst/>
        </c:spPr>
        <c:txPr>
          <a:bodyPr rot="0" spcFirstLastPara="1" vertOverflow="ellipsis" wrap="square" anchor="ctr" anchorCtr="1"/>
          <a:lstStyle/>
          <a:p>
            <a:pPr>
              <a:defRPr lang="ja-JP" sz="900" b="0" i="0" u="none" strike="noStrike" kern="1200" baseline="0">
                <a:solidFill>
                  <a:sysClr val="windowText" lastClr="000000"/>
                </a:solidFill>
                <a:latin typeface="Times New Roman" panose="02020603050405020304" pitchFamily="18" charset="0"/>
                <a:ea typeface="楷体" panose="02010609060101010101" pitchFamily="49" charset="-122"/>
                <a:cs typeface="Times New Roman" panose="02020603050405020304" pitchFamily="18" charset="0"/>
              </a:defRPr>
            </a:pPr>
            <a:endParaRPr lang="zh-CN"/>
          </a:p>
        </c:txPr>
        <c:crossAx val="373956992"/>
        <c:crosses val="autoZero"/>
        <c:auto val="1"/>
        <c:lblAlgn val="ctr"/>
        <c:lblOffset val="100"/>
        <c:tickLblSkip val="3"/>
        <c:tickMarkSkip val="2"/>
        <c:noMultiLvlLbl val="0"/>
      </c:catAx>
      <c:valAx>
        <c:axId val="373956992"/>
        <c:scaling>
          <c:orientation val="minMax"/>
        </c:scaling>
        <c:delete val="0"/>
        <c:axPos val="l"/>
        <c:title>
          <c:tx>
            <c:rich>
              <a:bodyPr rot="0" spcFirstLastPara="1" vertOverflow="ellipsis" vert="wordArtVertRtl"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ltLang="zh-CN" sz="900">
                    <a:solidFill>
                      <a:sysClr val="windowText" lastClr="000000"/>
                    </a:solidFill>
                    <a:latin typeface="Times New Roman" panose="02020603050405020304" pitchFamily="18" charset="0"/>
                    <a:cs typeface="Times New Roman" panose="02020603050405020304" pitchFamily="18" charset="0"/>
                  </a:rPr>
                  <a:t>%</a:t>
                </a:r>
                <a:endParaRPr lang="zh-CN" altLang="en-US" sz="9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7.0555555555555496E-2"/>
              <c:y val="3.1877998765653471E-3"/>
            </c:manualLayout>
          </c:layout>
          <c:overlay val="0"/>
          <c:spPr>
            <a:noFill/>
            <a:ln w="25400">
              <a:noFill/>
            </a:ln>
          </c:spPr>
        </c:title>
        <c:numFmt formatCode="#,##0_ " sourceLinked="0"/>
        <c:majorTickMark val="out"/>
        <c:minorTickMark val="none"/>
        <c:tickLblPos val="nextTo"/>
        <c:spPr>
          <a:noFill/>
          <a:ln w="15875">
            <a:solidFill>
              <a:sysClr val="windowText" lastClr="000000"/>
            </a:solidFill>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zh-CN"/>
          </a:p>
        </c:txPr>
        <c:crossAx val="373877376"/>
        <c:crosses val="autoZero"/>
        <c:crossBetween val="between"/>
      </c:valAx>
      <c:spPr>
        <a:noFill/>
        <a:ln w="25400">
          <a:noFill/>
        </a:ln>
      </c:spPr>
    </c:plotArea>
    <c:plotVisOnly val="1"/>
    <c:dispBlanksAs val="gap"/>
    <c:showDLblsOverMax val="0"/>
  </c:chart>
  <c:spPr>
    <a:solidFill>
      <a:srgbClr val="FFFFFF"/>
    </a:solidFill>
    <a:ln w="3175">
      <a:solidFill>
        <a:srgbClr val="FFFFFF"/>
      </a:solidFill>
      <a:prstDash val="solid"/>
    </a:ln>
  </c:spPr>
  <c:txPr>
    <a:bodyPr/>
    <a:lstStyle/>
    <a:p>
      <a:pPr>
        <a:defRPr/>
      </a:pPr>
      <a:endParaRPr lang="zh-CN"/>
    </a:p>
  </c:tx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8891203703703713E-2"/>
          <c:y val="2.9295370370370451E-2"/>
          <c:w val="0.90797500000000064"/>
          <c:h val="0.64248610714705356"/>
        </c:manualLayout>
      </c:layout>
      <c:lineChart>
        <c:grouping val="standard"/>
        <c:varyColors val="0"/>
        <c:ser>
          <c:idx val="0"/>
          <c:order val="0"/>
          <c:tx>
            <c:strRef>
              <c:f>Sheet1!$E$2</c:f>
              <c:strCache>
                <c:ptCount val="1"/>
                <c:pt idx="0">
                  <c:v>日经225指数</c:v>
                </c:pt>
              </c:strCache>
            </c:strRef>
          </c:tx>
          <c:spPr>
            <a:ln w="22225" cap="rnd">
              <a:solidFill>
                <a:srgbClr val="106D9C"/>
              </a:solidFill>
              <a:round/>
            </a:ln>
            <a:effectLst/>
          </c:spPr>
          <c:marker>
            <c:symbol val="none"/>
          </c:marker>
          <c:dLbls>
            <c:dLbl>
              <c:idx val="6"/>
              <c:layout>
                <c:manualLayout>
                  <c:x val="-0.20447323364649655"/>
                  <c:y val="-4.1335328951649652E-2"/>
                </c:manualLayout>
              </c:layout>
              <c:tx>
                <c:rich>
                  <a:bodyPr/>
                  <a:lstStyle/>
                  <a:p>
                    <a:pPr>
                      <a:defRPr lang="ja-JP" sz="800">
                        <a:latin typeface="Times New Roman" panose="02020603050405020304" pitchFamily="18" charset="0"/>
                        <a:ea typeface="楷体" panose="02010609060101010101" pitchFamily="49" charset="-122"/>
                        <a:cs typeface="Times New Roman" panose="02020603050405020304" pitchFamily="18" charset="0"/>
                      </a:defRPr>
                    </a:pPr>
                    <a:r>
                      <a:rPr lang="zh-CN" altLang="en-US">
                        <a:latin typeface="Times New Roman" panose="02020603050405020304" pitchFamily="18" charset="0"/>
                        <a:cs typeface="Times New Roman" panose="02020603050405020304" pitchFamily="18" charset="0"/>
                      </a:rPr>
                      <a:t>日经</a:t>
                    </a:r>
                    <a:r>
                      <a:rPr lang="en-US" altLang="zh-CN">
                        <a:latin typeface="Times New Roman" panose="02020603050405020304" pitchFamily="18" charset="0"/>
                        <a:cs typeface="Times New Roman" panose="02020603050405020304" pitchFamily="18" charset="0"/>
                      </a:rPr>
                      <a:t>225</a:t>
                    </a:r>
                    <a:r>
                      <a:rPr lang="zh-CN" altLang="en-US">
                        <a:latin typeface="Times New Roman" panose="02020603050405020304" pitchFamily="18" charset="0"/>
                        <a:cs typeface="Times New Roman" panose="02020603050405020304" pitchFamily="18" charset="0"/>
                      </a:rPr>
                      <a:t>指数</a:t>
                    </a:r>
                    <a:endParaRPr lang="zh-CN" altLang="en-US"/>
                  </a:p>
                </c:rich>
              </c:tx>
              <c:spPr/>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A25B-418B-92CE-194155A5F15D}"/>
                </c:ext>
              </c:extLst>
            </c:dLbl>
            <c:spPr>
              <a:noFill/>
              <a:ln>
                <a:noFill/>
              </a:ln>
              <a:effectLst/>
            </c:spPr>
            <c:txPr>
              <a:bodyPr/>
              <a:lstStyle/>
              <a:p>
                <a:pPr>
                  <a:defRPr lang="ja-JP">
                    <a:latin typeface="Times New Roman" panose="02020603050405020304" pitchFamily="18" charset="0"/>
                    <a:cs typeface="Times New Roman" panose="02020603050405020304" pitchFamily="18" charset="0"/>
                  </a:defRPr>
                </a:pPr>
                <a:endParaRPr lang="zh-CN"/>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Sheet1!$B$75:$B$89</c:f>
              <c:strCache>
                <c:ptCount val="15"/>
                <c:pt idx="0">
                  <c:v>1月
2024</c:v>
                </c:pt>
                <c:pt idx="1">
                  <c:v>2月</c:v>
                </c:pt>
                <c:pt idx="2">
                  <c:v>3月</c:v>
                </c:pt>
                <c:pt idx="3">
                  <c:v>4月</c:v>
                </c:pt>
                <c:pt idx="4">
                  <c:v>5月</c:v>
                </c:pt>
                <c:pt idx="5">
                  <c:v>6月</c:v>
                </c:pt>
                <c:pt idx="6">
                  <c:v>7月</c:v>
                </c:pt>
                <c:pt idx="7">
                  <c:v>8月</c:v>
                </c:pt>
                <c:pt idx="8">
                  <c:v>9月</c:v>
                </c:pt>
                <c:pt idx="9">
                  <c:v>10月</c:v>
                </c:pt>
                <c:pt idx="10">
                  <c:v>11月</c:v>
                </c:pt>
                <c:pt idx="11">
                  <c:v>12月</c:v>
                </c:pt>
                <c:pt idx="12">
                  <c:v>1月
2025</c:v>
                </c:pt>
                <c:pt idx="13">
                  <c:v>2月</c:v>
                </c:pt>
                <c:pt idx="14">
                  <c:v>3月</c:v>
                </c:pt>
              </c:strCache>
            </c:strRef>
          </c:cat>
          <c:val>
            <c:numRef>
              <c:f>Sheet1!$E$75:$E$89</c:f>
              <c:numCache>
                <c:formatCode>#,##0.00_ </c:formatCode>
                <c:ptCount val="15"/>
                <c:pt idx="0">
                  <c:v>36286.71</c:v>
                </c:pt>
                <c:pt idx="1">
                  <c:v>39166.19</c:v>
                </c:pt>
                <c:pt idx="2">
                  <c:v>40369.440000000002</c:v>
                </c:pt>
                <c:pt idx="3">
                  <c:v>38405.660000000003</c:v>
                </c:pt>
                <c:pt idx="4">
                  <c:v>38487.9</c:v>
                </c:pt>
                <c:pt idx="5">
                  <c:v>39583.08</c:v>
                </c:pt>
                <c:pt idx="6">
                  <c:v>39101.82</c:v>
                </c:pt>
                <c:pt idx="7">
                  <c:v>38647.75</c:v>
                </c:pt>
                <c:pt idx="8">
                  <c:v>37919.550000000003</c:v>
                </c:pt>
                <c:pt idx="9">
                  <c:v>39081.25</c:v>
                </c:pt>
                <c:pt idx="10">
                  <c:v>38208.03</c:v>
                </c:pt>
                <c:pt idx="11">
                  <c:v>39894.54</c:v>
                </c:pt>
                <c:pt idx="12">
                  <c:v>39572.49</c:v>
                </c:pt>
                <c:pt idx="13">
                  <c:v>37155.5</c:v>
                </c:pt>
                <c:pt idx="14">
                  <c:v>35617.56</c:v>
                </c:pt>
              </c:numCache>
            </c:numRef>
          </c:val>
          <c:smooth val="0"/>
          <c:extLst xmlns:c16r2="http://schemas.microsoft.com/office/drawing/2015/06/chart">
            <c:ext xmlns:c16="http://schemas.microsoft.com/office/drawing/2014/chart" uri="{C3380CC4-5D6E-409C-BE32-E72D297353CC}">
              <c16:uniqueId val="{00000001-A25B-418B-92CE-194155A5F15D}"/>
            </c:ext>
          </c:extLst>
        </c:ser>
        <c:dLbls>
          <c:showLegendKey val="0"/>
          <c:showVal val="0"/>
          <c:showCatName val="0"/>
          <c:showSerName val="0"/>
          <c:showPercent val="0"/>
          <c:showBubbleSize val="0"/>
        </c:dLbls>
        <c:marker val="1"/>
        <c:smooth val="0"/>
        <c:axId val="374088448"/>
        <c:axId val="374089984"/>
      </c:lineChart>
      <c:lineChart>
        <c:grouping val="standard"/>
        <c:varyColors val="0"/>
        <c:ser>
          <c:idx val="1"/>
          <c:order val="1"/>
          <c:tx>
            <c:strRef>
              <c:f>Sheet1!$F$2</c:f>
              <c:strCache>
                <c:ptCount val="1"/>
                <c:pt idx="0">
                  <c:v>美元兑日元汇率</c:v>
                </c:pt>
              </c:strCache>
            </c:strRef>
          </c:tx>
          <c:spPr>
            <a:ln w="25400" cap="rnd">
              <a:solidFill>
                <a:srgbClr val="74A3BA"/>
              </a:solidFill>
              <a:prstDash val="dashDot"/>
              <a:round/>
            </a:ln>
            <a:effectLst/>
          </c:spPr>
          <c:marker>
            <c:symbol val="none"/>
          </c:marker>
          <c:dLbls>
            <c:dLbl>
              <c:idx val="9"/>
              <c:layout>
                <c:manualLayout>
                  <c:x val="9.8370813832643178E-2"/>
                  <c:y val="7.4751590571203966E-2"/>
                </c:manualLayout>
              </c:layout>
              <c:tx>
                <c:rich>
                  <a:bodyPr/>
                  <a:lstStyle/>
                  <a:p>
                    <a:pPr>
                      <a:defRPr lang="ja-JP" sz="800">
                        <a:latin typeface="楷体" panose="02010609060101010101" pitchFamily="49" charset="-122"/>
                        <a:ea typeface="楷体" panose="02010609060101010101" pitchFamily="49" charset="-122"/>
                      </a:defRPr>
                    </a:pPr>
                    <a:r>
                      <a:rPr lang="zh-CN" altLang="en-US"/>
                      <a:t>美元兑日元汇率（右轴）</a:t>
                    </a:r>
                  </a:p>
                </c:rich>
              </c:tx>
              <c:spPr/>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2-A25B-418B-92CE-194155A5F15D}"/>
                </c:ext>
              </c:extLst>
            </c:dLbl>
            <c:spPr>
              <a:noFill/>
              <a:ln>
                <a:noFill/>
              </a:ln>
              <a:effectLst/>
            </c:spPr>
            <c:txPr>
              <a:bodyPr/>
              <a:lstStyle/>
              <a:p>
                <a:pPr>
                  <a:defRPr lang="ja-JP"/>
                </a:pPr>
                <a:endParaRPr lang="zh-CN"/>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Sheet1!$B$75:$B$89</c:f>
              <c:strCache>
                <c:ptCount val="15"/>
                <c:pt idx="0">
                  <c:v>1月
2024</c:v>
                </c:pt>
                <c:pt idx="1">
                  <c:v>2月</c:v>
                </c:pt>
                <c:pt idx="2">
                  <c:v>3月</c:v>
                </c:pt>
                <c:pt idx="3">
                  <c:v>4月</c:v>
                </c:pt>
                <c:pt idx="4">
                  <c:v>5月</c:v>
                </c:pt>
                <c:pt idx="5">
                  <c:v>6月</c:v>
                </c:pt>
                <c:pt idx="6">
                  <c:v>7月</c:v>
                </c:pt>
                <c:pt idx="7">
                  <c:v>8月</c:v>
                </c:pt>
                <c:pt idx="8">
                  <c:v>9月</c:v>
                </c:pt>
                <c:pt idx="9">
                  <c:v>10月</c:v>
                </c:pt>
                <c:pt idx="10">
                  <c:v>11月</c:v>
                </c:pt>
                <c:pt idx="11">
                  <c:v>12月</c:v>
                </c:pt>
                <c:pt idx="12">
                  <c:v>1月
2025</c:v>
                </c:pt>
                <c:pt idx="13">
                  <c:v>2月</c:v>
                </c:pt>
                <c:pt idx="14">
                  <c:v>3月</c:v>
                </c:pt>
              </c:strCache>
            </c:strRef>
          </c:cat>
          <c:val>
            <c:numRef>
              <c:f>Sheet1!$F$75:$F$89</c:f>
              <c:numCache>
                <c:formatCode>#,##0.0000_ </c:formatCode>
                <c:ptCount val="15"/>
                <c:pt idx="0">
                  <c:v>146.94450000000001</c:v>
                </c:pt>
                <c:pt idx="1">
                  <c:v>149.97800000000001</c:v>
                </c:pt>
                <c:pt idx="2">
                  <c:v>151.34199999999998</c:v>
                </c:pt>
                <c:pt idx="3">
                  <c:v>157.8005</c:v>
                </c:pt>
                <c:pt idx="4">
                  <c:v>157.3305</c:v>
                </c:pt>
                <c:pt idx="5">
                  <c:v>160.88200000000001</c:v>
                </c:pt>
                <c:pt idx="6">
                  <c:v>149.9855</c:v>
                </c:pt>
                <c:pt idx="7">
                  <c:v>146.21300000000002</c:v>
                </c:pt>
                <c:pt idx="8">
                  <c:v>143.637</c:v>
                </c:pt>
                <c:pt idx="9">
                  <c:v>152.03549999999998</c:v>
                </c:pt>
                <c:pt idx="10">
                  <c:v>149.77949999999998</c:v>
                </c:pt>
                <c:pt idx="11">
                  <c:v>157.1995</c:v>
                </c:pt>
                <c:pt idx="12">
                  <c:v>155.2045</c:v>
                </c:pt>
                <c:pt idx="13">
                  <c:v>150.63</c:v>
                </c:pt>
                <c:pt idx="14">
                  <c:v>149.9795</c:v>
                </c:pt>
              </c:numCache>
            </c:numRef>
          </c:val>
          <c:smooth val="0"/>
          <c:extLst xmlns:c16r2="http://schemas.microsoft.com/office/drawing/2015/06/chart">
            <c:ext xmlns:c16="http://schemas.microsoft.com/office/drawing/2014/chart" uri="{C3380CC4-5D6E-409C-BE32-E72D297353CC}">
              <c16:uniqueId val="{00000003-A25B-418B-92CE-194155A5F15D}"/>
            </c:ext>
          </c:extLst>
        </c:ser>
        <c:ser>
          <c:idx val="2"/>
          <c:order val="2"/>
          <c:tx>
            <c:strRef>
              <c:f>Sheet1!$G$2</c:f>
              <c:strCache>
                <c:ptCount val="1"/>
                <c:pt idx="0">
                  <c:v>实际有效汇率</c:v>
                </c:pt>
              </c:strCache>
            </c:strRef>
          </c:tx>
          <c:spPr>
            <a:ln w="25400">
              <a:solidFill>
                <a:srgbClr val="106D9C"/>
              </a:solidFill>
              <a:prstDash val="dash"/>
            </a:ln>
          </c:spPr>
          <c:marker>
            <c:symbol val="none"/>
          </c:marker>
          <c:dLbls>
            <c:dLbl>
              <c:idx val="6"/>
              <c:layout>
                <c:manualLayout>
                  <c:x val="0.16960219744261565"/>
                  <c:y val="-9.8745063097246399E-2"/>
                </c:manualLayout>
              </c:layout>
              <c:tx>
                <c:rich>
                  <a:bodyPr/>
                  <a:lstStyle/>
                  <a:p>
                    <a:pPr>
                      <a:defRPr lang="ja-JP" sz="800" baseline="0">
                        <a:latin typeface="Times New Roman" panose="02020603050405020304" pitchFamily="18" charset="0"/>
                        <a:ea typeface="楷体" panose="02010609060101010101" pitchFamily="49" charset="-122"/>
                      </a:defRPr>
                    </a:pPr>
                    <a:r>
                      <a:rPr lang="zh-CN" altLang="en-US"/>
                      <a:t>实际有效汇率（右轴）</a:t>
                    </a:r>
                  </a:p>
                </c:rich>
              </c:tx>
              <c:spPr/>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4-A25B-418B-92CE-194155A5F15D}"/>
                </c:ext>
              </c:extLst>
            </c:dLbl>
            <c:spPr>
              <a:noFill/>
              <a:ln>
                <a:noFill/>
              </a:ln>
              <a:effectLst/>
            </c:spPr>
            <c:txPr>
              <a:bodyPr/>
              <a:lstStyle/>
              <a:p>
                <a:pPr>
                  <a:defRPr lang="ja-JP"/>
                </a:pPr>
                <a:endParaRPr lang="zh-CN"/>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strRef>
              <c:f>Sheet1!$B$75:$B$89</c:f>
              <c:strCache>
                <c:ptCount val="15"/>
                <c:pt idx="0">
                  <c:v>1月
2024</c:v>
                </c:pt>
                <c:pt idx="1">
                  <c:v>2月</c:v>
                </c:pt>
                <c:pt idx="2">
                  <c:v>3月</c:v>
                </c:pt>
                <c:pt idx="3">
                  <c:v>4月</c:v>
                </c:pt>
                <c:pt idx="4">
                  <c:v>5月</c:v>
                </c:pt>
                <c:pt idx="5">
                  <c:v>6月</c:v>
                </c:pt>
                <c:pt idx="6">
                  <c:v>7月</c:v>
                </c:pt>
                <c:pt idx="7">
                  <c:v>8月</c:v>
                </c:pt>
                <c:pt idx="8">
                  <c:v>9月</c:v>
                </c:pt>
                <c:pt idx="9">
                  <c:v>10月</c:v>
                </c:pt>
                <c:pt idx="10">
                  <c:v>11月</c:v>
                </c:pt>
                <c:pt idx="11">
                  <c:v>12月</c:v>
                </c:pt>
                <c:pt idx="12">
                  <c:v>1月
2025</c:v>
                </c:pt>
                <c:pt idx="13">
                  <c:v>2月</c:v>
                </c:pt>
                <c:pt idx="14">
                  <c:v>3月</c:v>
                </c:pt>
              </c:strCache>
            </c:strRef>
          </c:cat>
          <c:val>
            <c:numRef>
              <c:f>Sheet1!$G$75:$G$89</c:f>
              <c:numCache>
                <c:formatCode>#,##0.00_ </c:formatCode>
                <c:ptCount val="15"/>
                <c:pt idx="0">
                  <c:v>72.58</c:v>
                </c:pt>
                <c:pt idx="1">
                  <c:v>70.72</c:v>
                </c:pt>
                <c:pt idx="2">
                  <c:v>70.81</c:v>
                </c:pt>
                <c:pt idx="3">
                  <c:v>69.87</c:v>
                </c:pt>
                <c:pt idx="4">
                  <c:v>68.900000000000006</c:v>
                </c:pt>
                <c:pt idx="5">
                  <c:v>68.37</c:v>
                </c:pt>
                <c:pt idx="6">
                  <c:v>68.27</c:v>
                </c:pt>
                <c:pt idx="7">
                  <c:v>72.87</c:v>
                </c:pt>
                <c:pt idx="8">
                  <c:v>73.489999999999995</c:v>
                </c:pt>
                <c:pt idx="9">
                  <c:v>71.23</c:v>
                </c:pt>
                <c:pt idx="10">
                  <c:v>71.11</c:v>
                </c:pt>
                <c:pt idx="11">
                  <c:v>71.84</c:v>
                </c:pt>
                <c:pt idx="12">
                  <c:v>71.34</c:v>
                </c:pt>
                <c:pt idx="13">
                  <c:v>72.83</c:v>
                </c:pt>
              </c:numCache>
            </c:numRef>
          </c:val>
          <c:smooth val="0"/>
          <c:extLst xmlns:c16r2="http://schemas.microsoft.com/office/drawing/2015/06/chart">
            <c:ext xmlns:c16="http://schemas.microsoft.com/office/drawing/2014/chart" uri="{C3380CC4-5D6E-409C-BE32-E72D297353CC}">
              <c16:uniqueId val="{00000005-A25B-418B-92CE-194155A5F15D}"/>
            </c:ext>
          </c:extLst>
        </c:ser>
        <c:dLbls>
          <c:showLegendKey val="0"/>
          <c:showVal val="0"/>
          <c:showCatName val="0"/>
          <c:showSerName val="0"/>
          <c:showPercent val="0"/>
          <c:showBubbleSize val="0"/>
        </c:dLbls>
        <c:marker val="1"/>
        <c:smooth val="0"/>
        <c:axId val="374097408"/>
        <c:axId val="374095872"/>
      </c:lineChart>
      <c:catAx>
        <c:axId val="374088448"/>
        <c:scaling>
          <c:orientation val="minMax"/>
        </c:scaling>
        <c:delete val="0"/>
        <c:axPos val="b"/>
        <c:numFmt formatCode="General" sourceLinked="1"/>
        <c:majorTickMark val="out"/>
        <c:minorTickMark val="out"/>
        <c:tickLblPos val="low"/>
        <c:spPr>
          <a:noFill/>
          <a:ln w="15875" cap="flat" cmpd="sng" algn="ctr">
            <a:solidFill>
              <a:sysClr val="windowText" lastClr="000000"/>
            </a:solidFill>
            <a:round/>
          </a:ln>
          <a:effectLst/>
        </c:spPr>
        <c:txPr>
          <a:bodyPr rot="0" spcFirstLastPara="1" vertOverflow="ellipsis" wrap="square" anchor="ctr" anchorCtr="1"/>
          <a:lstStyle/>
          <a:p>
            <a:pPr>
              <a:defRPr lang="ja-JP" sz="900" b="0" i="0" u="none" strike="noStrike" kern="1200" baseline="0">
                <a:solidFill>
                  <a:sysClr val="windowText" lastClr="000000"/>
                </a:solidFill>
                <a:latin typeface="Times New Roman" panose="02020603050405020304" pitchFamily="18" charset="0"/>
                <a:ea typeface="楷体" panose="02010609060101010101" pitchFamily="49" charset="-122"/>
                <a:cs typeface="Times New Roman" panose="02020603050405020304" pitchFamily="18" charset="0"/>
              </a:defRPr>
            </a:pPr>
            <a:endParaRPr lang="zh-CN"/>
          </a:p>
        </c:txPr>
        <c:crossAx val="374089984"/>
        <c:crosses val="autoZero"/>
        <c:auto val="1"/>
        <c:lblAlgn val="ctr"/>
        <c:lblOffset val="100"/>
        <c:tickLblSkip val="3"/>
        <c:tickMarkSkip val="2"/>
        <c:noMultiLvlLbl val="0"/>
      </c:catAx>
      <c:valAx>
        <c:axId val="374089984"/>
        <c:scaling>
          <c:orientation val="minMax"/>
          <c:min val="15000"/>
        </c:scaling>
        <c:delete val="0"/>
        <c:axPos val="l"/>
        <c:numFmt formatCode="0_ " sourceLinked="0"/>
        <c:majorTickMark val="out"/>
        <c:minorTickMark val="none"/>
        <c:tickLblPos val="nextTo"/>
        <c:spPr>
          <a:noFill/>
          <a:ln w="15875">
            <a:solidFill>
              <a:sysClr val="windowText" lastClr="000000"/>
            </a:solidFill>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zh-CN"/>
          </a:p>
        </c:txPr>
        <c:crossAx val="374088448"/>
        <c:crosses val="autoZero"/>
        <c:crossBetween val="between"/>
      </c:valAx>
      <c:valAx>
        <c:axId val="374095872"/>
        <c:scaling>
          <c:orientation val="minMax"/>
          <c:max val="200"/>
          <c:min val="50"/>
        </c:scaling>
        <c:delete val="0"/>
        <c:axPos val="r"/>
        <c:numFmt formatCode="#,##0_);[Red]\(#,##0\)" sourceLinked="0"/>
        <c:majorTickMark val="out"/>
        <c:minorTickMark val="none"/>
        <c:tickLblPos val="nextTo"/>
        <c:spPr>
          <a:ln w="15875">
            <a:solidFill>
              <a:sysClr val="windowText" lastClr="000000"/>
            </a:solidFill>
          </a:ln>
        </c:spPr>
        <c:txPr>
          <a:bodyPr/>
          <a:lstStyle/>
          <a:p>
            <a:pPr>
              <a:defRPr lang="ja-JP">
                <a:latin typeface="Times New Roman" panose="02020603050405020304" pitchFamily="18" charset="0"/>
                <a:cs typeface="Times New Roman" panose="02020603050405020304" pitchFamily="18" charset="0"/>
              </a:defRPr>
            </a:pPr>
            <a:endParaRPr lang="zh-CN"/>
          </a:p>
        </c:txPr>
        <c:crossAx val="374097408"/>
        <c:crosses val="max"/>
        <c:crossBetween val="between"/>
      </c:valAx>
      <c:catAx>
        <c:axId val="374097408"/>
        <c:scaling>
          <c:orientation val="minMax"/>
        </c:scaling>
        <c:delete val="1"/>
        <c:axPos val="b"/>
        <c:numFmt formatCode="General" sourceLinked="1"/>
        <c:majorTickMark val="out"/>
        <c:minorTickMark val="none"/>
        <c:tickLblPos val="none"/>
        <c:crossAx val="374095872"/>
        <c:crosses val="autoZero"/>
        <c:auto val="1"/>
        <c:lblAlgn val="ctr"/>
        <c:lblOffset val="100"/>
        <c:noMultiLvlLbl val="0"/>
      </c:catAx>
      <c:spPr>
        <a:noFill/>
        <a:ln w="25400">
          <a:noFill/>
        </a:ln>
      </c:spPr>
    </c:plotArea>
    <c:plotVisOnly val="1"/>
    <c:dispBlanksAs val="gap"/>
    <c:showDLblsOverMax val="0"/>
  </c:chart>
  <c:spPr>
    <a:solidFill>
      <a:srgbClr val="FFFFFF"/>
    </a:solidFill>
    <a:ln w="3175">
      <a:solidFill>
        <a:srgbClr val="FFFFFF"/>
      </a:solidFill>
      <a:prstDash val="solid"/>
    </a:ln>
  </c:spPr>
  <c:txPr>
    <a:bodyPr/>
    <a:lstStyle/>
    <a:p>
      <a:pPr>
        <a:defRPr/>
      </a:pPr>
      <a:endParaRPr lang="zh-CN"/>
    </a:p>
  </c:txPr>
  <c:externalData r:id="rId2">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8891203703703713E-2"/>
          <c:y val="2.9295370370370451E-2"/>
          <c:w val="0.90797500000000064"/>
          <c:h val="0.69722640212524845"/>
        </c:manualLayout>
      </c:layout>
      <c:lineChart>
        <c:grouping val="standard"/>
        <c:varyColors val="0"/>
        <c:ser>
          <c:idx val="0"/>
          <c:order val="0"/>
          <c:tx>
            <c:strRef>
              <c:f>Sheet1!$C$1</c:f>
              <c:strCache>
                <c:ptCount val="1"/>
              </c:strCache>
            </c:strRef>
          </c:tx>
          <c:spPr>
            <a:ln w="22225" cap="rnd">
              <a:solidFill>
                <a:srgbClr val="106D9C"/>
              </a:solidFill>
              <a:round/>
            </a:ln>
            <a:effectLst/>
          </c:spPr>
          <c:marker>
            <c:symbol val="none"/>
          </c:marker>
          <c:dLbls>
            <c:dLbl>
              <c:idx val="6"/>
              <c:layout>
                <c:manualLayout>
                  <c:x val="0.26164351851851819"/>
                  <c:y val="-0.36341080086942029"/>
                </c:manualLayout>
              </c:layout>
              <c:tx>
                <c:rich>
                  <a:bodyPr/>
                  <a:lstStyle/>
                  <a:p>
                    <a:pPr>
                      <a:defRPr lang="ja-JP" sz="800">
                        <a:latin typeface="Times New Roman" panose="02020603050405020304" pitchFamily="18" charset="0"/>
                        <a:ea typeface="楷体" panose="02010609060101010101" pitchFamily="49" charset="-122"/>
                        <a:cs typeface="Times New Roman" panose="02020603050405020304" pitchFamily="18" charset="0"/>
                      </a:defRPr>
                    </a:pPr>
                    <a:r>
                      <a:rPr lang="en-US" altLang="zh-CN">
                        <a:latin typeface="Times New Roman" panose="02020603050405020304" pitchFamily="18" charset="0"/>
                        <a:cs typeface="Times New Roman" panose="02020603050405020304" pitchFamily="18" charset="0"/>
                      </a:rPr>
                      <a:t>10</a:t>
                    </a:r>
                    <a:r>
                      <a:rPr lang="zh-CN" altLang="en-US">
                        <a:latin typeface="Times New Roman" panose="02020603050405020304" pitchFamily="18" charset="0"/>
                        <a:cs typeface="Times New Roman" panose="02020603050405020304" pitchFamily="18" charset="0"/>
                      </a:rPr>
                      <a:t>年期国债收益率</a:t>
                    </a:r>
                  </a:p>
                </c:rich>
              </c:tx>
              <c:spPr/>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9BAD-495B-9058-3D16AB7FB3E8}"/>
                </c:ext>
              </c:extLst>
            </c:dLbl>
            <c:spPr>
              <a:noFill/>
              <a:ln>
                <a:noFill/>
              </a:ln>
              <a:effectLst/>
            </c:spPr>
            <c:txPr>
              <a:bodyPr/>
              <a:lstStyle/>
              <a:p>
                <a:pPr>
                  <a:defRPr lang="ja-JP"/>
                </a:pPr>
                <a:endParaRPr lang="zh-CN"/>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0"/>
              </c:ext>
            </c:extLst>
          </c:dLbls>
          <c:cat>
            <c:numRef>
              <c:f>Sheet1!$B$318:$B$887</c:f>
              <c:numCache>
                <c:formatCode>m/d/yy</c:formatCode>
                <c:ptCount val="570"/>
                <c:pt idx="0">
                  <c:v>45018</c:v>
                </c:pt>
                <c:pt idx="1">
                  <c:v>45019</c:v>
                </c:pt>
                <c:pt idx="2">
                  <c:v>45020</c:v>
                </c:pt>
                <c:pt idx="3">
                  <c:v>45021</c:v>
                </c:pt>
                <c:pt idx="4">
                  <c:v>45022</c:v>
                </c:pt>
                <c:pt idx="5">
                  <c:v>45023</c:v>
                </c:pt>
                <c:pt idx="6">
                  <c:v>45025</c:v>
                </c:pt>
                <c:pt idx="7">
                  <c:v>45026</c:v>
                </c:pt>
                <c:pt idx="8">
                  <c:v>45027</c:v>
                </c:pt>
                <c:pt idx="9">
                  <c:v>45028</c:v>
                </c:pt>
                <c:pt idx="10">
                  <c:v>45029</c:v>
                </c:pt>
                <c:pt idx="11">
                  <c:v>45030</c:v>
                </c:pt>
                <c:pt idx="12">
                  <c:v>45032</c:v>
                </c:pt>
                <c:pt idx="13">
                  <c:v>45033</c:v>
                </c:pt>
                <c:pt idx="14">
                  <c:v>45034</c:v>
                </c:pt>
                <c:pt idx="15">
                  <c:v>45035</c:v>
                </c:pt>
                <c:pt idx="16">
                  <c:v>45036</c:v>
                </c:pt>
                <c:pt idx="17">
                  <c:v>45037</c:v>
                </c:pt>
                <c:pt idx="18">
                  <c:v>45039</c:v>
                </c:pt>
                <c:pt idx="19">
                  <c:v>45040</c:v>
                </c:pt>
                <c:pt idx="20">
                  <c:v>45041</c:v>
                </c:pt>
                <c:pt idx="21">
                  <c:v>45042</c:v>
                </c:pt>
                <c:pt idx="22">
                  <c:v>45043</c:v>
                </c:pt>
                <c:pt idx="23">
                  <c:v>45044</c:v>
                </c:pt>
                <c:pt idx="24">
                  <c:v>45046</c:v>
                </c:pt>
                <c:pt idx="25">
                  <c:v>45047</c:v>
                </c:pt>
                <c:pt idx="26">
                  <c:v>45048</c:v>
                </c:pt>
                <c:pt idx="27">
                  <c:v>45053</c:v>
                </c:pt>
                <c:pt idx="28">
                  <c:v>45054</c:v>
                </c:pt>
                <c:pt idx="29">
                  <c:v>45055</c:v>
                </c:pt>
                <c:pt idx="30">
                  <c:v>45056</c:v>
                </c:pt>
                <c:pt idx="31">
                  <c:v>45057</c:v>
                </c:pt>
                <c:pt idx="32">
                  <c:v>45058</c:v>
                </c:pt>
                <c:pt idx="33">
                  <c:v>45060</c:v>
                </c:pt>
                <c:pt idx="34">
                  <c:v>45061</c:v>
                </c:pt>
                <c:pt idx="35">
                  <c:v>45062</c:v>
                </c:pt>
                <c:pt idx="36">
                  <c:v>45063</c:v>
                </c:pt>
                <c:pt idx="37">
                  <c:v>45064</c:v>
                </c:pt>
                <c:pt idx="38">
                  <c:v>45065</c:v>
                </c:pt>
                <c:pt idx="39">
                  <c:v>45067</c:v>
                </c:pt>
                <c:pt idx="40">
                  <c:v>45068</c:v>
                </c:pt>
                <c:pt idx="41">
                  <c:v>45069</c:v>
                </c:pt>
                <c:pt idx="42">
                  <c:v>45070</c:v>
                </c:pt>
                <c:pt idx="43">
                  <c:v>45071</c:v>
                </c:pt>
                <c:pt idx="44">
                  <c:v>45072</c:v>
                </c:pt>
                <c:pt idx="45">
                  <c:v>45075</c:v>
                </c:pt>
                <c:pt idx="46">
                  <c:v>45076</c:v>
                </c:pt>
                <c:pt idx="47">
                  <c:v>45077</c:v>
                </c:pt>
                <c:pt idx="48">
                  <c:v>45078</c:v>
                </c:pt>
                <c:pt idx="49">
                  <c:v>45079</c:v>
                </c:pt>
                <c:pt idx="50">
                  <c:v>45081</c:v>
                </c:pt>
                <c:pt idx="51">
                  <c:v>45082</c:v>
                </c:pt>
                <c:pt idx="52">
                  <c:v>45083</c:v>
                </c:pt>
                <c:pt idx="53">
                  <c:v>45084</c:v>
                </c:pt>
                <c:pt idx="54">
                  <c:v>45085</c:v>
                </c:pt>
                <c:pt idx="55">
                  <c:v>45086</c:v>
                </c:pt>
                <c:pt idx="56">
                  <c:v>45088</c:v>
                </c:pt>
                <c:pt idx="57">
                  <c:v>45089</c:v>
                </c:pt>
                <c:pt idx="58">
                  <c:v>45090</c:v>
                </c:pt>
                <c:pt idx="59">
                  <c:v>45091</c:v>
                </c:pt>
                <c:pt idx="60">
                  <c:v>45092</c:v>
                </c:pt>
                <c:pt idx="61">
                  <c:v>45093</c:v>
                </c:pt>
                <c:pt idx="62">
                  <c:v>45095</c:v>
                </c:pt>
                <c:pt idx="63">
                  <c:v>45096</c:v>
                </c:pt>
                <c:pt idx="64">
                  <c:v>45097</c:v>
                </c:pt>
                <c:pt idx="65">
                  <c:v>45098</c:v>
                </c:pt>
                <c:pt idx="66">
                  <c:v>45099</c:v>
                </c:pt>
                <c:pt idx="67">
                  <c:v>45100</c:v>
                </c:pt>
                <c:pt idx="68">
                  <c:v>45102</c:v>
                </c:pt>
                <c:pt idx="69">
                  <c:v>45103</c:v>
                </c:pt>
                <c:pt idx="70">
                  <c:v>45104</c:v>
                </c:pt>
                <c:pt idx="71">
                  <c:v>45105</c:v>
                </c:pt>
                <c:pt idx="72">
                  <c:v>45106</c:v>
                </c:pt>
                <c:pt idx="73">
                  <c:v>45107</c:v>
                </c:pt>
                <c:pt idx="74">
                  <c:v>45109</c:v>
                </c:pt>
                <c:pt idx="75">
                  <c:v>45110</c:v>
                </c:pt>
                <c:pt idx="76">
                  <c:v>45111</c:v>
                </c:pt>
                <c:pt idx="77">
                  <c:v>45112</c:v>
                </c:pt>
                <c:pt idx="78">
                  <c:v>45113</c:v>
                </c:pt>
                <c:pt idx="79">
                  <c:v>45114</c:v>
                </c:pt>
                <c:pt idx="80">
                  <c:v>45116</c:v>
                </c:pt>
                <c:pt idx="81">
                  <c:v>45117</c:v>
                </c:pt>
                <c:pt idx="82">
                  <c:v>45118</c:v>
                </c:pt>
                <c:pt idx="83">
                  <c:v>45119</c:v>
                </c:pt>
                <c:pt idx="84">
                  <c:v>45120</c:v>
                </c:pt>
                <c:pt idx="85">
                  <c:v>45121</c:v>
                </c:pt>
                <c:pt idx="86">
                  <c:v>45124</c:v>
                </c:pt>
                <c:pt idx="87">
                  <c:v>45125</c:v>
                </c:pt>
                <c:pt idx="88">
                  <c:v>45126</c:v>
                </c:pt>
                <c:pt idx="89">
                  <c:v>45127</c:v>
                </c:pt>
                <c:pt idx="90">
                  <c:v>45128</c:v>
                </c:pt>
                <c:pt idx="91">
                  <c:v>45130</c:v>
                </c:pt>
                <c:pt idx="92">
                  <c:v>45131</c:v>
                </c:pt>
                <c:pt idx="93">
                  <c:v>45132</c:v>
                </c:pt>
                <c:pt idx="94">
                  <c:v>45133</c:v>
                </c:pt>
                <c:pt idx="95">
                  <c:v>45134</c:v>
                </c:pt>
                <c:pt idx="96">
                  <c:v>45135</c:v>
                </c:pt>
                <c:pt idx="97">
                  <c:v>45137</c:v>
                </c:pt>
                <c:pt idx="98">
                  <c:v>45138</c:v>
                </c:pt>
                <c:pt idx="99">
                  <c:v>45139</c:v>
                </c:pt>
                <c:pt idx="100">
                  <c:v>45140</c:v>
                </c:pt>
                <c:pt idx="101">
                  <c:v>45141</c:v>
                </c:pt>
                <c:pt idx="102">
                  <c:v>45142</c:v>
                </c:pt>
                <c:pt idx="103">
                  <c:v>45144</c:v>
                </c:pt>
                <c:pt idx="104">
                  <c:v>45145</c:v>
                </c:pt>
                <c:pt idx="105">
                  <c:v>45146</c:v>
                </c:pt>
                <c:pt idx="106">
                  <c:v>45147</c:v>
                </c:pt>
                <c:pt idx="107">
                  <c:v>45148</c:v>
                </c:pt>
                <c:pt idx="108">
                  <c:v>45151</c:v>
                </c:pt>
                <c:pt idx="109">
                  <c:v>45152</c:v>
                </c:pt>
                <c:pt idx="110">
                  <c:v>45153</c:v>
                </c:pt>
                <c:pt idx="111">
                  <c:v>45154</c:v>
                </c:pt>
                <c:pt idx="112">
                  <c:v>45155</c:v>
                </c:pt>
                <c:pt idx="113">
                  <c:v>45156</c:v>
                </c:pt>
                <c:pt idx="114">
                  <c:v>45158</c:v>
                </c:pt>
                <c:pt idx="115">
                  <c:v>45159</c:v>
                </c:pt>
                <c:pt idx="116">
                  <c:v>45160</c:v>
                </c:pt>
                <c:pt idx="117">
                  <c:v>45161</c:v>
                </c:pt>
                <c:pt idx="118">
                  <c:v>45162</c:v>
                </c:pt>
                <c:pt idx="119">
                  <c:v>45163</c:v>
                </c:pt>
                <c:pt idx="120">
                  <c:v>45165</c:v>
                </c:pt>
                <c:pt idx="121">
                  <c:v>45166</c:v>
                </c:pt>
                <c:pt idx="122">
                  <c:v>45167</c:v>
                </c:pt>
                <c:pt idx="123">
                  <c:v>45168</c:v>
                </c:pt>
                <c:pt idx="124">
                  <c:v>45169</c:v>
                </c:pt>
                <c:pt idx="125">
                  <c:v>45170</c:v>
                </c:pt>
                <c:pt idx="126">
                  <c:v>45172</c:v>
                </c:pt>
                <c:pt idx="127">
                  <c:v>45173</c:v>
                </c:pt>
                <c:pt idx="128">
                  <c:v>45174</c:v>
                </c:pt>
                <c:pt idx="129">
                  <c:v>45175</c:v>
                </c:pt>
                <c:pt idx="130">
                  <c:v>45176</c:v>
                </c:pt>
                <c:pt idx="131">
                  <c:v>45177</c:v>
                </c:pt>
                <c:pt idx="132">
                  <c:v>45179</c:v>
                </c:pt>
                <c:pt idx="133">
                  <c:v>45180</c:v>
                </c:pt>
                <c:pt idx="134">
                  <c:v>45181</c:v>
                </c:pt>
                <c:pt idx="135">
                  <c:v>45182</c:v>
                </c:pt>
                <c:pt idx="136">
                  <c:v>45183</c:v>
                </c:pt>
                <c:pt idx="137">
                  <c:v>45184</c:v>
                </c:pt>
                <c:pt idx="138">
                  <c:v>45187</c:v>
                </c:pt>
                <c:pt idx="139">
                  <c:v>45188</c:v>
                </c:pt>
                <c:pt idx="140">
                  <c:v>45189</c:v>
                </c:pt>
                <c:pt idx="141">
                  <c:v>45190</c:v>
                </c:pt>
                <c:pt idx="142">
                  <c:v>45191</c:v>
                </c:pt>
                <c:pt idx="143">
                  <c:v>45193</c:v>
                </c:pt>
                <c:pt idx="144">
                  <c:v>45194</c:v>
                </c:pt>
                <c:pt idx="145">
                  <c:v>45195</c:v>
                </c:pt>
                <c:pt idx="146">
                  <c:v>45196</c:v>
                </c:pt>
                <c:pt idx="147">
                  <c:v>45197</c:v>
                </c:pt>
                <c:pt idx="148">
                  <c:v>45198</c:v>
                </c:pt>
                <c:pt idx="149">
                  <c:v>45200</c:v>
                </c:pt>
                <c:pt idx="150">
                  <c:v>45201</c:v>
                </c:pt>
                <c:pt idx="151">
                  <c:v>45202</c:v>
                </c:pt>
                <c:pt idx="152">
                  <c:v>45203</c:v>
                </c:pt>
                <c:pt idx="153">
                  <c:v>45204</c:v>
                </c:pt>
                <c:pt idx="154">
                  <c:v>45205</c:v>
                </c:pt>
                <c:pt idx="155">
                  <c:v>45208</c:v>
                </c:pt>
                <c:pt idx="156">
                  <c:v>45209</c:v>
                </c:pt>
                <c:pt idx="157">
                  <c:v>45210</c:v>
                </c:pt>
                <c:pt idx="158">
                  <c:v>45211</c:v>
                </c:pt>
                <c:pt idx="159">
                  <c:v>45212</c:v>
                </c:pt>
                <c:pt idx="160">
                  <c:v>45214</c:v>
                </c:pt>
                <c:pt idx="161">
                  <c:v>45215</c:v>
                </c:pt>
                <c:pt idx="162">
                  <c:v>45216</c:v>
                </c:pt>
                <c:pt idx="163">
                  <c:v>45217</c:v>
                </c:pt>
                <c:pt idx="164">
                  <c:v>45218</c:v>
                </c:pt>
                <c:pt idx="165">
                  <c:v>45219</c:v>
                </c:pt>
                <c:pt idx="166">
                  <c:v>45221</c:v>
                </c:pt>
                <c:pt idx="167">
                  <c:v>45222</c:v>
                </c:pt>
                <c:pt idx="168">
                  <c:v>45223</c:v>
                </c:pt>
                <c:pt idx="169">
                  <c:v>45224</c:v>
                </c:pt>
                <c:pt idx="170">
                  <c:v>45225</c:v>
                </c:pt>
                <c:pt idx="171">
                  <c:v>45226</c:v>
                </c:pt>
                <c:pt idx="172">
                  <c:v>45228</c:v>
                </c:pt>
                <c:pt idx="173">
                  <c:v>45229</c:v>
                </c:pt>
                <c:pt idx="174">
                  <c:v>45230</c:v>
                </c:pt>
                <c:pt idx="175">
                  <c:v>45231</c:v>
                </c:pt>
                <c:pt idx="176">
                  <c:v>45232</c:v>
                </c:pt>
                <c:pt idx="177">
                  <c:v>45235</c:v>
                </c:pt>
                <c:pt idx="178">
                  <c:v>45236</c:v>
                </c:pt>
                <c:pt idx="179">
                  <c:v>45237</c:v>
                </c:pt>
                <c:pt idx="180">
                  <c:v>45238</c:v>
                </c:pt>
                <c:pt idx="181">
                  <c:v>45239</c:v>
                </c:pt>
                <c:pt idx="182">
                  <c:v>45240</c:v>
                </c:pt>
                <c:pt idx="183">
                  <c:v>45242</c:v>
                </c:pt>
                <c:pt idx="184">
                  <c:v>45243</c:v>
                </c:pt>
                <c:pt idx="185">
                  <c:v>45244</c:v>
                </c:pt>
                <c:pt idx="186">
                  <c:v>45245</c:v>
                </c:pt>
                <c:pt idx="187">
                  <c:v>45246</c:v>
                </c:pt>
                <c:pt idx="188">
                  <c:v>45247</c:v>
                </c:pt>
                <c:pt idx="189">
                  <c:v>45249</c:v>
                </c:pt>
                <c:pt idx="190">
                  <c:v>45250</c:v>
                </c:pt>
                <c:pt idx="191">
                  <c:v>45251</c:v>
                </c:pt>
                <c:pt idx="192">
                  <c:v>45252</c:v>
                </c:pt>
                <c:pt idx="193">
                  <c:v>45253</c:v>
                </c:pt>
                <c:pt idx="194">
                  <c:v>45254</c:v>
                </c:pt>
                <c:pt idx="195">
                  <c:v>45256</c:v>
                </c:pt>
                <c:pt idx="196">
                  <c:v>45257</c:v>
                </c:pt>
                <c:pt idx="197">
                  <c:v>45258</c:v>
                </c:pt>
                <c:pt idx="198">
                  <c:v>45259</c:v>
                </c:pt>
                <c:pt idx="199">
                  <c:v>45260</c:v>
                </c:pt>
                <c:pt idx="200">
                  <c:v>45261</c:v>
                </c:pt>
                <c:pt idx="201">
                  <c:v>45263</c:v>
                </c:pt>
                <c:pt idx="202">
                  <c:v>45264</c:v>
                </c:pt>
                <c:pt idx="203">
                  <c:v>45265</c:v>
                </c:pt>
                <c:pt idx="204">
                  <c:v>45266</c:v>
                </c:pt>
                <c:pt idx="205">
                  <c:v>45267</c:v>
                </c:pt>
                <c:pt idx="206">
                  <c:v>45268</c:v>
                </c:pt>
                <c:pt idx="207">
                  <c:v>45270</c:v>
                </c:pt>
                <c:pt idx="208">
                  <c:v>45271</c:v>
                </c:pt>
                <c:pt idx="209">
                  <c:v>45272</c:v>
                </c:pt>
                <c:pt idx="210">
                  <c:v>45273</c:v>
                </c:pt>
                <c:pt idx="211">
                  <c:v>45274</c:v>
                </c:pt>
                <c:pt idx="212">
                  <c:v>45275</c:v>
                </c:pt>
                <c:pt idx="213">
                  <c:v>45277</c:v>
                </c:pt>
                <c:pt idx="214">
                  <c:v>45278</c:v>
                </c:pt>
                <c:pt idx="215">
                  <c:v>45279</c:v>
                </c:pt>
                <c:pt idx="216">
                  <c:v>45280</c:v>
                </c:pt>
                <c:pt idx="217">
                  <c:v>45281</c:v>
                </c:pt>
                <c:pt idx="218">
                  <c:v>45282</c:v>
                </c:pt>
                <c:pt idx="219">
                  <c:v>45284</c:v>
                </c:pt>
                <c:pt idx="220">
                  <c:v>45285</c:v>
                </c:pt>
                <c:pt idx="221">
                  <c:v>45286</c:v>
                </c:pt>
                <c:pt idx="222">
                  <c:v>45287</c:v>
                </c:pt>
                <c:pt idx="223">
                  <c:v>45288</c:v>
                </c:pt>
                <c:pt idx="224">
                  <c:v>45289</c:v>
                </c:pt>
                <c:pt idx="225">
                  <c:v>45294</c:v>
                </c:pt>
                <c:pt idx="226">
                  <c:v>45295</c:v>
                </c:pt>
                <c:pt idx="227">
                  <c:v>45296</c:v>
                </c:pt>
                <c:pt idx="228">
                  <c:v>45299</c:v>
                </c:pt>
                <c:pt idx="229">
                  <c:v>45300</c:v>
                </c:pt>
                <c:pt idx="230">
                  <c:v>45301</c:v>
                </c:pt>
                <c:pt idx="231">
                  <c:v>45302</c:v>
                </c:pt>
                <c:pt idx="232">
                  <c:v>45303</c:v>
                </c:pt>
                <c:pt idx="233">
                  <c:v>45305</c:v>
                </c:pt>
                <c:pt idx="234">
                  <c:v>45306</c:v>
                </c:pt>
                <c:pt idx="235">
                  <c:v>45307</c:v>
                </c:pt>
                <c:pt idx="236">
                  <c:v>45308</c:v>
                </c:pt>
                <c:pt idx="237">
                  <c:v>45309</c:v>
                </c:pt>
                <c:pt idx="238">
                  <c:v>45310</c:v>
                </c:pt>
                <c:pt idx="239">
                  <c:v>45312</c:v>
                </c:pt>
                <c:pt idx="240">
                  <c:v>45313</c:v>
                </c:pt>
                <c:pt idx="241">
                  <c:v>45314</c:v>
                </c:pt>
                <c:pt idx="242">
                  <c:v>45315</c:v>
                </c:pt>
                <c:pt idx="243">
                  <c:v>45316</c:v>
                </c:pt>
                <c:pt idx="244">
                  <c:v>45317</c:v>
                </c:pt>
                <c:pt idx="245">
                  <c:v>45319</c:v>
                </c:pt>
                <c:pt idx="246">
                  <c:v>45320</c:v>
                </c:pt>
                <c:pt idx="247">
                  <c:v>45321</c:v>
                </c:pt>
                <c:pt idx="248">
                  <c:v>45322</c:v>
                </c:pt>
                <c:pt idx="249">
                  <c:v>45323</c:v>
                </c:pt>
                <c:pt idx="250">
                  <c:v>45324</c:v>
                </c:pt>
                <c:pt idx="251">
                  <c:v>45326</c:v>
                </c:pt>
                <c:pt idx="252">
                  <c:v>45327</c:v>
                </c:pt>
                <c:pt idx="253">
                  <c:v>45328</c:v>
                </c:pt>
                <c:pt idx="254">
                  <c:v>45329</c:v>
                </c:pt>
                <c:pt idx="255">
                  <c:v>45330</c:v>
                </c:pt>
                <c:pt idx="256">
                  <c:v>45331</c:v>
                </c:pt>
                <c:pt idx="257">
                  <c:v>45334</c:v>
                </c:pt>
                <c:pt idx="258">
                  <c:v>45335</c:v>
                </c:pt>
                <c:pt idx="259">
                  <c:v>45336</c:v>
                </c:pt>
                <c:pt idx="260">
                  <c:v>45337</c:v>
                </c:pt>
                <c:pt idx="261">
                  <c:v>45338</c:v>
                </c:pt>
                <c:pt idx="262">
                  <c:v>45340</c:v>
                </c:pt>
                <c:pt idx="263">
                  <c:v>45341</c:v>
                </c:pt>
                <c:pt idx="264">
                  <c:v>45342</c:v>
                </c:pt>
                <c:pt idx="265">
                  <c:v>45343</c:v>
                </c:pt>
                <c:pt idx="266">
                  <c:v>45344</c:v>
                </c:pt>
                <c:pt idx="267">
                  <c:v>45347</c:v>
                </c:pt>
                <c:pt idx="268">
                  <c:v>45348</c:v>
                </c:pt>
                <c:pt idx="269">
                  <c:v>45349</c:v>
                </c:pt>
                <c:pt idx="270">
                  <c:v>45350</c:v>
                </c:pt>
                <c:pt idx="271">
                  <c:v>45351</c:v>
                </c:pt>
                <c:pt idx="272">
                  <c:v>45352</c:v>
                </c:pt>
                <c:pt idx="273">
                  <c:v>45354</c:v>
                </c:pt>
                <c:pt idx="274">
                  <c:v>45355</c:v>
                </c:pt>
                <c:pt idx="275">
                  <c:v>45356</c:v>
                </c:pt>
                <c:pt idx="276">
                  <c:v>45357</c:v>
                </c:pt>
                <c:pt idx="277">
                  <c:v>45358</c:v>
                </c:pt>
                <c:pt idx="278">
                  <c:v>45359</c:v>
                </c:pt>
                <c:pt idx="279">
                  <c:v>45361</c:v>
                </c:pt>
                <c:pt idx="280">
                  <c:v>45362</c:v>
                </c:pt>
                <c:pt idx="281">
                  <c:v>45363</c:v>
                </c:pt>
                <c:pt idx="282">
                  <c:v>45364</c:v>
                </c:pt>
                <c:pt idx="283">
                  <c:v>45365</c:v>
                </c:pt>
                <c:pt idx="284">
                  <c:v>45366</c:v>
                </c:pt>
                <c:pt idx="285">
                  <c:v>45368</c:v>
                </c:pt>
                <c:pt idx="286">
                  <c:v>45369</c:v>
                </c:pt>
                <c:pt idx="287">
                  <c:v>45370</c:v>
                </c:pt>
                <c:pt idx="288">
                  <c:v>45371</c:v>
                </c:pt>
                <c:pt idx="289">
                  <c:v>45372</c:v>
                </c:pt>
                <c:pt idx="290">
                  <c:v>45373</c:v>
                </c:pt>
                <c:pt idx="291">
                  <c:v>45375</c:v>
                </c:pt>
                <c:pt idx="292">
                  <c:v>45376</c:v>
                </c:pt>
                <c:pt idx="293">
                  <c:v>45377</c:v>
                </c:pt>
                <c:pt idx="294">
                  <c:v>45378</c:v>
                </c:pt>
                <c:pt idx="295">
                  <c:v>45379</c:v>
                </c:pt>
                <c:pt idx="296">
                  <c:v>45380</c:v>
                </c:pt>
                <c:pt idx="297">
                  <c:v>45382</c:v>
                </c:pt>
                <c:pt idx="298">
                  <c:v>45383</c:v>
                </c:pt>
                <c:pt idx="299">
                  <c:v>45384</c:v>
                </c:pt>
                <c:pt idx="300">
                  <c:v>45385</c:v>
                </c:pt>
                <c:pt idx="301">
                  <c:v>45386</c:v>
                </c:pt>
                <c:pt idx="302">
                  <c:v>45387</c:v>
                </c:pt>
                <c:pt idx="303">
                  <c:v>45389</c:v>
                </c:pt>
                <c:pt idx="304">
                  <c:v>45390</c:v>
                </c:pt>
                <c:pt idx="305">
                  <c:v>45391</c:v>
                </c:pt>
                <c:pt idx="306">
                  <c:v>45392</c:v>
                </c:pt>
                <c:pt idx="307">
                  <c:v>45393</c:v>
                </c:pt>
                <c:pt idx="308">
                  <c:v>45394</c:v>
                </c:pt>
                <c:pt idx="309">
                  <c:v>45396</c:v>
                </c:pt>
                <c:pt idx="310">
                  <c:v>45397</c:v>
                </c:pt>
                <c:pt idx="311">
                  <c:v>45398</c:v>
                </c:pt>
                <c:pt idx="312">
                  <c:v>45399</c:v>
                </c:pt>
                <c:pt idx="313">
                  <c:v>45400</c:v>
                </c:pt>
                <c:pt idx="314">
                  <c:v>45401</c:v>
                </c:pt>
                <c:pt idx="315">
                  <c:v>45403</c:v>
                </c:pt>
                <c:pt idx="316">
                  <c:v>45404</c:v>
                </c:pt>
                <c:pt idx="317">
                  <c:v>45405</c:v>
                </c:pt>
                <c:pt idx="318">
                  <c:v>45406</c:v>
                </c:pt>
                <c:pt idx="319">
                  <c:v>45407</c:v>
                </c:pt>
                <c:pt idx="320">
                  <c:v>45408</c:v>
                </c:pt>
                <c:pt idx="321">
                  <c:v>45411</c:v>
                </c:pt>
                <c:pt idx="322">
                  <c:v>45412</c:v>
                </c:pt>
                <c:pt idx="323">
                  <c:v>45413</c:v>
                </c:pt>
                <c:pt idx="324">
                  <c:v>45414</c:v>
                </c:pt>
                <c:pt idx="325">
                  <c:v>45418</c:v>
                </c:pt>
                <c:pt idx="326">
                  <c:v>45419</c:v>
                </c:pt>
                <c:pt idx="327">
                  <c:v>45420</c:v>
                </c:pt>
                <c:pt idx="328">
                  <c:v>45421</c:v>
                </c:pt>
                <c:pt idx="329">
                  <c:v>45422</c:v>
                </c:pt>
                <c:pt idx="330">
                  <c:v>45424</c:v>
                </c:pt>
                <c:pt idx="331">
                  <c:v>45425</c:v>
                </c:pt>
                <c:pt idx="332">
                  <c:v>45426</c:v>
                </c:pt>
                <c:pt idx="333">
                  <c:v>45427</c:v>
                </c:pt>
                <c:pt idx="334">
                  <c:v>45428</c:v>
                </c:pt>
                <c:pt idx="335">
                  <c:v>45429</c:v>
                </c:pt>
                <c:pt idx="336">
                  <c:v>45431</c:v>
                </c:pt>
                <c:pt idx="337">
                  <c:v>45432</c:v>
                </c:pt>
                <c:pt idx="338">
                  <c:v>45433</c:v>
                </c:pt>
                <c:pt idx="339">
                  <c:v>45434</c:v>
                </c:pt>
                <c:pt idx="340">
                  <c:v>45435</c:v>
                </c:pt>
                <c:pt idx="341">
                  <c:v>45436</c:v>
                </c:pt>
                <c:pt idx="342">
                  <c:v>45438</c:v>
                </c:pt>
                <c:pt idx="343">
                  <c:v>45439</c:v>
                </c:pt>
                <c:pt idx="344">
                  <c:v>45440</c:v>
                </c:pt>
                <c:pt idx="345">
                  <c:v>45441</c:v>
                </c:pt>
                <c:pt idx="346">
                  <c:v>45442</c:v>
                </c:pt>
                <c:pt idx="347">
                  <c:v>45443</c:v>
                </c:pt>
                <c:pt idx="348">
                  <c:v>45445</c:v>
                </c:pt>
                <c:pt idx="349">
                  <c:v>45446</c:v>
                </c:pt>
                <c:pt idx="350">
                  <c:v>45447</c:v>
                </c:pt>
                <c:pt idx="351">
                  <c:v>45448</c:v>
                </c:pt>
                <c:pt idx="352">
                  <c:v>45449</c:v>
                </c:pt>
                <c:pt idx="353">
                  <c:v>45450</c:v>
                </c:pt>
                <c:pt idx="354">
                  <c:v>45452</c:v>
                </c:pt>
                <c:pt idx="355">
                  <c:v>45453</c:v>
                </c:pt>
                <c:pt idx="356">
                  <c:v>45454</c:v>
                </c:pt>
                <c:pt idx="357">
                  <c:v>45455</c:v>
                </c:pt>
                <c:pt idx="358">
                  <c:v>45456</c:v>
                </c:pt>
                <c:pt idx="359">
                  <c:v>45457</c:v>
                </c:pt>
                <c:pt idx="360">
                  <c:v>45459</c:v>
                </c:pt>
                <c:pt idx="361">
                  <c:v>45460</c:v>
                </c:pt>
                <c:pt idx="362">
                  <c:v>45461</c:v>
                </c:pt>
                <c:pt idx="363">
                  <c:v>45462</c:v>
                </c:pt>
                <c:pt idx="364">
                  <c:v>45463</c:v>
                </c:pt>
                <c:pt idx="365">
                  <c:v>45464</c:v>
                </c:pt>
                <c:pt idx="366">
                  <c:v>45466</c:v>
                </c:pt>
                <c:pt idx="367">
                  <c:v>45467</c:v>
                </c:pt>
                <c:pt idx="368">
                  <c:v>45468</c:v>
                </c:pt>
                <c:pt idx="369">
                  <c:v>45469</c:v>
                </c:pt>
                <c:pt idx="370">
                  <c:v>45470</c:v>
                </c:pt>
                <c:pt idx="371">
                  <c:v>45471</c:v>
                </c:pt>
                <c:pt idx="372">
                  <c:v>45473</c:v>
                </c:pt>
                <c:pt idx="373">
                  <c:v>45474</c:v>
                </c:pt>
                <c:pt idx="374">
                  <c:v>45475</c:v>
                </c:pt>
                <c:pt idx="375">
                  <c:v>45476</c:v>
                </c:pt>
                <c:pt idx="376">
                  <c:v>45477</c:v>
                </c:pt>
                <c:pt idx="377">
                  <c:v>45478</c:v>
                </c:pt>
                <c:pt idx="378">
                  <c:v>45480</c:v>
                </c:pt>
                <c:pt idx="379">
                  <c:v>45481</c:v>
                </c:pt>
                <c:pt idx="380">
                  <c:v>45482</c:v>
                </c:pt>
                <c:pt idx="381">
                  <c:v>45483</c:v>
                </c:pt>
                <c:pt idx="382">
                  <c:v>45484</c:v>
                </c:pt>
                <c:pt idx="383">
                  <c:v>45485</c:v>
                </c:pt>
                <c:pt idx="384">
                  <c:v>45488</c:v>
                </c:pt>
                <c:pt idx="385">
                  <c:v>45489</c:v>
                </c:pt>
                <c:pt idx="386">
                  <c:v>45490</c:v>
                </c:pt>
                <c:pt idx="387">
                  <c:v>45491</c:v>
                </c:pt>
                <c:pt idx="388">
                  <c:v>45492</c:v>
                </c:pt>
                <c:pt idx="389">
                  <c:v>45494</c:v>
                </c:pt>
                <c:pt idx="390">
                  <c:v>45495</c:v>
                </c:pt>
                <c:pt idx="391">
                  <c:v>45496</c:v>
                </c:pt>
                <c:pt idx="392">
                  <c:v>45497</c:v>
                </c:pt>
                <c:pt idx="393">
                  <c:v>45498</c:v>
                </c:pt>
                <c:pt idx="394">
                  <c:v>45499</c:v>
                </c:pt>
                <c:pt idx="395">
                  <c:v>45501</c:v>
                </c:pt>
                <c:pt idx="396">
                  <c:v>45502</c:v>
                </c:pt>
                <c:pt idx="397">
                  <c:v>45503</c:v>
                </c:pt>
                <c:pt idx="398">
                  <c:v>45504</c:v>
                </c:pt>
                <c:pt idx="399">
                  <c:v>45505</c:v>
                </c:pt>
                <c:pt idx="400">
                  <c:v>45506</c:v>
                </c:pt>
                <c:pt idx="401">
                  <c:v>45508</c:v>
                </c:pt>
                <c:pt idx="402">
                  <c:v>45509</c:v>
                </c:pt>
                <c:pt idx="403">
                  <c:v>45510</c:v>
                </c:pt>
                <c:pt idx="404">
                  <c:v>45511</c:v>
                </c:pt>
                <c:pt idx="405">
                  <c:v>45512</c:v>
                </c:pt>
                <c:pt idx="406">
                  <c:v>45513</c:v>
                </c:pt>
                <c:pt idx="407">
                  <c:v>45516</c:v>
                </c:pt>
                <c:pt idx="408">
                  <c:v>45517</c:v>
                </c:pt>
                <c:pt idx="409">
                  <c:v>45518</c:v>
                </c:pt>
                <c:pt idx="410">
                  <c:v>45519</c:v>
                </c:pt>
                <c:pt idx="411">
                  <c:v>45520</c:v>
                </c:pt>
                <c:pt idx="412">
                  <c:v>45522</c:v>
                </c:pt>
                <c:pt idx="413">
                  <c:v>45523</c:v>
                </c:pt>
                <c:pt idx="414">
                  <c:v>45524</c:v>
                </c:pt>
                <c:pt idx="415">
                  <c:v>45525</c:v>
                </c:pt>
                <c:pt idx="416">
                  <c:v>45526</c:v>
                </c:pt>
                <c:pt idx="417">
                  <c:v>45527</c:v>
                </c:pt>
                <c:pt idx="418">
                  <c:v>45529</c:v>
                </c:pt>
                <c:pt idx="419">
                  <c:v>45530</c:v>
                </c:pt>
                <c:pt idx="420">
                  <c:v>45531</c:v>
                </c:pt>
                <c:pt idx="421">
                  <c:v>45532</c:v>
                </c:pt>
                <c:pt idx="422">
                  <c:v>45533</c:v>
                </c:pt>
                <c:pt idx="423">
                  <c:v>45534</c:v>
                </c:pt>
                <c:pt idx="424">
                  <c:v>45537</c:v>
                </c:pt>
                <c:pt idx="425">
                  <c:v>45538</c:v>
                </c:pt>
                <c:pt idx="426">
                  <c:v>45539</c:v>
                </c:pt>
                <c:pt idx="427">
                  <c:v>45540</c:v>
                </c:pt>
                <c:pt idx="428">
                  <c:v>45541</c:v>
                </c:pt>
                <c:pt idx="429">
                  <c:v>45543</c:v>
                </c:pt>
                <c:pt idx="430">
                  <c:v>45544</c:v>
                </c:pt>
                <c:pt idx="431">
                  <c:v>45545</c:v>
                </c:pt>
                <c:pt idx="432">
                  <c:v>45546</c:v>
                </c:pt>
                <c:pt idx="433">
                  <c:v>45547</c:v>
                </c:pt>
                <c:pt idx="434">
                  <c:v>45548</c:v>
                </c:pt>
                <c:pt idx="435">
                  <c:v>45551</c:v>
                </c:pt>
                <c:pt idx="436">
                  <c:v>45552</c:v>
                </c:pt>
                <c:pt idx="437">
                  <c:v>45553</c:v>
                </c:pt>
                <c:pt idx="438">
                  <c:v>45554</c:v>
                </c:pt>
                <c:pt idx="439">
                  <c:v>45555</c:v>
                </c:pt>
                <c:pt idx="440">
                  <c:v>45558</c:v>
                </c:pt>
                <c:pt idx="441">
                  <c:v>45559</c:v>
                </c:pt>
                <c:pt idx="442">
                  <c:v>45560</c:v>
                </c:pt>
                <c:pt idx="443">
                  <c:v>45561</c:v>
                </c:pt>
                <c:pt idx="444">
                  <c:v>45562</c:v>
                </c:pt>
                <c:pt idx="445">
                  <c:v>45564</c:v>
                </c:pt>
                <c:pt idx="446">
                  <c:v>45565</c:v>
                </c:pt>
                <c:pt idx="447">
                  <c:v>45566</c:v>
                </c:pt>
                <c:pt idx="448">
                  <c:v>45567</c:v>
                </c:pt>
                <c:pt idx="449">
                  <c:v>45568</c:v>
                </c:pt>
                <c:pt idx="450">
                  <c:v>45569</c:v>
                </c:pt>
                <c:pt idx="451">
                  <c:v>45571</c:v>
                </c:pt>
                <c:pt idx="452">
                  <c:v>45572</c:v>
                </c:pt>
                <c:pt idx="453">
                  <c:v>45573</c:v>
                </c:pt>
                <c:pt idx="454">
                  <c:v>45574</c:v>
                </c:pt>
                <c:pt idx="455">
                  <c:v>45575</c:v>
                </c:pt>
                <c:pt idx="456">
                  <c:v>45576</c:v>
                </c:pt>
                <c:pt idx="457">
                  <c:v>45579</c:v>
                </c:pt>
                <c:pt idx="458">
                  <c:v>45580</c:v>
                </c:pt>
                <c:pt idx="459">
                  <c:v>45581</c:v>
                </c:pt>
                <c:pt idx="460">
                  <c:v>45582</c:v>
                </c:pt>
                <c:pt idx="461">
                  <c:v>45583</c:v>
                </c:pt>
                <c:pt idx="462">
                  <c:v>45585</c:v>
                </c:pt>
                <c:pt idx="463">
                  <c:v>45586</c:v>
                </c:pt>
                <c:pt idx="464">
                  <c:v>45587</c:v>
                </c:pt>
                <c:pt idx="465">
                  <c:v>45588</c:v>
                </c:pt>
                <c:pt idx="466">
                  <c:v>45589</c:v>
                </c:pt>
                <c:pt idx="467">
                  <c:v>45590</c:v>
                </c:pt>
                <c:pt idx="468">
                  <c:v>45593</c:v>
                </c:pt>
                <c:pt idx="469">
                  <c:v>45594</c:v>
                </c:pt>
                <c:pt idx="470">
                  <c:v>45595</c:v>
                </c:pt>
                <c:pt idx="471">
                  <c:v>45596</c:v>
                </c:pt>
                <c:pt idx="472">
                  <c:v>45597</c:v>
                </c:pt>
                <c:pt idx="473">
                  <c:v>45601</c:v>
                </c:pt>
                <c:pt idx="474">
                  <c:v>45602</c:v>
                </c:pt>
                <c:pt idx="475">
                  <c:v>45603</c:v>
                </c:pt>
                <c:pt idx="476">
                  <c:v>45604</c:v>
                </c:pt>
                <c:pt idx="477">
                  <c:v>45607</c:v>
                </c:pt>
                <c:pt idx="478">
                  <c:v>45608</c:v>
                </c:pt>
                <c:pt idx="479">
                  <c:v>45609</c:v>
                </c:pt>
                <c:pt idx="480">
                  <c:v>45610</c:v>
                </c:pt>
                <c:pt idx="481">
                  <c:v>45611</c:v>
                </c:pt>
                <c:pt idx="482">
                  <c:v>45614</c:v>
                </c:pt>
                <c:pt idx="483">
                  <c:v>45615</c:v>
                </c:pt>
                <c:pt idx="484">
                  <c:v>45616</c:v>
                </c:pt>
                <c:pt idx="485">
                  <c:v>45617</c:v>
                </c:pt>
                <c:pt idx="486">
                  <c:v>45618</c:v>
                </c:pt>
                <c:pt idx="487">
                  <c:v>45621</c:v>
                </c:pt>
                <c:pt idx="488">
                  <c:v>45622</c:v>
                </c:pt>
                <c:pt idx="489">
                  <c:v>45623</c:v>
                </c:pt>
                <c:pt idx="490">
                  <c:v>45624</c:v>
                </c:pt>
                <c:pt idx="491">
                  <c:v>45625</c:v>
                </c:pt>
                <c:pt idx="492">
                  <c:v>45628</c:v>
                </c:pt>
                <c:pt idx="493">
                  <c:v>45629</c:v>
                </c:pt>
                <c:pt idx="494">
                  <c:v>45630</c:v>
                </c:pt>
                <c:pt idx="495">
                  <c:v>45631</c:v>
                </c:pt>
                <c:pt idx="496">
                  <c:v>45632</c:v>
                </c:pt>
                <c:pt idx="497">
                  <c:v>45635</c:v>
                </c:pt>
                <c:pt idx="498">
                  <c:v>45636</c:v>
                </c:pt>
                <c:pt idx="499">
                  <c:v>45637</c:v>
                </c:pt>
                <c:pt idx="500">
                  <c:v>45638</c:v>
                </c:pt>
                <c:pt idx="501">
                  <c:v>45639</c:v>
                </c:pt>
                <c:pt idx="502">
                  <c:v>45642</c:v>
                </c:pt>
                <c:pt idx="503">
                  <c:v>45643</c:v>
                </c:pt>
                <c:pt idx="504">
                  <c:v>45644</c:v>
                </c:pt>
                <c:pt idx="505">
                  <c:v>45645</c:v>
                </c:pt>
                <c:pt idx="506">
                  <c:v>45646</c:v>
                </c:pt>
                <c:pt idx="507">
                  <c:v>45649</c:v>
                </c:pt>
                <c:pt idx="508">
                  <c:v>45650</c:v>
                </c:pt>
                <c:pt idx="509">
                  <c:v>45651</c:v>
                </c:pt>
                <c:pt idx="510">
                  <c:v>45652</c:v>
                </c:pt>
                <c:pt idx="511">
                  <c:v>45653</c:v>
                </c:pt>
                <c:pt idx="512">
                  <c:v>45656</c:v>
                </c:pt>
                <c:pt idx="513">
                  <c:v>45663</c:v>
                </c:pt>
                <c:pt idx="514">
                  <c:v>45664</c:v>
                </c:pt>
                <c:pt idx="515">
                  <c:v>45665</c:v>
                </c:pt>
                <c:pt idx="516">
                  <c:v>45666</c:v>
                </c:pt>
                <c:pt idx="517">
                  <c:v>45667</c:v>
                </c:pt>
                <c:pt idx="518">
                  <c:v>45671</c:v>
                </c:pt>
                <c:pt idx="519">
                  <c:v>45672</c:v>
                </c:pt>
                <c:pt idx="520">
                  <c:v>45673</c:v>
                </c:pt>
                <c:pt idx="521">
                  <c:v>45674</c:v>
                </c:pt>
                <c:pt idx="522">
                  <c:v>45677</c:v>
                </c:pt>
                <c:pt idx="523">
                  <c:v>45678</c:v>
                </c:pt>
                <c:pt idx="524">
                  <c:v>45679</c:v>
                </c:pt>
                <c:pt idx="525">
                  <c:v>45680</c:v>
                </c:pt>
                <c:pt idx="526">
                  <c:v>45681</c:v>
                </c:pt>
                <c:pt idx="527">
                  <c:v>45684</c:v>
                </c:pt>
                <c:pt idx="528">
                  <c:v>45685</c:v>
                </c:pt>
                <c:pt idx="529">
                  <c:v>45686</c:v>
                </c:pt>
                <c:pt idx="530">
                  <c:v>45687</c:v>
                </c:pt>
                <c:pt idx="531">
                  <c:v>45688</c:v>
                </c:pt>
                <c:pt idx="532">
                  <c:v>45691</c:v>
                </c:pt>
                <c:pt idx="533">
                  <c:v>45692</c:v>
                </c:pt>
                <c:pt idx="534">
                  <c:v>45693</c:v>
                </c:pt>
                <c:pt idx="535">
                  <c:v>45694</c:v>
                </c:pt>
                <c:pt idx="536">
                  <c:v>45695</c:v>
                </c:pt>
                <c:pt idx="537">
                  <c:v>45698</c:v>
                </c:pt>
                <c:pt idx="538">
                  <c:v>45700</c:v>
                </c:pt>
                <c:pt idx="539">
                  <c:v>45701</c:v>
                </c:pt>
                <c:pt idx="540">
                  <c:v>45702</c:v>
                </c:pt>
                <c:pt idx="541">
                  <c:v>45705</c:v>
                </c:pt>
                <c:pt idx="542">
                  <c:v>45706</c:v>
                </c:pt>
                <c:pt idx="543">
                  <c:v>45707</c:v>
                </c:pt>
                <c:pt idx="544">
                  <c:v>45708</c:v>
                </c:pt>
                <c:pt idx="545">
                  <c:v>45709</c:v>
                </c:pt>
                <c:pt idx="546">
                  <c:v>45713</c:v>
                </c:pt>
                <c:pt idx="547">
                  <c:v>45714</c:v>
                </c:pt>
                <c:pt idx="548">
                  <c:v>45715</c:v>
                </c:pt>
                <c:pt idx="549">
                  <c:v>45716</c:v>
                </c:pt>
                <c:pt idx="550">
                  <c:v>45719</c:v>
                </c:pt>
                <c:pt idx="551">
                  <c:v>45720</c:v>
                </c:pt>
                <c:pt idx="552">
                  <c:v>45721</c:v>
                </c:pt>
                <c:pt idx="553">
                  <c:v>45722</c:v>
                </c:pt>
                <c:pt idx="554">
                  <c:v>45723</c:v>
                </c:pt>
                <c:pt idx="555">
                  <c:v>45726</c:v>
                </c:pt>
                <c:pt idx="556">
                  <c:v>45727</c:v>
                </c:pt>
                <c:pt idx="557">
                  <c:v>45728</c:v>
                </c:pt>
                <c:pt idx="558">
                  <c:v>45729</c:v>
                </c:pt>
                <c:pt idx="559">
                  <c:v>45730</c:v>
                </c:pt>
                <c:pt idx="560">
                  <c:v>45733</c:v>
                </c:pt>
                <c:pt idx="561">
                  <c:v>45734</c:v>
                </c:pt>
                <c:pt idx="562">
                  <c:v>45735</c:v>
                </c:pt>
                <c:pt idx="563">
                  <c:v>45737</c:v>
                </c:pt>
                <c:pt idx="564">
                  <c:v>45740</c:v>
                </c:pt>
                <c:pt idx="565">
                  <c:v>45741</c:v>
                </c:pt>
                <c:pt idx="566">
                  <c:v>45742</c:v>
                </c:pt>
                <c:pt idx="567">
                  <c:v>45743</c:v>
                </c:pt>
                <c:pt idx="568">
                  <c:v>45744</c:v>
                </c:pt>
                <c:pt idx="569">
                  <c:v>45747</c:v>
                </c:pt>
              </c:numCache>
            </c:numRef>
          </c:cat>
          <c:val>
            <c:numRef>
              <c:f>Sheet1!$C$318:$C$887</c:f>
              <c:numCache>
                <c:formatCode>General</c:formatCode>
                <c:ptCount val="570"/>
                <c:pt idx="0">
                  <c:v>0.35699999999999998</c:v>
                </c:pt>
                <c:pt idx="1">
                  <c:v>0.376</c:v>
                </c:pt>
                <c:pt idx="2">
                  <c:v>0.40200000000000002</c:v>
                </c:pt>
                <c:pt idx="3">
                  <c:v>0.47299999999999998</c:v>
                </c:pt>
                <c:pt idx="4">
                  <c:v>0.47</c:v>
                </c:pt>
                <c:pt idx="5">
                  <c:v>0.46100000000000002</c:v>
                </c:pt>
                <c:pt idx="6">
                  <c:v>0.46800000000000003</c:v>
                </c:pt>
                <c:pt idx="7">
                  <c:v>0.46200000000000002</c:v>
                </c:pt>
                <c:pt idx="8">
                  <c:v>0.45200000000000001</c:v>
                </c:pt>
                <c:pt idx="9">
                  <c:v>0.46600000000000003</c:v>
                </c:pt>
                <c:pt idx="10">
                  <c:v>0.47099999999999997</c:v>
                </c:pt>
                <c:pt idx="11">
                  <c:v>0.47099999999999997</c:v>
                </c:pt>
                <c:pt idx="12">
                  <c:v>0.47399999999999998</c:v>
                </c:pt>
                <c:pt idx="13">
                  <c:v>0.48299999999999998</c:v>
                </c:pt>
                <c:pt idx="14">
                  <c:v>0.47599999999999998</c:v>
                </c:pt>
                <c:pt idx="15">
                  <c:v>0.47599999999999998</c:v>
                </c:pt>
                <c:pt idx="16">
                  <c:v>0.47099999999999997</c:v>
                </c:pt>
                <c:pt idx="17">
                  <c:v>0.46700000000000003</c:v>
                </c:pt>
                <c:pt idx="18">
                  <c:v>0.47</c:v>
                </c:pt>
                <c:pt idx="19">
                  <c:v>0.47</c:v>
                </c:pt>
                <c:pt idx="20">
                  <c:v>0.48399999999999999</c:v>
                </c:pt>
                <c:pt idx="21">
                  <c:v>0.45600000000000002</c:v>
                </c:pt>
                <c:pt idx="22">
                  <c:v>0.46300000000000002</c:v>
                </c:pt>
                <c:pt idx="23">
                  <c:v>0.39800000000000002</c:v>
                </c:pt>
                <c:pt idx="24">
                  <c:v>0.38400000000000001</c:v>
                </c:pt>
                <c:pt idx="25">
                  <c:v>0.40100000000000002</c:v>
                </c:pt>
                <c:pt idx="26">
                  <c:v>0.42099999999999999</c:v>
                </c:pt>
                <c:pt idx="27">
                  <c:v>0.41</c:v>
                </c:pt>
                <c:pt idx="28">
                  <c:v>0.41099999999999998</c:v>
                </c:pt>
                <c:pt idx="29">
                  <c:v>0.42499999999999999</c:v>
                </c:pt>
                <c:pt idx="30">
                  <c:v>0.41199999999999998</c:v>
                </c:pt>
                <c:pt idx="31">
                  <c:v>0.39100000000000001</c:v>
                </c:pt>
                <c:pt idx="32">
                  <c:v>0.38600000000000001</c:v>
                </c:pt>
                <c:pt idx="33">
                  <c:v>0.39600000000000002</c:v>
                </c:pt>
                <c:pt idx="34">
                  <c:v>0.41</c:v>
                </c:pt>
                <c:pt idx="35">
                  <c:v>0.39600000000000002</c:v>
                </c:pt>
                <c:pt idx="36">
                  <c:v>0.36099999999999999</c:v>
                </c:pt>
                <c:pt idx="37">
                  <c:v>0.38600000000000001</c:v>
                </c:pt>
                <c:pt idx="38">
                  <c:v>0.40100000000000002</c:v>
                </c:pt>
                <c:pt idx="39">
                  <c:v>0.39300000000000002</c:v>
                </c:pt>
                <c:pt idx="40">
                  <c:v>0.38700000000000001</c:v>
                </c:pt>
                <c:pt idx="41">
                  <c:v>0.39800000000000002</c:v>
                </c:pt>
                <c:pt idx="42">
                  <c:v>0.40600000000000003</c:v>
                </c:pt>
                <c:pt idx="43">
                  <c:v>0.42699999999999999</c:v>
                </c:pt>
                <c:pt idx="44">
                  <c:v>0.42099999999999999</c:v>
                </c:pt>
                <c:pt idx="45">
                  <c:v>0.435</c:v>
                </c:pt>
                <c:pt idx="46">
                  <c:v>0.436</c:v>
                </c:pt>
                <c:pt idx="47">
                  <c:v>0.43099999999999999</c:v>
                </c:pt>
                <c:pt idx="48">
                  <c:v>0.42099999999999999</c:v>
                </c:pt>
                <c:pt idx="49">
                  <c:v>0.41599999999999998</c:v>
                </c:pt>
                <c:pt idx="50">
                  <c:v>0.42499999999999999</c:v>
                </c:pt>
                <c:pt idx="51">
                  <c:v>0.436</c:v>
                </c:pt>
                <c:pt idx="52">
                  <c:v>0.42499999999999999</c:v>
                </c:pt>
                <c:pt idx="53">
                  <c:v>0.41499999999999998</c:v>
                </c:pt>
                <c:pt idx="54">
                  <c:v>0.437</c:v>
                </c:pt>
                <c:pt idx="55">
                  <c:v>0.432</c:v>
                </c:pt>
                <c:pt idx="56">
                  <c:v>0.41499999999999998</c:v>
                </c:pt>
                <c:pt idx="57">
                  <c:v>0.42599999999999999</c:v>
                </c:pt>
                <c:pt idx="58">
                  <c:v>0.42099999999999999</c:v>
                </c:pt>
                <c:pt idx="59">
                  <c:v>0.43099999999999999</c:v>
                </c:pt>
                <c:pt idx="60">
                  <c:v>0.42599999999999999</c:v>
                </c:pt>
                <c:pt idx="61">
                  <c:v>0.40600000000000003</c:v>
                </c:pt>
                <c:pt idx="62">
                  <c:v>0.38900000000000001</c:v>
                </c:pt>
                <c:pt idx="63">
                  <c:v>0.39600000000000002</c:v>
                </c:pt>
                <c:pt idx="64">
                  <c:v>0.38700000000000001</c:v>
                </c:pt>
                <c:pt idx="65">
                  <c:v>0.375</c:v>
                </c:pt>
                <c:pt idx="66">
                  <c:v>0.371</c:v>
                </c:pt>
                <c:pt idx="67">
                  <c:v>0.36699999999999999</c:v>
                </c:pt>
                <c:pt idx="68">
                  <c:v>0.36299999999999999</c:v>
                </c:pt>
                <c:pt idx="69">
                  <c:v>0.35399999999999998</c:v>
                </c:pt>
                <c:pt idx="70">
                  <c:v>0.372</c:v>
                </c:pt>
                <c:pt idx="71">
                  <c:v>0.39</c:v>
                </c:pt>
                <c:pt idx="72">
                  <c:v>0.38200000000000001</c:v>
                </c:pt>
                <c:pt idx="73">
                  <c:v>0.39600000000000002</c:v>
                </c:pt>
                <c:pt idx="74">
                  <c:v>0.39400000000000002</c:v>
                </c:pt>
                <c:pt idx="75">
                  <c:v>0.40100000000000002</c:v>
                </c:pt>
                <c:pt idx="76">
                  <c:v>0.376</c:v>
                </c:pt>
                <c:pt idx="77">
                  <c:v>0.38100000000000001</c:v>
                </c:pt>
                <c:pt idx="78">
                  <c:v>0.40600000000000003</c:v>
                </c:pt>
                <c:pt idx="79">
                  <c:v>0.441</c:v>
                </c:pt>
                <c:pt idx="80">
                  <c:v>0.46100000000000002</c:v>
                </c:pt>
                <c:pt idx="81">
                  <c:v>0.46700000000000003</c:v>
                </c:pt>
                <c:pt idx="82">
                  <c:v>0.45100000000000001</c:v>
                </c:pt>
                <c:pt idx="83">
                  <c:v>0.47699999999999998</c:v>
                </c:pt>
                <c:pt idx="84">
                  <c:v>0.47</c:v>
                </c:pt>
                <c:pt idx="85">
                  <c:v>0.48</c:v>
                </c:pt>
                <c:pt idx="86">
                  <c:v>0.46800000000000003</c:v>
                </c:pt>
                <c:pt idx="87">
                  <c:v>0.48</c:v>
                </c:pt>
                <c:pt idx="88">
                  <c:v>0.46700000000000003</c:v>
                </c:pt>
                <c:pt idx="89">
                  <c:v>0.46200000000000002</c:v>
                </c:pt>
                <c:pt idx="90">
                  <c:v>0.48</c:v>
                </c:pt>
                <c:pt idx="91">
                  <c:v>0.44500000000000001</c:v>
                </c:pt>
                <c:pt idx="92">
                  <c:v>0.45800000000000002</c:v>
                </c:pt>
                <c:pt idx="93">
                  <c:v>0.46100000000000002</c:v>
                </c:pt>
                <c:pt idx="94">
                  <c:v>0.44900000000000001</c:v>
                </c:pt>
                <c:pt idx="95">
                  <c:v>0.441</c:v>
                </c:pt>
                <c:pt idx="96">
                  <c:v>0.55600000000000005</c:v>
                </c:pt>
                <c:pt idx="97">
                  <c:v>0.57899999999999996</c:v>
                </c:pt>
                <c:pt idx="98">
                  <c:v>0.60399999999999998</c:v>
                </c:pt>
                <c:pt idx="99">
                  <c:v>0.59599999999999997</c:v>
                </c:pt>
                <c:pt idx="100">
                  <c:v>0.627</c:v>
                </c:pt>
                <c:pt idx="101">
                  <c:v>0.65200000000000002</c:v>
                </c:pt>
                <c:pt idx="102">
                  <c:v>0.64300000000000002</c:v>
                </c:pt>
                <c:pt idx="103">
                  <c:v>0.62</c:v>
                </c:pt>
                <c:pt idx="104">
                  <c:v>0.625</c:v>
                </c:pt>
                <c:pt idx="105">
                  <c:v>0.61299999999999999</c:v>
                </c:pt>
                <c:pt idx="106">
                  <c:v>0.57199999999999995</c:v>
                </c:pt>
                <c:pt idx="107">
                  <c:v>0.58899999999999997</c:v>
                </c:pt>
                <c:pt idx="108">
                  <c:v>0.61</c:v>
                </c:pt>
                <c:pt idx="109">
                  <c:v>0.621</c:v>
                </c:pt>
                <c:pt idx="110">
                  <c:v>0.626</c:v>
                </c:pt>
                <c:pt idx="111">
                  <c:v>0.63</c:v>
                </c:pt>
                <c:pt idx="112">
                  <c:v>0.65100000000000002</c:v>
                </c:pt>
                <c:pt idx="113">
                  <c:v>0.63</c:v>
                </c:pt>
                <c:pt idx="114">
                  <c:v>0.622</c:v>
                </c:pt>
                <c:pt idx="115">
                  <c:v>0.65200000000000002</c:v>
                </c:pt>
                <c:pt idx="116">
                  <c:v>0.67</c:v>
                </c:pt>
                <c:pt idx="117">
                  <c:v>0.67800000000000005</c:v>
                </c:pt>
                <c:pt idx="118">
                  <c:v>0.65100000000000002</c:v>
                </c:pt>
                <c:pt idx="119">
                  <c:v>0.65700000000000003</c:v>
                </c:pt>
                <c:pt idx="120">
                  <c:v>0.65400000000000003</c:v>
                </c:pt>
                <c:pt idx="121">
                  <c:v>0.66600000000000004</c:v>
                </c:pt>
                <c:pt idx="122">
                  <c:v>0.64600000000000002</c:v>
                </c:pt>
                <c:pt idx="123">
                  <c:v>0.65600000000000003</c:v>
                </c:pt>
                <c:pt idx="124">
                  <c:v>0.65100000000000002</c:v>
                </c:pt>
                <c:pt idx="125">
                  <c:v>0.63200000000000001</c:v>
                </c:pt>
                <c:pt idx="126">
                  <c:v>0.63500000000000001</c:v>
                </c:pt>
                <c:pt idx="127">
                  <c:v>0.64200000000000002</c:v>
                </c:pt>
                <c:pt idx="128">
                  <c:v>0.65600000000000003</c:v>
                </c:pt>
                <c:pt idx="129">
                  <c:v>0.65600000000000003</c:v>
                </c:pt>
                <c:pt idx="130">
                  <c:v>0.66</c:v>
                </c:pt>
                <c:pt idx="131">
                  <c:v>0.64700000000000002</c:v>
                </c:pt>
                <c:pt idx="132">
                  <c:v>0.68400000000000005</c:v>
                </c:pt>
                <c:pt idx="133">
                  <c:v>0.70599999999999996</c:v>
                </c:pt>
                <c:pt idx="134">
                  <c:v>0.71</c:v>
                </c:pt>
                <c:pt idx="135">
                  <c:v>0.71</c:v>
                </c:pt>
                <c:pt idx="136">
                  <c:v>0.71099999999999997</c:v>
                </c:pt>
                <c:pt idx="137">
                  <c:v>0.70499999999999996</c:v>
                </c:pt>
                <c:pt idx="138">
                  <c:v>0.70599999999999996</c:v>
                </c:pt>
                <c:pt idx="139">
                  <c:v>0.72099999999999997</c:v>
                </c:pt>
                <c:pt idx="140">
                  <c:v>0.72499999999999998</c:v>
                </c:pt>
                <c:pt idx="141">
                  <c:v>0.746</c:v>
                </c:pt>
                <c:pt idx="142">
                  <c:v>0.746</c:v>
                </c:pt>
                <c:pt idx="143">
                  <c:v>0.72399999999999998</c:v>
                </c:pt>
                <c:pt idx="144">
                  <c:v>0.73</c:v>
                </c:pt>
                <c:pt idx="145">
                  <c:v>0.745</c:v>
                </c:pt>
                <c:pt idx="146">
                  <c:v>0.74099999999999999</c:v>
                </c:pt>
                <c:pt idx="147">
                  <c:v>0.75600000000000001</c:v>
                </c:pt>
                <c:pt idx="148">
                  <c:v>0.77100000000000002</c:v>
                </c:pt>
                <c:pt idx="149">
                  <c:v>0.76100000000000001</c:v>
                </c:pt>
                <c:pt idx="150">
                  <c:v>0.77700000000000002</c:v>
                </c:pt>
                <c:pt idx="151">
                  <c:v>0.76200000000000001</c:v>
                </c:pt>
                <c:pt idx="152">
                  <c:v>0.80600000000000005</c:v>
                </c:pt>
                <c:pt idx="153">
                  <c:v>0.80500000000000005</c:v>
                </c:pt>
                <c:pt idx="154">
                  <c:v>0.8</c:v>
                </c:pt>
                <c:pt idx="155">
                  <c:v>0.78</c:v>
                </c:pt>
                <c:pt idx="156">
                  <c:v>0.77600000000000002</c:v>
                </c:pt>
                <c:pt idx="157">
                  <c:v>0.77400000000000002</c:v>
                </c:pt>
                <c:pt idx="158">
                  <c:v>0.755</c:v>
                </c:pt>
                <c:pt idx="159">
                  <c:v>0.76200000000000001</c:v>
                </c:pt>
                <c:pt idx="160">
                  <c:v>0.752</c:v>
                </c:pt>
                <c:pt idx="161">
                  <c:v>0.752</c:v>
                </c:pt>
                <c:pt idx="162">
                  <c:v>0.78200000000000003</c:v>
                </c:pt>
                <c:pt idx="163">
                  <c:v>0.80900000000000005</c:v>
                </c:pt>
                <c:pt idx="164">
                  <c:v>0.84499999999999997</c:v>
                </c:pt>
                <c:pt idx="165">
                  <c:v>0.84099999999999997</c:v>
                </c:pt>
                <c:pt idx="166">
                  <c:v>0.85</c:v>
                </c:pt>
                <c:pt idx="167">
                  <c:v>0.86899999999999999</c:v>
                </c:pt>
                <c:pt idx="168">
                  <c:v>0.84599999999999997</c:v>
                </c:pt>
                <c:pt idx="169">
                  <c:v>0.85499999999999998</c:v>
                </c:pt>
                <c:pt idx="170">
                  <c:v>0.88600000000000001</c:v>
                </c:pt>
                <c:pt idx="171">
                  <c:v>0.873</c:v>
                </c:pt>
                <c:pt idx="172">
                  <c:v>0.876</c:v>
                </c:pt>
                <c:pt idx="173">
                  <c:v>0.89200000000000002</c:v>
                </c:pt>
                <c:pt idx="174">
                  <c:v>0.95099999999999996</c:v>
                </c:pt>
                <c:pt idx="175">
                  <c:v>0.95599999999999996</c:v>
                </c:pt>
                <c:pt idx="176">
                  <c:v>0.91600000000000004</c:v>
                </c:pt>
                <c:pt idx="177">
                  <c:v>0.88200000000000001</c:v>
                </c:pt>
                <c:pt idx="178">
                  <c:v>0.875</c:v>
                </c:pt>
                <c:pt idx="179">
                  <c:v>0.88100000000000001</c:v>
                </c:pt>
                <c:pt idx="180">
                  <c:v>0.84799999999999998</c:v>
                </c:pt>
                <c:pt idx="181">
                  <c:v>0.84</c:v>
                </c:pt>
                <c:pt idx="182">
                  <c:v>0.85699999999999998</c:v>
                </c:pt>
                <c:pt idx="183">
                  <c:v>0.86299999999999999</c:v>
                </c:pt>
                <c:pt idx="184">
                  <c:v>0.876</c:v>
                </c:pt>
                <c:pt idx="185">
                  <c:v>0.85599999999999998</c:v>
                </c:pt>
                <c:pt idx="186">
                  <c:v>0.8</c:v>
                </c:pt>
                <c:pt idx="187">
                  <c:v>0.79100000000000004</c:v>
                </c:pt>
                <c:pt idx="188">
                  <c:v>0.752</c:v>
                </c:pt>
                <c:pt idx="189">
                  <c:v>0.76100000000000001</c:v>
                </c:pt>
                <c:pt idx="190">
                  <c:v>0.74399999999999999</c:v>
                </c:pt>
                <c:pt idx="191">
                  <c:v>0.69699999999999995</c:v>
                </c:pt>
                <c:pt idx="192">
                  <c:v>0.73099999999999998</c:v>
                </c:pt>
                <c:pt idx="193">
                  <c:v>0.73899999999999999</c:v>
                </c:pt>
                <c:pt idx="194">
                  <c:v>0.77100000000000002</c:v>
                </c:pt>
                <c:pt idx="195">
                  <c:v>0.77400000000000002</c:v>
                </c:pt>
                <c:pt idx="196">
                  <c:v>0.77500000000000002</c:v>
                </c:pt>
                <c:pt idx="197">
                  <c:v>0.75600000000000001</c:v>
                </c:pt>
                <c:pt idx="198">
                  <c:v>0.67900000000000005</c:v>
                </c:pt>
                <c:pt idx="199">
                  <c:v>0.67600000000000005</c:v>
                </c:pt>
                <c:pt idx="200">
                  <c:v>0.70399999999999996</c:v>
                </c:pt>
                <c:pt idx="201">
                  <c:v>0.66600000000000004</c:v>
                </c:pt>
                <c:pt idx="202">
                  <c:v>0.69</c:v>
                </c:pt>
                <c:pt idx="203">
                  <c:v>0.67500000000000004</c:v>
                </c:pt>
                <c:pt idx="204">
                  <c:v>0.65</c:v>
                </c:pt>
                <c:pt idx="205">
                  <c:v>0.748</c:v>
                </c:pt>
                <c:pt idx="206">
                  <c:v>0.77200000000000002</c:v>
                </c:pt>
                <c:pt idx="207">
                  <c:v>0.79800000000000004</c:v>
                </c:pt>
                <c:pt idx="208">
                  <c:v>0.77600000000000002</c:v>
                </c:pt>
                <c:pt idx="209">
                  <c:v>0.73499999999999999</c:v>
                </c:pt>
                <c:pt idx="210">
                  <c:v>0.69</c:v>
                </c:pt>
                <c:pt idx="211">
                  <c:v>0.67600000000000005</c:v>
                </c:pt>
                <c:pt idx="212">
                  <c:v>0.71099999999999997</c:v>
                </c:pt>
                <c:pt idx="213">
                  <c:v>0.70599999999999996</c:v>
                </c:pt>
                <c:pt idx="214">
                  <c:v>0.67</c:v>
                </c:pt>
                <c:pt idx="215">
                  <c:v>0.64</c:v>
                </c:pt>
                <c:pt idx="216">
                  <c:v>0.55400000000000005</c:v>
                </c:pt>
                <c:pt idx="217">
                  <c:v>0.58099999999999996</c:v>
                </c:pt>
                <c:pt idx="218">
                  <c:v>0.625</c:v>
                </c:pt>
                <c:pt idx="219">
                  <c:v>0.621</c:v>
                </c:pt>
                <c:pt idx="220">
                  <c:v>0.61499999999999999</c:v>
                </c:pt>
                <c:pt idx="221">
                  <c:v>0.63300000000000001</c:v>
                </c:pt>
                <c:pt idx="222">
                  <c:v>0.60099999999999998</c:v>
                </c:pt>
                <c:pt idx="223">
                  <c:v>0.59</c:v>
                </c:pt>
                <c:pt idx="224">
                  <c:v>0.61599999999999999</c:v>
                </c:pt>
                <c:pt idx="225">
                  <c:v>0.628</c:v>
                </c:pt>
                <c:pt idx="226">
                  <c:v>0.61699999999999999</c:v>
                </c:pt>
                <c:pt idx="227">
                  <c:v>0.60099999999999998</c:v>
                </c:pt>
                <c:pt idx="228">
                  <c:v>0.60899999999999999</c:v>
                </c:pt>
                <c:pt idx="229">
                  <c:v>0.58299999999999996</c:v>
                </c:pt>
                <c:pt idx="230">
                  <c:v>0.58699999999999997</c:v>
                </c:pt>
                <c:pt idx="231">
                  <c:v>0.60299999999999998</c:v>
                </c:pt>
                <c:pt idx="232">
                  <c:v>0.59199999999999997</c:v>
                </c:pt>
                <c:pt idx="233">
                  <c:v>0.56799999999999995</c:v>
                </c:pt>
                <c:pt idx="234">
                  <c:v>0.55800000000000005</c:v>
                </c:pt>
                <c:pt idx="235">
                  <c:v>0.59199999999999997</c:v>
                </c:pt>
                <c:pt idx="236">
                  <c:v>0.61099999999999999</c:v>
                </c:pt>
                <c:pt idx="237">
                  <c:v>0.65600000000000003</c:v>
                </c:pt>
                <c:pt idx="238">
                  <c:v>0.67100000000000004</c:v>
                </c:pt>
                <c:pt idx="239">
                  <c:v>0.65500000000000003</c:v>
                </c:pt>
                <c:pt idx="240">
                  <c:v>0.65200000000000002</c:v>
                </c:pt>
                <c:pt idx="241">
                  <c:v>0.64</c:v>
                </c:pt>
                <c:pt idx="242">
                  <c:v>0.72199999999999998</c:v>
                </c:pt>
                <c:pt idx="243">
                  <c:v>0.749</c:v>
                </c:pt>
                <c:pt idx="244">
                  <c:v>0.71599999999999997</c:v>
                </c:pt>
                <c:pt idx="245">
                  <c:v>0.70499999999999996</c:v>
                </c:pt>
                <c:pt idx="246">
                  <c:v>0.72599999999999998</c:v>
                </c:pt>
                <c:pt idx="247">
                  <c:v>0.71199999999999997</c:v>
                </c:pt>
                <c:pt idx="248">
                  <c:v>0.73599999999999999</c:v>
                </c:pt>
                <c:pt idx="249">
                  <c:v>0.69699999999999995</c:v>
                </c:pt>
                <c:pt idx="250">
                  <c:v>0.66300000000000003</c:v>
                </c:pt>
                <c:pt idx="251">
                  <c:v>0.70499999999999996</c:v>
                </c:pt>
                <c:pt idx="252">
                  <c:v>0.72099999999999997</c:v>
                </c:pt>
                <c:pt idx="253">
                  <c:v>0.71899999999999997</c:v>
                </c:pt>
                <c:pt idx="254">
                  <c:v>0.70599999999999996</c:v>
                </c:pt>
                <c:pt idx="255">
                  <c:v>0.69699999999999995</c:v>
                </c:pt>
                <c:pt idx="256">
                  <c:v>0.72099999999999997</c:v>
                </c:pt>
                <c:pt idx="257">
                  <c:v>0.71699999999999997</c:v>
                </c:pt>
                <c:pt idx="258">
                  <c:v>0.72499999999999998</c:v>
                </c:pt>
                <c:pt idx="259">
                  <c:v>0.75600000000000001</c:v>
                </c:pt>
                <c:pt idx="260">
                  <c:v>0.72899999999999998</c:v>
                </c:pt>
                <c:pt idx="261">
                  <c:v>0.73099999999999998</c:v>
                </c:pt>
                <c:pt idx="262">
                  <c:v>0.72499999999999998</c:v>
                </c:pt>
                <c:pt idx="263">
                  <c:v>0.73099999999999998</c:v>
                </c:pt>
                <c:pt idx="264">
                  <c:v>0.73099999999999998</c:v>
                </c:pt>
                <c:pt idx="265">
                  <c:v>0.72599999999999998</c:v>
                </c:pt>
                <c:pt idx="266">
                  <c:v>0.71599999999999997</c:v>
                </c:pt>
                <c:pt idx="267">
                  <c:v>0.69799999999999995</c:v>
                </c:pt>
                <c:pt idx="268">
                  <c:v>0.68700000000000006</c:v>
                </c:pt>
                <c:pt idx="269">
                  <c:v>0.69099999999999995</c:v>
                </c:pt>
                <c:pt idx="270">
                  <c:v>0.7</c:v>
                </c:pt>
                <c:pt idx="271">
                  <c:v>0.71499999999999997</c:v>
                </c:pt>
                <c:pt idx="272">
                  <c:v>0.71599999999999997</c:v>
                </c:pt>
                <c:pt idx="273">
                  <c:v>0.70099999999999996</c:v>
                </c:pt>
                <c:pt idx="274">
                  <c:v>0.71299999999999997</c:v>
                </c:pt>
                <c:pt idx="275">
                  <c:v>0.70199999999999996</c:v>
                </c:pt>
                <c:pt idx="276">
                  <c:v>0.71499999999999997</c:v>
                </c:pt>
                <c:pt idx="277">
                  <c:v>0.73199999999999998</c:v>
                </c:pt>
                <c:pt idx="278">
                  <c:v>0.73499999999999999</c:v>
                </c:pt>
                <c:pt idx="279">
                  <c:v>0.75800000000000001</c:v>
                </c:pt>
                <c:pt idx="280">
                  <c:v>0.76400000000000001</c:v>
                </c:pt>
                <c:pt idx="281">
                  <c:v>0.77</c:v>
                </c:pt>
                <c:pt idx="282">
                  <c:v>0.76100000000000001</c:v>
                </c:pt>
                <c:pt idx="283">
                  <c:v>0.78100000000000003</c:v>
                </c:pt>
                <c:pt idx="284">
                  <c:v>0.78500000000000003</c:v>
                </c:pt>
                <c:pt idx="285">
                  <c:v>0.77700000000000002</c:v>
                </c:pt>
                <c:pt idx="286">
                  <c:v>0.75600000000000001</c:v>
                </c:pt>
                <c:pt idx="287">
                  <c:v>0.73199999999999998</c:v>
                </c:pt>
                <c:pt idx="288">
                  <c:v>0.72399999999999998</c:v>
                </c:pt>
                <c:pt idx="289">
                  <c:v>0.745</c:v>
                </c:pt>
                <c:pt idx="290">
                  <c:v>0.74199999999999999</c:v>
                </c:pt>
                <c:pt idx="291">
                  <c:v>0.71799999999999997</c:v>
                </c:pt>
                <c:pt idx="292">
                  <c:v>0.73</c:v>
                </c:pt>
                <c:pt idx="293">
                  <c:v>0.73899999999999999</c:v>
                </c:pt>
                <c:pt idx="294">
                  <c:v>0.72199999999999998</c:v>
                </c:pt>
                <c:pt idx="295">
                  <c:v>0.70599999999999996</c:v>
                </c:pt>
                <c:pt idx="296">
                  <c:v>0.72599999999999998</c:v>
                </c:pt>
                <c:pt idx="297">
                  <c:v>0.73199999999999998</c:v>
                </c:pt>
                <c:pt idx="298">
                  <c:v>0.74</c:v>
                </c:pt>
                <c:pt idx="299">
                  <c:v>0.745</c:v>
                </c:pt>
                <c:pt idx="300">
                  <c:v>0.76500000000000001</c:v>
                </c:pt>
                <c:pt idx="301">
                  <c:v>0.77500000000000002</c:v>
                </c:pt>
                <c:pt idx="302">
                  <c:v>0.77</c:v>
                </c:pt>
                <c:pt idx="303">
                  <c:v>0.78500000000000003</c:v>
                </c:pt>
                <c:pt idx="304">
                  <c:v>0.78400000000000003</c:v>
                </c:pt>
                <c:pt idx="305">
                  <c:v>0.78500000000000003</c:v>
                </c:pt>
                <c:pt idx="306">
                  <c:v>0.79600000000000004</c:v>
                </c:pt>
                <c:pt idx="307">
                  <c:v>0.85499999999999998</c:v>
                </c:pt>
                <c:pt idx="308">
                  <c:v>0.86099999999999999</c:v>
                </c:pt>
                <c:pt idx="309">
                  <c:v>0.84499999999999997</c:v>
                </c:pt>
                <c:pt idx="310">
                  <c:v>0.86</c:v>
                </c:pt>
                <c:pt idx="311">
                  <c:v>0.86699999999999999</c:v>
                </c:pt>
                <c:pt idx="312">
                  <c:v>0.88900000000000001</c:v>
                </c:pt>
                <c:pt idx="313">
                  <c:v>0.86499999999999999</c:v>
                </c:pt>
                <c:pt idx="314">
                  <c:v>0.83499999999999996</c:v>
                </c:pt>
                <c:pt idx="315">
                  <c:v>0.85899999999999999</c:v>
                </c:pt>
                <c:pt idx="316">
                  <c:v>0.88</c:v>
                </c:pt>
                <c:pt idx="317">
                  <c:v>0.88500000000000001</c:v>
                </c:pt>
                <c:pt idx="318">
                  <c:v>0.88800000000000001</c:v>
                </c:pt>
                <c:pt idx="319">
                  <c:v>0.89500000000000002</c:v>
                </c:pt>
                <c:pt idx="320">
                  <c:v>0.92</c:v>
                </c:pt>
                <c:pt idx="321">
                  <c:v>0.873</c:v>
                </c:pt>
                <c:pt idx="322">
                  <c:v>0.872</c:v>
                </c:pt>
                <c:pt idx="323">
                  <c:v>0.89300000000000002</c:v>
                </c:pt>
                <c:pt idx="324">
                  <c:v>0.90400000000000003</c:v>
                </c:pt>
                <c:pt idx="325">
                  <c:v>0.871</c:v>
                </c:pt>
                <c:pt idx="326">
                  <c:v>0.871</c:v>
                </c:pt>
                <c:pt idx="327">
                  <c:v>0.879</c:v>
                </c:pt>
                <c:pt idx="328">
                  <c:v>0.90800000000000003</c:v>
                </c:pt>
                <c:pt idx="329">
                  <c:v>0.91</c:v>
                </c:pt>
                <c:pt idx="330">
                  <c:v>0.90700000000000003</c:v>
                </c:pt>
                <c:pt idx="331">
                  <c:v>0.94099999999999995</c:v>
                </c:pt>
                <c:pt idx="332">
                  <c:v>0.96099999999999997</c:v>
                </c:pt>
                <c:pt idx="333">
                  <c:v>0.95199999999999996</c:v>
                </c:pt>
                <c:pt idx="334">
                  <c:v>0.92</c:v>
                </c:pt>
                <c:pt idx="335">
                  <c:v>0.94899999999999995</c:v>
                </c:pt>
                <c:pt idx="336">
                  <c:v>0.95699999999999996</c:v>
                </c:pt>
                <c:pt idx="337">
                  <c:v>0.97699999999999998</c:v>
                </c:pt>
                <c:pt idx="338">
                  <c:v>0.98</c:v>
                </c:pt>
                <c:pt idx="339">
                  <c:v>0.995</c:v>
                </c:pt>
                <c:pt idx="340">
                  <c:v>1</c:v>
                </c:pt>
                <c:pt idx="341">
                  <c:v>1.008</c:v>
                </c:pt>
                <c:pt idx="342">
                  <c:v>0.99399999999999999</c:v>
                </c:pt>
                <c:pt idx="343">
                  <c:v>1.0249999999999999</c:v>
                </c:pt>
                <c:pt idx="344">
                  <c:v>1.034</c:v>
                </c:pt>
                <c:pt idx="345">
                  <c:v>1.08</c:v>
                </c:pt>
                <c:pt idx="346">
                  <c:v>1.06</c:v>
                </c:pt>
                <c:pt idx="347">
                  <c:v>1.075</c:v>
                </c:pt>
                <c:pt idx="348">
                  <c:v>1.056</c:v>
                </c:pt>
                <c:pt idx="349">
                  <c:v>1.0660000000000001</c:v>
                </c:pt>
                <c:pt idx="350">
                  <c:v>1.034</c:v>
                </c:pt>
                <c:pt idx="351">
                  <c:v>1</c:v>
                </c:pt>
                <c:pt idx="352">
                  <c:v>0.96099999999999997</c:v>
                </c:pt>
                <c:pt idx="353">
                  <c:v>0.97599999999999998</c:v>
                </c:pt>
                <c:pt idx="354">
                  <c:v>0.999</c:v>
                </c:pt>
                <c:pt idx="355">
                  <c:v>1.036</c:v>
                </c:pt>
                <c:pt idx="356">
                  <c:v>1.0249999999999999</c:v>
                </c:pt>
                <c:pt idx="357">
                  <c:v>0.98799999999999999</c:v>
                </c:pt>
                <c:pt idx="358">
                  <c:v>0.96799999999999997</c:v>
                </c:pt>
                <c:pt idx="359">
                  <c:v>0.93</c:v>
                </c:pt>
                <c:pt idx="360">
                  <c:v>0.92300000000000004</c:v>
                </c:pt>
                <c:pt idx="361">
                  <c:v>0.92900000000000005</c:v>
                </c:pt>
                <c:pt idx="362">
                  <c:v>0.94099999999999995</c:v>
                </c:pt>
                <c:pt idx="363">
                  <c:v>0.93600000000000005</c:v>
                </c:pt>
                <c:pt idx="364">
                  <c:v>0.95399999999999996</c:v>
                </c:pt>
                <c:pt idx="365">
                  <c:v>0.98</c:v>
                </c:pt>
                <c:pt idx="366">
                  <c:v>0.98</c:v>
                </c:pt>
                <c:pt idx="367">
                  <c:v>0.99</c:v>
                </c:pt>
                <c:pt idx="368">
                  <c:v>1</c:v>
                </c:pt>
                <c:pt idx="369">
                  <c:v>1.0229999999999999</c:v>
                </c:pt>
                <c:pt idx="370">
                  <c:v>1.075</c:v>
                </c:pt>
                <c:pt idx="371">
                  <c:v>1.046</c:v>
                </c:pt>
                <c:pt idx="372">
                  <c:v>1.0629999999999999</c:v>
                </c:pt>
                <c:pt idx="373">
                  <c:v>1.0609999999999999</c:v>
                </c:pt>
                <c:pt idx="374">
                  <c:v>1.085</c:v>
                </c:pt>
                <c:pt idx="375">
                  <c:v>1.1000000000000001</c:v>
                </c:pt>
                <c:pt idx="376">
                  <c:v>1.0840000000000001</c:v>
                </c:pt>
                <c:pt idx="377">
                  <c:v>1.071</c:v>
                </c:pt>
                <c:pt idx="378">
                  <c:v>1.079</c:v>
                </c:pt>
                <c:pt idx="379">
                  <c:v>1.0860000000000001</c:v>
                </c:pt>
                <c:pt idx="380">
                  <c:v>1.075</c:v>
                </c:pt>
                <c:pt idx="381">
                  <c:v>1.085</c:v>
                </c:pt>
                <c:pt idx="382">
                  <c:v>1.0860000000000001</c:v>
                </c:pt>
                <c:pt idx="383">
                  <c:v>1.0469999999999999</c:v>
                </c:pt>
                <c:pt idx="384">
                  <c:v>1.0509999999999999</c:v>
                </c:pt>
                <c:pt idx="385">
                  <c:v>1.0209999999999999</c:v>
                </c:pt>
                <c:pt idx="386">
                  <c:v>1.0329999999999999</c:v>
                </c:pt>
                <c:pt idx="387">
                  <c:v>1.0349999999999999</c:v>
                </c:pt>
                <c:pt idx="388">
                  <c:v>1.036</c:v>
                </c:pt>
                <c:pt idx="389">
                  <c:v>1.038</c:v>
                </c:pt>
                <c:pt idx="390">
                  <c:v>1.0509999999999999</c:v>
                </c:pt>
                <c:pt idx="391">
                  <c:v>1.0609999999999999</c:v>
                </c:pt>
                <c:pt idx="392">
                  <c:v>1.075</c:v>
                </c:pt>
                <c:pt idx="393">
                  <c:v>1.07</c:v>
                </c:pt>
                <c:pt idx="394">
                  <c:v>1.0589999999999999</c:v>
                </c:pt>
                <c:pt idx="395">
                  <c:v>1.048</c:v>
                </c:pt>
                <c:pt idx="396">
                  <c:v>1.026</c:v>
                </c:pt>
                <c:pt idx="397">
                  <c:v>1.0009999999999999</c:v>
                </c:pt>
                <c:pt idx="398">
                  <c:v>1.0609999999999999</c:v>
                </c:pt>
                <c:pt idx="399">
                  <c:v>1.0329999999999999</c:v>
                </c:pt>
                <c:pt idx="400">
                  <c:v>0.96</c:v>
                </c:pt>
                <c:pt idx="401">
                  <c:v>0.85699999999999998</c:v>
                </c:pt>
                <c:pt idx="402">
                  <c:v>0.76800000000000002</c:v>
                </c:pt>
                <c:pt idx="403">
                  <c:v>0.89600000000000002</c:v>
                </c:pt>
                <c:pt idx="404">
                  <c:v>0.876</c:v>
                </c:pt>
                <c:pt idx="405">
                  <c:v>0.83599999999999997</c:v>
                </c:pt>
                <c:pt idx="406">
                  <c:v>0.85799999999999998</c:v>
                </c:pt>
                <c:pt idx="407">
                  <c:v>0.85</c:v>
                </c:pt>
                <c:pt idx="408">
                  <c:v>0.84399999999999997</c:v>
                </c:pt>
                <c:pt idx="409">
                  <c:v>0.81399999999999995</c:v>
                </c:pt>
                <c:pt idx="410">
                  <c:v>0.83799999999999997</c:v>
                </c:pt>
                <c:pt idx="411">
                  <c:v>0.876</c:v>
                </c:pt>
                <c:pt idx="412">
                  <c:v>0.88600000000000001</c:v>
                </c:pt>
                <c:pt idx="413">
                  <c:v>0.89100000000000001</c:v>
                </c:pt>
                <c:pt idx="414">
                  <c:v>0.89</c:v>
                </c:pt>
                <c:pt idx="415">
                  <c:v>0.871</c:v>
                </c:pt>
                <c:pt idx="416">
                  <c:v>0.875</c:v>
                </c:pt>
                <c:pt idx="417">
                  <c:v>0.89500000000000002</c:v>
                </c:pt>
                <c:pt idx="418">
                  <c:v>0.88500000000000001</c:v>
                </c:pt>
                <c:pt idx="419">
                  <c:v>0.88100000000000001</c:v>
                </c:pt>
                <c:pt idx="420">
                  <c:v>0.88100000000000001</c:v>
                </c:pt>
                <c:pt idx="421">
                  <c:v>0.89400000000000002</c:v>
                </c:pt>
                <c:pt idx="422">
                  <c:v>0.89100000000000001</c:v>
                </c:pt>
                <c:pt idx="423">
                  <c:v>0.89100000000000001</c:v>
                </c:pt>
                <c:pt idx="424">
                  <c:v>0.90600000000000003</c:v>
                </c:pt>
                <c:pt idx="425">
                  <c:v>0.92100000000000004</c:v>
                </c:pt>
                <c:pt idx="426">
                  <c:v>0.88600000000000001</c:v>
                </c:pt>
                <c:pt idx="427">
                  <c:v>0.874</c:v>
                </c:pt>
                <c:pt idx="428">
                  <c:v>0.85099999999999998</c:v>
                </c:pt>
                <c:pt idx="429">
                  <c:v>0.88200000000000001</c:v>
                </c:pt>
                <c:pt idx="430">
                  <c:v>0.89100000000000001</c:v>
                </c:pt>
                <c:pt idx="431">
                  <c:v>0.89100000000000001</c:v>
                </c:pt>
                <c:pt idx="432">
                  <c:v>0.85099999999999998</c:v>
                </c:pt>
                <c:pt idx="433">
                  <c:v>0.86099999999999999</c:v>
                </c:pt>
                <c:pt idx="434">
                  <c:v>0.84099999999999997</c:v>
                </c:pt>
                <c:pt idx="435">
                  <c:v>0.83299999999999996</c:v>
                </c:pt>
                <c:pt idx="436">
                  <c:v>0.82599999999999996</c:v>
                </c:pt>
                <c:pt idx="437">
                  <c:v>0.82599999999999996</c:v>
                </c:pt>
                <c:pt idx="438">
                  <c:v>0.85499999999999998</c:v>
                </c:pt>
                <c:pt idx="439">
                  <c:v>0.86599999999999999</c:v>
                </c:pt>
                <c:pt idx="440">
                  <c:v>0.83699999999999997</c:v>
                </c:pt>
                <c:pt idx="441">
                  <c:v>0.81</c:v>
                </c:pt>
                <c:pt idx="442">
                  <c:v>0.81100000000000005</c:v>
                </c:pt>
                <c:pt idx="443">
                  <c:v>0.83099999999999996</c:v>
                </c:pt>
                <c:pt idx="444">
                  <c:v>0.80600000000000005</c:v>
                </c:pt>
                <c:pt idx="445">
                  <c:v>0.86399999999999999</c:v>
                </c:pt>
                <c:pt idx="446">
                  <c:v>0.85499999999999998</c:v>
                </c:pt>
                <c:pt idx="447">
                  <c:v>0.85499999999999998</c:v>
                </c:pt>
                <c:pt idx="448">
                  <c:v>0.81599999999999995</c:v>
                </c:pt>
                <c:pt idx="449">
                  <c:v>0.82099999999999995</c:v>
                </c:pt>
                <c:pt idx="450">
                  <c:v>0.88</c:v>
                </c:pt>
                <c:pt idx="451">
                  <c:v>0.92</c:v>
                </c:pt>
                <c:pt idx="452">
                  <c:v>0.92100000000000004</c:v>
                </c:pt>
                <c:pt idx="453">
                  <c:v>0.92600000000000005</c:v>
                </c:pt>
                <c:pt idx="454">
                  <c:v>0.93600000000000005</c:v>
                </c:pt>
                <c:pt idx="455">
                  <c:v>0.95799999999999996</c:v>
                </c:pt>
                <c:pt idx="456">
                  <c:v>0.95</c:v>
                </c:pt>
                <c:pt idx="457">
                  <c:v>0.95399999999999996</c:v>
                </c:pt>
                <c:pt idx="458">
                  <c:v>0.97099999999999997</c:v>
                </c:pt>
                <c:pt idx="459">
                  <c:v>0.95399999999999996</c:v>
                </c:pt>
                <c:pt idx="460">
                  <c:v>0.96499999999999997</c:v>
                </c:pt>
                <c:pt idx="461">
                  <c:v>0.97</c:v>
                </c:pt>
                <c:pt idx="462">
                  <c:v>0.95799999999999996</c:v>
                </c:pt>
                <c:pt idx="463">
                  <c:v>0.95499999999999996</c:v>
                </c:pt>
                <c:pt idx="464">
                  <c:v>0.98</c:v>
                </c:pt>
                <c:pt idx="465">
                  <c:v>0.98</c:v>
                </c:pt>
                <c:pt idx="466">
                  <c:v>0.96</c:v>
                </c:pt>
                <c:pt idx="467">
                  <c:v>0.94899999999999995</c:v>
                </c:pt>
                <c:pt idx="468">
                  <c:v>0.97</c:v>
                </c:pt>
                <c:pt idx="469">
                  <c:v>0.97599999999999998</c:v>
                </c:pt>
                <c:pt idx="470">
                  <c:v>0.95299999999999996</c:v>
                </c:pt>
                <c:pt idx="471">
                  <c:v>0.93700000000000006</c:v>
                </c:pt>
                <c:pt idx="472">
                  <c:v>0.94399999999999995</c:v>
                </c:pt>
                <c:pt idx="473">
                  <c:v>0.93300000000000005</c:v>
                </c:pt>
                <c:pt idx="474">
                  <c:v>0.98</c:v>
                </c:pt>
                <c:pt idx="475">
                  <c:v>1.006</c:v>
                </c:pt>
                <c:pt idx="476">
                  <c:v>0.999</c:v>
                </c:pt>
                <c:pt idx="477">
                  <c:v>0.99399999999999999</c:v>
                </c:pt>
                <c:pt idx="478">
                  <c:v>1.0009999999999999</c:v>
                </c:pt>
                <c:pt idx="479">
                  <c:v>1.038</c:v>
                </c:pt>
                <c:pt idx="480">
                  <c:v>1.052</c:v>
                </c:pt>
                <c:pt idx="481">
                  <c:v>1.0669999999999999</c:v>
                </c:pt>
                <c:pt idx="482">
                  <c:v>1.0629999999999999</c:v>
                </c:pt>
                <c:pt idx="483">
                  <c:v>1.0569999999999999</c:v>
                </c:pt>
                <c:pt idx="484">
                  <c:v>1.0609999999999999</c:v>
                </c:pt>
                <c:pt idx="485">
                  <c:v>1.087</c:v>
                </c:pt>
                <c:pt idx="486">
                  <c:v>1.0740000000000001</c:v>
                </c:pt>
                <c:pt idx="487">
                  <c:v>1.0649999999999999</c:v>
                </c:pt>
                <c:pt idx="488">
                  <c:v>1.0529999999999999</c:v>
                </c:pt>
                <c:pt idx="489">
                  <c:v>1.0649999999999999</c:v>
                </c:pt>
                <c:pt idx="490">
                  <c:v>1.0469999999999999</c:v>
                </c:pt>
                <c:pt idx="491">
                  <c:v>1.044</c:v>
                </c:pt>
                <c:pt idx="492">
                  <c:v>1.0669999999999999</c:v>
                </c:pt>
                <c:pt idx="493">
                  <c:v>1.0680000000000001</c:v>
                </c:pt>
                <c:pt idx="494">
                  <c:v>1.046</c:v>
                </c:pt>
                <c:pt idx="495">
                  <c:v>1.0620000000000001</c:v>
                </c:pt>
                <c:pt idx="496">
                  <c:v>1.046</c:v>
                </c:pt>
                <c:pt idx="497">
                  <c:v>1.0329999999999999</c:v>
                </c:pt>
                <c:pt idx="498">
                  <c:v>1.0529999999999999</c:v>
                </c:pt>
                <c:pt idx="499">
                  <c:v>1.0589999999999999</c:v>
                </c:pt>
                <c:pt idx="500">
                  <c:v>1.0409999999999999</c:v>
                </c:pt>
                <c:pt idx="501">
                  <c:v>1.0329999999999999</c:v>
                </c:pt>
                <c:pt idx="502">
                  <c:v>1.0569999999999999</c:v>
                </c:pt>
                <c:pt idx="503">
                  <c:v>1.071</c:v>
                </c:pt>
                <c:pt idx="504">
                  <c:v>1.0569999999999999</c:v>
                </c:pt>
                <c:pt idx="505">
                  <c:v>1.071</c:v>
                </c:pt>
                <c:pt idx="506">
                  <c:v>1.044</c:v>
                </c:pt>
                <c:pt idx="507">
                  <c:v>1.0569999999999999</c:v>
                </c:pt>
                <c:pt idx="508">
                  <c:v>1.06</c:v>
                </c:pt>
                <c:pt idx="509">
                  <c:v>1.0569999999999999</c:v>
                </c:pt>
                <c:pt idx="510">
                  <c:v>1.081</c:v>
                </c:pt>
                <c:pt idx="511">
                  <c:v>1.0900000000000001</c:v>
                </c:pt>
                <c:pt idx="512">
                  <c:v>1.0820000000000001</c:v>
                </c:pt>
                <c:pt idx="513">
                  <c:v>1.1140000000000001</c:v>
                </c:pt>
                <c:pt idx="514">
                  <c:v>1.119</c:v>
                </c:pt>
                <c:pt idx="515">
                  <c:v>1.177</c:v>
                </c:pt>
                <c:pt idx="516">
                  <c:v>1.1759999999999999</c:v>
                </c:pt>
                <c:pt idx="517">
                  <c:v>1.198</c:v>
                </c:pt>
                <c:pt idx="518">
                  <c:v>1.2410000000000001</c:v>
                </c:pt>
                <c:pt idx="519">
                  <c:v>1.25</c:v>
                </c:pt>
                <c:pt idx="520">
                  <c:v>1.2030000000000001</c:v>
                </c:pt>
                <c:pt idx="521">
                  <c:v>1.2</c:v>
                </c:pt>
                <c:pt idx="522">
                  <c:v>1.194</c:v>
                </c:pt>
                <c:pt idx="523">
                  <c:v>1.1879999999999999</c:v>
                </c:pt>
                <c:pt idx="524">
                  <c:v>1.196</c:v>
                </c:pt>
                <c:pt idx="525">
                  <c:v>1.204</c:v>
                </c:pt>
                <c:pt idx="526">
                  <c:v>1.228</c:v>
                </c:pt>
                <c:pt idx="527">
                  <c:v>1.2170000000000001</c:v>
                </c:pt>
                <c:pt idx="528">
                  <c:v>1.1910000000000001</c:v>
                </c:pt>
                <c:pt idx="529">
                  <c:v>1.19</c:v>
                </c:pt>
                <c:pt idx="530">
                  <c:v>1.2090000000000001</c:v>
                </c:pt>
                <c:pt idx="531">
                  <c:v>1.242</c:v>
                </c:pt>
                <c:pt idx="532">
                  <c:v>1.242</c:v>
                </c:pt>
                <c:pt idx="533">
                  <c:v>1.2709999999999999</c:v>
                </c:pt>
                <c:pt idx="534">
                  <c:v>1.28</c:v>
                </c:pt>
                <c:pt idx="535">
                  <c:v>1.26</c:v>
                </c:pt>
                <c:pt idx="536">
                  <c:v>1.2949999999999999</c:v>
                </c:pt>
                <c:pt idx="537">
                  <c:v>1.3080000000000001</c:v>
                </c:pt>
                <c:pt idx="538">
                  <c:v>1.335</c:v>
                </c:pt>
                <c:pt idx="539">
                  <c:v>1.341</c:v>
                </c:pt>
                <c:pt idx="540">
                  <c:v>1.341</c:v>
                </c:pt>
                <c:pt idx="541">
                  <c:v>1.3740000000000001</c:v>
                </c:pt>
                <c:pt idx="542">
                  <c:v>1.4159999999999999</c:v>
                </c:pt>
                <c:pt idx="543">
                  <c:v>1.421</c:v>
                </c:pt>
                <c:pt idx="544">
                  <c:v>1.4259999999999999</c:v>
                </c:pt>
                <c:pt idx="545">
                  <c:v>1.411</c:v>
                </c:pt>
                <c:pt idx="546">
                  <c:v>1.37</c:v>
                </c:pt>
                <c:pt idx="547">
                  <c:v>1.355</c:v>
                </c:pt>
                <c:pt idx="548">
                  <c:v>1.381</c:v>
                </c:pt>
                <c:pt idx="549">
                  <c:v>1.36</c:v>
                </c:pt>
                <c:pt idx="550">
                  <c:v>1.393</c:v>
                </c:pt>
                <c:pt idx="551">
                  <c:v>1.411</c:v>
                </c:pt>
                <c:pt idx="552">
                  <c:v>1.43</c:v>
                </c:pt>
                <c:pt idx="553">
                  <c:v>1.496</c:v>
                </c:pt>
                <c:pt idx="554">
                  <c:v>1.5</c:v>
                </c:pt>
                <c:pt idx="555">
                  <c:v>1.5509999999999999</c:v>
                </c:pt>
                <c:pt idx="556">
                  <c:v>1.4910000000000001</c:v>
                </c:pt>
                <c:pt idx="557">
                  <c:v>1.5049999999999999</c:v>
                </c:pt>
                <c:pt idx="558">
                  <c:v>1.5229999999999999</c:v>
                </c:pt>
                <c:pt idx="559">
                  <c:v>1.5029999999999999</c:v>
                </c:pt>
                <c:pt idx="560">
                  <c:v>1.4910000000000001</c:v>
                </c:pt>
                <c:pt idx="561">
                  <c:v>1.4830000000000001</c:v>
                </c:pt>
                <c:pt idx="562">
                  <c:v>1.4990000000000001</c:v>
                </c:pt>
                <c:pt idx="563">
                  <c:v>1.5049999999999999</c:v>
                </c:pt>
                <c:pt idx="564">
                  <c:v>1.5189999999999999</c:v>
                </c:pt>
                <c:pt idx="565">
                  <c:v>1.55</c:v>
                </c:pt>
                <c:pt idx="566">
                  <c:v>1.5589999999999999</c:v>
                </c:pt>
                <c:pt idx="567">
                  <c:v>1.5629999999999999</c:v>
                </c:pt>
                <c:pt idx="568">
                  <c:v>1.528</c:v>
                </c:pt>
                <c:pt idx="569">
                  <c:v>1.4690000000000001</c:v>
                </c:pt>
              </c:numCache>
            </c:numRef>
          </c:val>
          <c:smooth val="0"/>
          <c:extLst xmlns:c16r2="http://schemas.microsoft.com/office/drawing/2015/06/chart">
            <c:ext xmlns:c16="http://schemas.microsoft.com/office/drawing/2014/chart" uri="{C3380CC4-5D6E-409C-BE32-E72D297353CC}">
              <c16:uniqueId val="{00000001-9BAD-495B-9058-3D16AB7FB3E8}"/>
            </c:ext>
          </c:extLst>
        </c:ser>
        <c:dLbls>
          <c:showLegendKey val="0"/>
          <c:showVal val="0"/>
          <c:showCatName val="0"/>
          <c:showSerName val="0"/>
          <c:showPercent val="0"/>
          <c:showBubbleSize val="0"/>
        </c:dLbls>
        <c:marker val="1"/>
        <c:smooth val="0"/>
        <c:axId val="374135808"/>
        <c:axId val="374145792"/>
      </c:lineChart>
      <c:dateAx>
        <c:axId val="374135808"/>
        <c:scaling>
          <c:orientation val="minMax"/>
        </c:scaling>
        <c:delete val="0"/>
        <c:axPos val="b"/>
        <c:numFmt formatCode="m/d/yy" sourceLinked="1"/>
        <c:majorTickMark val="out"/>
        <c:minorTickMark val="out"/>
        <c:tickLblPos val="low"/>
        <c:spPr>
          <a:noFill/>
          <a:ln w="15875" cap="flat" cmpd="sng" algn="ctr">
            <a:solidFill>
              <a:sysClr val="windowText" lastClr="000000"/>
            </a:solidFill>
            <a:round/>
          </a:ln>
          <a:effectLst/>
        </c:spPr>
        <c:txPr>
          <a:bodyPr rot="0" spcFirstLastPara="1" vertOverflow="ellipsis" wrap="square" anchor="ctr" anchorCtr="1"/>
          <a:lstStyle/>
          <a:p>
            <a:pPr>
              <a:defRPr lang="ja-JP" sz="900" b="0" i="0" u="none" strike="noStrike" kern="1200" baseline="0">
                <a:solidFill>
                  <a:sysClr val="windowText" lastClr="000000"/>
                </a:solidFill>
                <a:latin typeface="Times New Roman" panose="02020603050405020304" pitchFamily="18" charset="0"/>
                <a:ea typeface="楷体" panose="02010609060101010101" pitchFamily="49" charset="-122"/>
                <a:cs typeface="Times New Roman" panose="02020603050405020304" pitchFamily="18" charset="0"/>
              </a:defRPr>
            </a:pPr>
            <a:endParaRPr lang="zh-CN"/>
          </a:p>
        </c:txPr>
        <c:crossAx val="374145792"/>
        <c:crosses val="autoZero"/>
        <c:auto val="1"/>
        <c:lblOffset val="100"/>
        <c:baseTimeUnit val="days"/>
        <c:majorUnit val="3"/>
        <c:minorUnit val="2"/>
      </c:dateAx>
      <c:valAx>
        <c:axId val="374145792"/>
        <c:scaling>
          <c:orientation val="minMax"/>
        </c:scaling>
        <c:delete val="0"/>
        <c:axPos val="l"/>
        <c:title>
          <c:tx>
            <c:rich>
              <a:bodyPr rot="0" spcFirstLastPara="1" vertOverflow="ellipsis" vert="wordArtVertRtl"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ltLang="zh-CN" sz="900">
                    <a:solidFill>
                      <a:sysClr val="windowText" lastClr="000000"/>
                    </a:solidFill>
                    <a:latin typeface="Times New Roman" panose="02020603050405020304" pitchFamily="18" charset="0"/>
                    <a:cs typeface="Times New Roman" panose="02020603050405020304" pitchFamily="18" charset="0"/>
                  </a:rPr>
                  <a:t>%</a:t>
                </a:r>
                <a:endParaRPr lang="zh-CN" altLang="en-US" sz="9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9.4074074074074268E-2"/>
              <c:y val="3.1875011610841843E-3"/>
            </c:manualLayout>
          </c:layout>
          <c:overlay val="0"/>
          <c:spPr>
            <a:noFill/>
            <a:ln w="25400">
              <a:noFill/>
            </a:ln>
          </c:spPr>
        </c:title>
        <c:numFmt formatCode="#,##0.00_ " sourceLinked="0"/>
        <c:majorTickMark val="out"/>
        <c:minorTickMark val="none"/>
        <c:tickLblPos val="nextTo"/>
        <c:spPr>
          <a:noFill/>
          <a:ln w="15875">
            <a:solidFill>
              <a:sysClr val="windowText" lastClr="000000"/>
            </a:solidFill>
          </a:ln>
          <a:effectLst/>
        </c:spPr>
        <c:txPr>
          <a:bodyPr rot="-60000000" spcFirstLastPara="1" vertOverflow="ellipsis" vert="horz" wrap="square" anchor="ctr" anchorCtr="1"/>
          <a:lstStyle/>
          <a:p>
            <a:pPr>
              <a:defRPr lang="ja-JP"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zh-CN"/>
          </a:p>
        </c:txPr>
        <c:crossAx val="374135808"/>
        <c:crosses val="autoZero"/>
        <c:crossBetween val="between"/>
      </c:valAx>
      <c:spPr>
        <a:noFill/>
        <a:ln w="25400">
          <a:noFill/>
        </a:ln>
      </c:spPr>
    </c:plotArea>
    <c:plotVisOnly val="1"/>
    <c:dispBlanksAs val="gap"/>
    <c:showDLblsOverMax val="0"/>
  </c:chart>
  <c:spPr>
    <a:solidFill>
      <a:srgbClr val="FFFFFF"/>
    </a:solidFill>
    <a:ln w="3175">
      <a:solidFill>
        <a:srgbClr val="FFFFFF"/>
      </a:solidFill>
      <a:prstDash val="solid"/>
    </a:ln>
  </c:spPr>
  <c:txPr>
    <a:bodyPr/>
    <a:lstStyle/>
    <a:p>
      <a:pPr>
        <a:defRPr/>
      </a:pPr>
      <a:endParaRPr lang="zh-CN"/>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526388888888895E-2"/>
          <c:y val="0.131324786324786"/>
          <c:w val="0.87612481962482003"/>
          <c:h val="0.65251837606837604"/>
        </c:manualLayout>
      </c:layout>
      <c:lineChart>
        <c:grouping val="standard"/>
        <c:varyColors val="0"/>
        <c:ser>
          <c:idx val="2"/>
          <c:order val="0"/>
          <c:tx>
            <c:strRef>
              <c:f>' 东盟六国与韩国的制造业PMI'!$A$4</c:f>
              <c:strCache>
                <c:ptCount val="1"/>
                <c:pt idx="0">
                  <c:v>印尼</c:v>
                </c:pt>
              </c:strCache>
            </c:strRef>
          </c:tx>
          <c:spPr>
            <a:ln w="19050" cap="rnd">
              <a:solidFill>
                <a:srgbClr val="74A3BA"/>
              </a:solidFill>
              <a:prstDash val="sysDot"/>
              <a:round/>
            </a:ln>
            <a:effectLst/>
          </c:spPr>
          <c:marker>
            <c:symbol val="none"/>
          </c:marker>
          <c:cat>
            <c:strRef>
              <c:f>' 东盟六国与韩国的制造业PMI'!$K$2:$AW$2</c:f>
              <c:strCache>
                <c:ptCount val="39"/>
                <c:pt idx="0">
                  <c:v>1月
2022</c:v>
                </c:pt>
                <c:pt idx="1">
                  <c:v>2月</c:v>
                </c:pt>
                <c:pt idx="2">
                  <c:v>3月</c:v>
                </c:pt>
                <c:pt idx="3">
                  <c:v>4月</c:v>
                </c:pt>
                <c:pt idx="4">
                  <c:v>5月</c:v>
                </c:pt>
                <c:pt idx="5">
                  <c:v>6月</c:v>
                </c:pt>
                <c:pt idx="6">
                  <c:v>7月</c:v>
                </c:pt>
                <c:pt idx="7">
                  <c:v>8月</c:v>
                </c:pt>
                <c:pt idx="8">
                  <c:v>9月</c:v>
                </c:pt>
                <c:pt idx="9">
                  <c:v>10月</c:v>
                </c:pt>
                <c:pt idx="10">
                  <c:v>11月</c:v>
                </c:pt>
                <c:pt idx="11">
                  <c:v>12月</c:v>
                </c:pt>
                <c:pt idx="12">
                  <c:v>1月
2023</c:v>
                </c:pt>
                <c:pt idx="13">
                  <c:v>2月</c:v>
                </c:pt>
                <c:pt idx="14">
                  <c:v>3月</c:v>
                </c:pt>
                <c:pt idx="15">
                  <c:v>4月</c:v>
                </c:pt>
                <c:pt idx="16">
                  <c:v>5月</c:v>
                </c:pt>
                <c:pt idx="17">
                  <c:v>6月</c:v>
                </c:pt>
                <c:pt idx="18">
                  <c:v>7月</c:v>
                </c:pt>
                <c:pt idx="19">
                  <c:v>8月</c:v>
                </c:pt>
                <c:pt idx="20">
                  <c:v>9月</c:v>
                </c:pt>
                <c:pt idx="21">
                  <c:v>10月</c:v>
                </c:pt>
                <c:pt idx="22">
                  <c:v>11月</c:v>
                </c:pt>
                <c:pt idx="23">
                  <c:v>12月</c:v>
                </c:pt>
                <c:pt idx="24">
                  <c:v>1月
2024</c:v>
                </c:pt>
                <c:pt idx="25">
                  <c:v>2月</c:v>
                </c:pt>
                <c:pt idx="26">
                  <c:v>3月</c:v>
                </c:pt>
                <c:pt idx="27">
                  <c:v>4月</c:v>
                </c:pt>
                <c:pt idx="28">
                  <c:v>5月</c:v>
                </c:pt>
                <c:pt idx="29">
                  <c:v>6月</c:v>
                </c:pt>
                <c:pt idx="30">
                  <c:v>7月</c:v>
                </c:pt>
                <c:pt idx="31">
                  <c:v>8月</c:v>
                </c:pt>
                <c:pt idx="32">
                  <c:v>9月</c:v>
                </c:pt>
                <c:pt idx="33">
                  <c:v>10月</c:v>
                </c:pt>
                <c:pt idx="34">
                  <c:v>11月</c:v>
                </c:pt>
                <c:pt idx="35">
                  <c:v>12月</c:v>
                </c:pt>
                <c:pt idx="36">
                  <c:v>1月
2025</c:v>
                </c:pt>
                <c:pt idx="37">
                  <c:v>2月</c:v>
                </c:pt>
                <c:pt idx="38">
                  <c:v>3月</c:v>
                </c:pt>
              </c:strCache>
            </c:strRef>
          </c:cat>
          <c:val>
            <c:numRef>
              <c:f>' 东盟六国与韩国的制造业PMI'!$K$4:$AW$4</c:f>
              <c:numCache>
                <c:formatCode>General</c:formatCode>
                <c:ptCount val="39"/>
                <c:pt idx="1">
                  <c:v>51.2</c:v>
                </c:pt>
                <c:pt idx="2">
                  <c:v>51.3</c:v>
                </c:pt>
                <c:pt idx="3">
                  <c:v>51.9</c:v>
                </c:pt>
                <c:pt idx="4">
                  <c:v>50.8</c:v>
                </c:pt>
                <c:pt idx="5">
                  <c:v>50.2</c:v>
                </c:pt>
                <c:pt idx="6">
                  <c:v>51.3</c:v>
                </c:pt>
                <c:pt idx="7">
                  <c:v>51.7</c:v>
                </c:pt>
                <c:pt idx="8">
                  <c:v>53.7</c:v>
                </c:pt>
                <c:pt idx="9">
                  <c:v>51.8</c:v>
                </c:pt>
                <c:pt idx="10">
                  <c:v>50.3</c:v>
                </c:pt>
                <c:pt idx="11">
                  <c:v>50.9</c:v>
                </c:pt>
                <c:pt idx="12">
                  <c:v>51.3</c:v>
                </c:pt>
                <c:pt idx="13">
                  <c:v>51.2</c:v>
                </c:pt>
                <c:pt idx="14">
                  <c:v>51.9</c:v>
                </c:pt>
                <c:pt idx="15">
                  <c:v>52.7</c:v>
                </c:pt>
                <c:pt idx="16">
                  <c:v>50.3</c:v>
                </c:pt>
                <c:pt idx="17">
                  <c:v>52.5</c:v>
                </c:pt>
                <c:pt idx="18">
                  <c:v>53.3</c:v>
                </c:pt>
                <c:pt idx="19">
                  <c:v>53.9</c:v>
                </c:pt>
                <c:pt idx="20">
                  <c:v>52.3</c:v>
                </c:pt>
                <c:pt idx="21">
                  <c:v>51.5</c:v>
                </c:pt>
                <c:pt idx="22">
                  <c:v>51.7</c:v>
                </c:pt>
                <c:pt idx="23">
                  <c:v>52.2</c:v>
                </c:pt>
                <c:pt idx="24">
                  <c:v>52.9</c:v>
                </c:pt>
                <c:pt idx="25">
                  <c:v>52.7</c:v>
                </c:pt>
                <c:pt idx="26">
                  <c:v>54.2</c:v>
                </c:pt>
                <c:pt idx="27">
                  <c:v>52.9</c:v>
                </c:pt>
                <c:pt idx="28">
                  <c:v>52.1</c:v>
                </c:pt>
                <c:pt idx="29">
                  <c:v>50.7</c:v>
                </c:pt>
                <c:pt idx="30">
                  <c:v>49.3</c:v>
                </c:pt>
                <c:pt idx="31">
                  <c:v>48.9</c:v>
                </c:pt>
                <c:pt idx="32">
                  <c:v>49.2</c:v>
                </c:pt>
                <c:pt idx="33">
                  <c:v>49.2</c:v>
                </c:pt>
                <c:pt idx="34">
                  <c:v>49.6</c:v>
                </c:pt>
                <c:pt idx="35">
                  <c:v>51.2</c:v>
                </c:pt>
                <c:pt idx="36">
                  <c:v>51.9</c:v>
                </c:pt>
                <c:pt idx="37">
                  <c:v>53.6</c:v>
                </c:pt>
                <c:pt idx="38">
                  <c:v>52.4</c:v>
                </c:pt>
              </c:numCache>
            </c:numRef>
          </c:val>
          <c:smooth val="0"/>
          <c:extLst xmlns:c16r2="http://schemas.microsoft.com/office/drawing/2015/06/chart">
            <c:ext xmlns:c16="http://schemas.microsoft.com/office/drawing/2014/chart" uri="{C3380CC4-5D6E-409C-BE32-E72D297353CC}">
              <c16:uniqueId val="{00000000-BC72-4DED-8327-09059029CA67}"/>
            </c:ext>
          </c:extLst>
        </c:ser>
        <c:ser>
          <c:idx val="3"/>
          <c:order val="1"/>
          <c:tx>
            <c:strRef>
              <c:f>' 东盟六国与韩国的制造业PMI'!$A$5</c:f>
              <c:strCache>
                <c:ptCount val="1"/>
                <c:pt idx="0">
                  <c:v>泰国</c:v>
                </c:pt>
              </c:strCache>
            </c:strRef>
          </c:tx>
          <c:spPr>
            <a:ln w="19050" cap="rnd">
              <a:solidFill>
                <a:srgbClr val="74A3BA"/>
              </a:solidFill>
              <a:prstDash val="dash"/>
              <a:round/>
            </a:ln>
            <a:effectLst/>
          </c:spPr>
          <c:marker>
            <c:symbol val="none"/>
          </c:marker>
          <c:cat>
            <c:strRef>
              <c:f>' 东盟六国与韩国的制造业PMI'!$K$2:$AW$2</c:f>
              <c:strCache>
                <c:ptCount val="39"/>
                <c:pt idx="0">
                  <c:v>1月
2022</c:v>
                </c:pt>
                <c:pt idx="1">
                  <c:v>2月</c:v>
                </c:pt>
                <c:pt idx="2">
                  <c:v>3月</c:v>
                </c:pt>
                <c:pt idx="3">
                  <c:v>4月</c:v>
                </c:pt>
                <c:pt idx="4">
                  <c:v>5月</c:v>
                </c:pt>
                <c:pt idx="5">
                  <c:v>6月</c:v>
                </c:pt>
                <c:pt idx="6">
                  <c:v>7月</c:v>
                </c:pt>
                <c:pt idx="7">
                  <c:v>8月</c:v>
                </c:pt>
                <c:pt idx="8">
                  <c:v>9月</c:v>
                </c:pt>
                <c:pt idx="9">
                  <c:v>10月</c:v>
                </c:pt>
                <c:pt idx="10">
                  <c:v>11月</c:v>
                </c:pt>
                <c:pt idx="11">
                  <c:v>12月</c:v>
                </c:pt>
                <c:pt idx="12">
                  <c:v>1月
2023</c:v>
                </c:pt>
                <c:pt idx="13">
                  <c:v>2月</c:v>
                </c:pt>
                <c:pt idx="14">
                  <c:v>3月</c:v>
                </c:pt>
                <c:pt idx="15">
                  <c:v>4月</c:v>
                </c:pt>
                <c:pt idx="16">
                  <c:v>5月</c:v>
                </c:pt>
                <c:pt idx="17">
                  <c:v>6月</c:v>
                </c:pt>
                <c:pt idx="18">
                  <c:v>7月</c:v>
                </c:pt>
                <c:pt idx="19">
                  <c:v>8月</c:v>
                </c:pt>
                <c:pt idx="20">
                  <c:v>9月</c:v>
                </c:pt>
                <c:pt idx="21">
                  <c:v>10月</c:v>
                </c:pt>
                <c:pt idx="22">
                  <c:v>11月</c:v>
                </c:pt>
                <c:pt idx="23">
                  <c:v>12月</c:v>
                </c:pt>
                <c:pt idx="24">
                  <c:v>1月
2024</c:v>
                </c:pt>
                <c:pt idx="25">
                  <c:v>2月</c:v>
                </c:pt>
                <c:pt idx="26">
                  <c:v>3月</c:v>
                </c:pt>
                <c:pt idx="27">
                  <c:v>4月</c:v>
                </c:pt>
                <c:pt idx="28">
                  <c:v>5月</c:v>
                </c:pt>
                <c:pt idx="29">
                  <c:v>6月</c:v>
                </c:pt>
                <c:pt idx="30">
                  <c:v>7月</c:v>
                </c:pt>
                <c:pt idx="31">
                  <c:v>8月</c:v>
                </c:pt>
                <c:pt idx="32">
                  <c:v>9月</c:v>
                </c:pt>
                <c:pt idx="33">
                  <c:v>10月</c:v>
                </c:pt>
                <c:pt idx="34">
                  <c:v>11月</c:v>
                </c:pt>
                <c:pt idx="35">
                  <c:v>12月</c:v>
                </c:pt>
                <c:pt idx="36">
                  <c:v>1月
2025</c:v>
                </c:pt>
                <c:pt idx="37">
                  <c:v>2月</c:v>
                </c:pt>
                <c:pt idx="38">
                  <c:v>3月</c:v>
                </c:pt>
              </c:strCache>
            </c:strRef>
          </c:cat>
          <c:val>
            <c:numRef>
              <c:f>' 东盟六国与韩国的制造业PMI'!$K$5:$AW$5</c:f>
              <c:numCache>
                <c:formatCode>General</c:formatCode>
                <c:ptCount val="39"/>
                <c:pt idx="1">
                  <c:v>52.5</c:v>
                </c:pt>
                <c:pt idx="2">
                  <c:v>51.8</c:v>
                </c:pt>
                <c:pt idx="3">
                  <c:v>51.9</c:v>
                </c:pt>
                <c:pt idx="4">
                  <c:v>51.9</c:v>
                </c:pt>
                <c:pt idx="5">
                  <c:v>50.7</c:v>
                </c:pt>
                <c:pt idx="6">
                  <c:v>52.4</c:v>
                </c:pt>
                <c:pt idx="7">
                  <c:v>53.7</c:v>
                </c:pt>
                <c:pt idx="8">
                  <c:v>55.7</c:v>
                </c:pt>
                <c:pt idx="9">
                  <c:v>51.6</c:v>
                </c:pt>
                <c:pt idx="10">
                  <c:v>51.1</c:v>
                </c:pt>
                <c:pt idx="11">
                  <c:v>52.5</c:v>
                </c:pt>
                <c:pt idx="12">
                  <c:v>54.5</c:v>
                </c:pt>
                <c:pt idx="13">
                  <c:v>54.8</c:v>
                </c:pt>
                <c:pt idx="14">
                  <c:v>53.1</c:v>
                </c:pt>
                <c:pt idx="15">
                  <c:v>60.4</c:v>
                </c:pt>
                <c:pt idx="16">
                  <c:v>58.2</c:v>
                </c:pt>
                <c:pt idx="17">
                  <c:v>53.2</c:v>
                </c:pt>
                <c:pt idx="18">
                  <c:v>50.7</c:v>
                </c:pt>
                <c:pt idx="19">
                  <c:v>48.9</c:v>
                </c:pt>
                <c:pt idx="20">
                  <c:v>47.8</c:v>
                </c:pt>
                <c:pt idx="21">
                  <c:v>47.5</c:v>
                </c:pt>
                <c:pt idx="22">
                  <c:v>47.6</c:v>
                </c:pt>
                <c:pt idx="23">
                  <c:v>45.1</c:v>
                </c:pt>
                <c:pt idx="24">
                  <c:v>46.7</c:v>
                </c:pt>
                <c:pt idx="25">
                  <c:v>45.3</c:v>
                </c:pt>
                <c:pt idx="26">
                  <c:v>49.1</c:v>
                </c:pt>
                <c:pt idx="27">
                  <c:v>48.6</c:v>
                </c:pt>
                <c:pt idx="28">
                  <c:v>50.3</c:v>
                </c:pt>
                <c:pt idx="29">
                  <c:v>51.7</c:v>
                </c:pt>
                <c:pt idx="30">
                  <c:v>52.8</c:v>
                </c:pt>
                <c:pt idx="31">
                  <c:v>52</c:v>
                </c:pt>
                <c:pt idx="32">
                  <c:v>50.4</c:v>
                </c:pt>
                <c:pt idx="33">
                  <c:v>50</c:v>
                </c:pt>
                <c:pt idx="34">
                  <c:v>50.2</c:v>
                </c:pt>
                <c:pt idx="35">
                  <c:v>51.4</c:v>
                </c:pt>
                <c:pt idx="36">
                  <c:v>49.6</c:v>
                </c:pt>
                <c:pt idx="37">
                  <c:v>50.6</c:v>
                </c:pt>
                <c:pt idx="38">
                  <c:v>49.9</c:v>
                </c:pt>
              </c:numCache>
            </c:numRef>
          </c:val>
          <c:smooth val="0"/>
          <c:extLst xmlns:c16r2="http://schemas.microsoft.com/office/drawing/2015/06/chart">
            <c:ext xmlns:c16="http://schemas.microsoft.com/office/drawing/2014/chart" uri="{C3380CC4-5D6E-409C-BE32-E72D297353CC}">
              <c16:uniqueId val="{00000001-BC72-4DED-8327-09059029CA67}"/>
            </c:ext>
          </c:extLst>
        </c:ser>
        <c:ser>
          <c:idx val="4"/>
          <c:order val="2"/>
          <c:tx>
            <c:strRef>
              <c:f>' 东盟六国与韩国的制造业PMI'!$A$6</c:f>
              <c:strCache>
                <c:ptCount val="1"/>
                <c:pt idx="0">
                  <c:v>马来西亚</c:v>
                </c:pt>
              </c:strCache>
            </c:strRef>
          </c:tx>
          <c:spPr>
            <a:ln w="19050" cap="rnd">
              <a:solidFill>
                <a:srgbClr val="74A3BA"/>
              </a:solidFill>
              <a:prstDash val="solid"/>
              <a:round/>
            </a:ln>
            <a:effectLst/>
          </c:spPr>
          <c:marker>
            <c:symbol val="none"/>
          </c:marker>
          <c:cat>
            <c:strRef>
              <c:f>' 东盟六国与韩国的制造业PMI'!$K$2:$AW$2</c:f>
              <c:strCache>
                <c:ptCount val="39"/>
                <c:pt idx="0">
                  <c:v>1月
2022</c:v>
                </c:pt>
                <c:pt idx="1">
                  <c:v>2月</c:v>
                </c:pt>
                <c:pt idx="2">
                  <c:v>3月</c:v>
                </c:pt>
                <c:pt idx="3">
                  <c:v>4月</c:v>
                </c:pt>
                <c:pt idx="4">
                  <c:v>5月</c:v>
                </c:pt>
                <c:pt idx="5">
                  <c:v>6月</c:v>
                </c:pt>
                <c:pt idx="6">
                  <c:v>7月</c:v>
                </c:pt>
                <c:pt idx="7">
                  <c:v>8月</c:v>
                </c:pt>
                <c:pt idx="8">
                  <c:v>9月</c:v>
                </c:pt>
                <c:pt idx="9">
                  <c:v>10月</c:v>
                </c:pt>
                <c:pt idx="10">
                  <c:v>11月</c:v>
                </c:pt>
                <c:pt idx="11">
                  <c:v>12月</c:v>
                </c:pt>
                <c:pt idx="12">
                  <c:v>1月
2023</c:v>
                </c:pt>
                <c:pt idx="13">
                  <c:v>2月</c:v>
                </c:pt>
                <c:pt idx="14">
                  <c:v>3月</c:v>
                </c:pt>
                <c:pt idx="15">
                  <c:v>4月</c:v>
                </c:pt>
                <c:pt idx="16">
                  <c:v>5月</c:v>
                </c:pt>
                <c:pt idx="17">
                  <c:v>6月</c:v>
                </c:pt>
                <c:pt idx="18">
                  <c:v>7月</c:v>
                </c:pt>
                <c:pt idx="19">
                  <c:v>8月</c:v>
                </c:pt>
                <c:pt idx="20">
                  <c:v>9月</c:v>
                </c:pt>
                <c:pt idx="21">
                  <c:v>10月</c:v>
                </c:pt>
                <c:pt idx="22">
                  <c:v>11月</c:v>
                </c:pt>
                <c:pt idx="23">
                  <c:v>12月</c:v>
                </c:pt>
                <c:pt idx="24">
                  <c:v>1月
2024</c:v>
                </c:pt>
                <c:pt idx="25">
                  <c:v>2月</c:v>
                </c:pt>
                <c:pt idx="26">
                  <c:v>3月</c:v>
                </c:pt>
                <c:pt idx="27">
                  <c:v>4月</c:v>
                </c:pt>
                <c:pt idx="28">
                  <c:v>5月</c:v>
                </c:pt>
                <c:pt idx="29">
                  <c:v>6月</c:v>
                </c:pt>
                <c:pt idx="30">
                  <c:v>7月</c:v>
                </c:pt>
                <c:pt idx="31">
                  <c:v>8月</c:v>
                </c:pt>
                <c:pt idx="32">
                  <c:v>9月</c:v>
                </c:pt>
                <c:pt idx="33">
                  <c:v>10月</c:v>
                </c:pt>
                <c:pt idx="34">
                  <c:v>11月</c:v>
                </c:pt>
                <c:pt idx="35">
                  <c:v>12月</c:v>
                </c:pt>
                <c:pt idx="36">
                  <c:v>1月
2025</c:v>
                </c:pt>
                <c:pt idx="37">
                  <c:v>2月</c:v>
                </c:pt>
                <c:pt idx="38">
                  <c:v>3月</c:v>
                </c:pt>
              </c:strCache>
            </c:strRef>
          </c:cat>
          <c:val>
            <c:numRef>
              <c:f>' 东盟六国与韩国的制造业PMI'!$K$6:$AW$6</c:f>
              <c:numCache>
                <c:formatCode>General</c:formatCode>
                <c:ptCount val="39"/>
                <c:pt idx="1">
                  <c:v>50.9</c:v>
                </c:pt>
                <c:pt idx="2">
                  <c:v>49.6</c:v>
                </c:pt>
                <c:pt idx="3">
                  <c:v>51.6</c:v>
                </c:pt>
                <c:pt idx="4">
                  <c:v>50.1</c:v>
                </c:pt>
                <c:pt idx="5">
                  <c:v>50.4</c:v>
                </c:pt>
                <c:pt idx="6">
                  <c:v>50.6</c:v>
                </c:pt>
                <c:pt idx="7">
                  <c:v>50.3</c:v>
                </c:pt>
                <c:pt idx="8">
                  <c:v>49.1</c:v>
                </c:pt>
                <c:pt idx="9">
                  <c:v>48.7</c:v>
                </c:pt>
                <c:pt idx="10">
                  <c:v>47.9</c:v>
                </c:pt>
                <c:pt idx="11">
                  <c:v>47.8</c:v>
                </c:pt>
                <c:pt idx="12">
                  <c:v>46.5</c:v>
                </c:pt>
                <c:pt idx="13">
                  <c:v>48.4</c:v>
                </c:pt>
                <c:pt idx="14">
                  <c:v>48.8</c:v>
                </c:pt>
                <c:pt idx="15">
                  <c:v>48.8</c:v>
                </c:pt>
                <c:pt idx="16">
                  <c:v>47.8</c:v>
                </c:pt>
                <c:pt idx="17">
                  <c:v>47.7</c:v>
                </c:pt>
                <c:pt idx="18">
                  <c:v>47.8</c:v>
                </c:pt>
                <c:pt idx="19">
                  <c:v>47.8</c:v>
                </c:pt>
                <c:pt idx="20">
                  <c:v>46.8</c:v>
                </c:pt>
                <c:pt idx="21">
                  <c:v>46.8</c:v>
                </c:pt>
                <c:pt idx="22">
                  <c:v>47.9</c:v>
                </c:pt>
                <c:pt idx="23">
                  <c:v>47.9</c:v>
                </c:pt>
                <c:pt idx="24">
                  <c:v>49</c:v>
                </c:pt>
                <c:pt idx="25">
                  <c:v>49.5</c:v>
                </c:pt>
                <c:pt idx="26">
                  <c:v>48.4</c:v>
                </c:pt>
                <c:pt idx="27">
                  <c:v>49</c:v>
                </c:pt>
                <c:pt idx="28">
                  <c:v>50.2</c:v>
                </c:pt>
                <c:pt idx="29">
                  <c:v>49.9</c:v>
                </c:pt>
                <c:pt idx="30">
                  <c:v>49.7</c:v>
                </c:pt>
                <c:pt idx="31">
                  <c:v>49.7</c:v>
                </c:pt>
                <c:pt idx="32">
                  <c:v>49.5</c:v>
                </c:pt>
                <c:pt idx="33">
                  <c:v>49.5</c:v>
                </c:pt>
                <c:pt idx="34">
                  <c:v>49.2</c:v>
                </c:pt>
                <c:pt idx="35">
                  <c:v>48.6</c:v>
                </c:pt>
                <c:pt idx="36">
                  <c:v>48.7</c:v>
                </c:pt>
                <c:pt idx="37">
                  <c:v>49.7</c:v>
                </c:pt>
                <c:pt idx="38">
                  <c:v>48.8</c:v>
                </c:pt>
              </c:numCache>
            </c:numRef>
          </c:val>
          <c:smooth val="0"/>
          <c:extLst xmlns:c16r2="http://schemas.microsoft.com/office/drawing/2015/06/chart">
            <c:ext xmlns:c16="http://schemas.microsoft.com/office/drawing/2014/chart" uri="{C3380CC4-5D6E-409C-BE32-E72D297353CC}">
              <c16:uniqueId val="{00000002-BC72-4DED-8327-09059029CA67}"/>
            </c:ext>
          </c:extLst>
        </c:ser>
        <c:ser>
          <c:idx val="5"/>
          <c:order val="3"/>
          <c:tx>
            <c:strRef>
              <c:f>' 东盟六国与韩国的制造业PMI'!$A$7</c:f>
              <c:strCache>
                <c:ptCount val="1"/>
                <c:pt idx="0">
                  <c:v>新加坡</c:v>
                </c:pt>
              </c:strCache>
            </c:strRef>
          </c:tx>
          <c:spPr>
            <a:ln w="19050" cap="rnd">
              <a:solidFill>
                <a:srgbClr val="106D9C"/>
              </a:solidFill>
              <a:prstDash val="sysDot"/>
              <a:round/>
            </a:ln>
            <a:effectLst/>
          </c:spPr>
          <c:marker>
            <c:symbol val="none"/>
          </c:marker>
          <c:cat>
            <c:strRef>
              <c:f>' 东盟六国与韩国的制造业PMI'!$K$2:$AW$2</c:f>
              <c:strCache>
                <c:ptCount val="39"/>
                <c:pt idx="0">
                  <c:v>1月
2022</c:v>
                </c:pt>
                <c:pt idx="1">
                  <c:v>2月</c:v>
                </c:pt>
                <c:pt idx="2">
                  <c:v>3月</c:v>
                </c:pt>
                <c:pt idx="3">
                  <c:v>4月</c:v>
                </c:pt>
                <c:pt idx="4">
                  <c:v>5月</c:v>
                </c:pt>
                <c:pt idx="5">
                  <c:v>6月</c:v>
                </c:pt>
                <c:pt idx="6">
                  <c:v>7月</c:v>
                </c:pt>
                <c:pt idx="7">
                  <c:v>8月</c:v>
                </c:pt>
                <c:pt idx="8">
                  <c:v>9月</c:v>
                </c:pt>
                <c:pt idx="9">
                  <c:v>10月</c:v>
                </c:pt>
                <c:pt idx="10">
                  <c:v>11月</c:v>
                </c:pt>
                <c:pt idx="11">
                  <c:v>12月</c:v>
                </c:pt>
                <c:pt idx="12">
                  <c:v>1月
2023</c:v>
                </c:pt>
                <c:pt idx="13">
                  <c:v>2月</c:v>
                </c:pt>
                <c:pt idx="14">
                  <c:v>3月</c:v>
                </c:pt>
                <c:pt idx="15">
                  <c:v>4月</c:v>
                </c:pt>
                <c:pt idx="16">
                  <c:v>5月</c:v>
                </c:pt>
                <c:pt idx="17">
                  <c:v>6月</c:v>
                </c:pt>
                <c:pt idx="18">
                  <c:v>7月</c:v>
                </c:pt>
                <c:pt idx="19">
                  <c:v>8月</c:v>
                </c:pt>
                <c:pt idx="20">
                  <c:v>9月</c:v>
                </c:pt>
                <c:pt idx="21">
                  <c:v>10月</c:v>
                </c:pt>
                <c:pt idx="22">
                  <c:v>11月</c:v>
                </c:pt>
                <c:pt idx="23">
                  <c:v>12月</c:v>
                </c:pt>
                <c:pt idx="24">
                  <c:v>1月
2024</c:v>
                </c:pt>
                <c:pt idx="25">
                  <c:v>2月</c:v>
                </c:pt>
                <c:pt idx="26">
                  <c:v>3月</c:v>
                </c:pt>
                <c:pt idx="27">
                  <c:v>4月</c:v>
                </c:pt>
                <c:pt idx="28">
                  <c:v>5月</c:v>
                </c:pt>
                <c:pt idx="29">
                  <c:v>6月</c:v>
                </c:pt>
                <c:pt idx="30">
                  <c:v>7月</c:v>
                </c:pt>
                <c:pt idx="31">
                  <c:v>8月</c:v>
                </c:pt>
                <c:pt idx="32">
                  <c:v>9月</c:v>
                </c:pt>
                <c:pt idx="33">
                  <c:v>10月</c:v>
                </c:pt>
                <c:pt idx="34">
                  <c:v>11月</c:v>
                </c:pt>
                <c:pt idx="35">
                  <c:v>12月</c:v>
                </c:pt>
                <c:pt idx="36">
                  <c:v>1月
2025</c:v>
                </c:pt>
                <c:pt idx="37">
                  <c:v>2月</c:v>
                </c:pt>
                <c:pt idx="38">
                  <c:v>3月</c:v>
                </c:pt>
              </c:strCache>
            </c:strRef>
          </c:cat>
          <c:val>
            <c:numRef>
              <c:f>' 东盟六国与韩国的制造业PMI'!$K$7:$AW$7</c:f>
              <c:numCache>
                <c:formatCode>General</c:formatCode>
                <c:ptCount val="39"/>
                <c:pt idx="0">
                  <c:v>50.6</c:v>
                </c:pt>
                <c:pt idx="1">
                  <c:v>50.2</c:v>
                </c:pt>
                <c:pt idx="2">
                  <c:v>50.1</c:v>
                </c:pt>
                <c:pt idx="3">
                  <c:v>50.3</c:v>
                </c:pt>
                <c:pt idx="4">
                  <c:v>50.4</c:v>
                </c:pt>
                <c:pt idx="5">
                  <c:v>50.3</c:v>
                </c:pt>
                <c:pt idx="6">
                  <c:v>50.1</c:v>
                </c:pt>
                <c:pt idx="7">
                  <c:v>50</c:v>
                </c:pt>
                <c:pt idx="8">
                  <c:v>49.9</c:v>
                </c:pt>
                <c:pt idx="9">
                  <c:v>49.7</c:v>
                </c:pt>
                <c:pt idx="10">
                  <c:v>49.8</c:v>
                </c:pt>
                <c:pt idx="11">
                  <c:v>49.7</c:v>
                </c:pt>
                <c:pt idx="12">
                  <c:v>49.8</c:v>
                </c:pt>
                <c:pt idx="13">
                  <c:v>50</c:v>
                </c:pt>
                <c:pt idx="14">
                  <c:v>49.9</c:v>
                </c:pt>
                <c:pt idx="15">
                  <c:v>49.7</c:v>
                </c:pt>
                <c:pt idx="16">
                  <c:v>49.5</c:v>
                </c:pt>
                <c:pt idx="17">
                  <c:v>49.7</c:v>
                </c:pt>
                <c:pt idx="18">
                  <c:v>49.8</c:v>
                </c:pt>
                <c:pt idx="19">
                  <c:v>49.9</c:v>
                </c:pt>
                <c:pt idx="20">
                  <c:v>50.1</c:v>
                </c:pt>
                <c:pt idx="21">
                  <c:v>50.2</c:v>
                </c:pt>
                <c:pt idx="22">
                  <c:v>50.3</c:v>
                </c:pt>
                <c:pt idx="23">
                  <c:v>50.5</c:v>
                </c:pt>
                <c:pt idx="24">
                  <c:v>50.7</c:v>
                </c:pt>
                <c:pt idx="25">
                  <c:v>50.6</c:v>
                </c:pt>
                <c:pt idx="26">
                  <c:v>50.7</c:v>
                </c:pt>
                <c:pt idx="27">
                  <c:v>50.5</c:v>
                </c:pt>
                <c:pt idx="28">
                  <c:v>50.6</c:v>
                </c:pt>
                <c:pt idx="29">
                  <c:v>50.4</c:v>
                </c:pt>
                <c:pt idx="30">
                  <c:v>50.7</c:v>
                </c:pt>
                <c:pt idx="31">
                  <c:v>50.9</c:v>
                </c:pt>
                <c:pt idx="32">
                  <c:v>51</c:v>
                </c:pt>
                <c:pt idx="33">
                  <c:v>50.8</c:v>
                </c:pt>
                <c:pt idx="34">
                  <c:v>51</c:v>
                </c:pt>
                <c:pt idx="35">
                  <c:v>51.1</c:v>
                </c:pt>
                <c:pt idx="36">
                  <c:v>50.9</c:v>
                </c:pt>
                <c:pt idx="37">
                  <c:v>50.7</c:v>
                </c:pt>
                <c:pt idx="38">
                  <c:v>50.6</c:v>
                </c:pt>
              </c:numCache>
            </c:numRef>
          </c:val>
          <c:smooth val="0"/>
          <c:extLst xmlns:c16r2="http://schemas.microsoft.com/office/drawing/2015/06/chart">
            <c:ext xmlns:c16="http://schemas.microsoft.com/office/drawing/2014/chart" uri="{C3380CC4-5D6E-409C-BE32-E72D297353CC}">
              <c16:uniqueId val="{00000003-BC72-4DED-8327-09059029CA67}"/>
            </c:ext>
          </c:extLst>
        </c:ser>
        <c:ser>
          <c:idx val="6"/>
          <c:order val="4"/>
          <c:tx>
            <c:strRef>
              <c:f>' 东盟六国与韩国的制造业PMI'!$A$8</c:f>
              <c:strCache>
                <c:ptCount val="1"/>
                <c:pt idx="0">
                  <c:v>菲律宾</c:v>
                </c:pt>
              </c:strCache>
            </c:strRef>
          </c:tx>
          <c:spPr>
            <a:ln w="19050" cap="rnd">
              <a:solidFill>
                <a:srgbClr val="106D9C"/>
              </a:solidFill>
              <a:prstDash val="dash"/>
              <a:round/>
            </a:ln>
            <a:effectLst/>
          </c:spPr>
          <c:marker>
            <c:symbol val="none"/>
          </c:marker>
          <c:cat>
            <c:strRef>
              <c:f>' 东盟六国与韩国的制造业PMI'!$K$2:$AW$2</c:f>
              <c:strCache>
                <c:ptCount val="39"/>
                <c:pt idx="0">
                  <c:v>1月
2022</c:v>
                </c:pt>
                <c:pt idx="1">
                  <c:v>2月</c:v>
                </c:pt>
                <c:pt idx="2">
                  <c:v>3月</c:v>
                </c:pt>
                <c:pt idx="3">
                  <c:v>4月</c:v>
                </c:pt>
                <c:pt idx="4">
                  <c:v>5月</c:v>
                </c:pt>
                <c:pt idx="5">
                  <c:v>6月</c:v>
                </c:pt>
                <c:pt idx="6">
                  <c:v>7月</c:v>
                </c:pt>
                <c:pt idx="7">
                  <c:v>8月</c:v>
                </c:pt>
                <c:pt idx="8">
                  <c:v>9月</c:v>
                </c:pt>
                <c:pt idx="9">
                  <c:v>10月</c:v>
                </c:pt>
                <c:pt idx="10">
                  <c:v>11月</c:v>
                </c:pt>
                <c:pt idx="11">
                  <c:v>12月</c:v>
                </c:pt>
                <c:pt idx="12">
                  <c:v>1月
2023</c:v>
                </c:pt>
                <c:pt idx="13">
                  <c:v>2月</c:v>
                </c:pt>
                <c:pt idx="14">
                  <c:v>3月</c:v>
                </c:pt>
                <c:pt idx="15">
                  <c:v>4月</c:v>
                </c:pt>
                <c:pt idx="16">
                  <c:v>5月</c:v>
                </c:pt>
                <c:pt idx="17">
                  <c:v>6月</c:v>
                </c:pt>
                <c:pt idx="18">
                  <c:v>7月</c:v>
                </c:pt>
                <c:pt idx="19">
                  <c:v>8月</c:v>
                </c:pt>
                <c:pt idx="20">
                  <c:v>9月</c:v>
                </c:pt>
                <c:pt idx="21">
                  <c:v>10月</c:v>
                </c:pt>
                <c:pt idx="22">
                  <c:v>11月</c:v>
                </c:pt>
                <c:pt idx="23">
                  <c:v>12月</c:v>
                </c:pt>
                <c:pt idx="24">
                  <c:v>1月
2024</c:v>
                </c:pt>
                <c:pt idx="25">
                  <c:v>2月</c:v>
                </c:pt>
                <c:pt idx="26">
                  <c:v>3月</c:v>
                </c:pt>
                <c:pt idx="27">
                  <c:v>4月</c:v>
                </c:pt>
                <c:pt idx="28">
                  <c:v>5月</c:v>
                </c:pt>
                <c:pt idx="29">
                  <c:v>6月</c:v>
                </c:pt>
                <c:pt idx="30">
                  <c:v>7月</c:v>
                </c:pt>
                <c:pt idx="31">
                  <c:v>8月</c:v>
                </c:pt>
                <c:pt idx="32">
                  <c:v>9月</c:v>
                </c:pt>
                <c:pt idx="33">
                  <c:v>10月</c:v>
                </c:pt>
                <c:pt idx="34">
                  <c:v>11月</c:v>
                </c:pt>
                <c:pt idx="35">
                  <c:v>12月</c:v>
                </c:pt>
                <c:pt idx="36">
                  <c:v>1月
2025</c:v>
                </c:pt>
                <c:pt idx="37">
                  <c:v>2月</c:v>
                </c:pt>
                <c:pt idx="38">
                  <c:v>3月</c:v>
                </c:pt>
              </c:strCache>
            </c:strRef>
          </c:cat>
          <c:val>
            <c:numRef>
              <c:f>' 东盟六国与韩国的制造业PMI'!$K$8:$AW$8</c:f>
              <c:numCache>
                <c:formatCode>General</c:formatCode>
                <c:ptCount val="39"/>
                <c:pt idx="1">
                  <c:v>52.8</c:v>
                </c:pt>
                <c:pt idx="2">
                  <c:v>53.2</c:v>
                </c:pt>
                <c:pt idx="3">
                  <c:v>54.3</c:v>
                </c:pt>
                <c:pt idx="4">
                  <c:v>54.1</c:v>
                </c:pt>
                <c:pt idx="5">
                  <c:v>53.8</c:v>
                </c:pt>
                <c:pt idx="6">
                  <c:v>50.8</c:v>
                </c:pt>
                <c:pt idx="7">
                  <c:v>51.2</c:v>
                </c:pt>
                <c:pt idx="8">
                  <c:v>52.9</c:v>
                </c:pt>
                <c:pt idx="9">
                  <c:v>52.6</c:v>
                </c:pt>
                <c:pt idx="10">
                  <c:v>52.7</c:v>
                </c:pt>
                <c:pt idx="11">
                  <c:v>53.1</c:v>
                </c:pt>
                <c:pt idx="12">
                  <c:v>53.5</c:v>
                </c:pt>
                <c:pt idx="13">
                  <c:v>52.7</c:v>
                </c:pt>
                <c:pt idx="14">
                  <c:v>52.5</c:v>
                </c:pt>
                <c:pt idx="15">
                  <c:v>51.4</c:v>
                </c:pt>
                <c:pt idx="16">
                  <c:v>52.2</c:v>
                </c:pt>
                <c:pt idx="17">
                  <c:v>50.9</c:v>
                </c:pt>
                <c:pt idx="18">
                  <c:v>51.9</c:v>
                </c:pt>
                <c:pt idx="19">
                  <c:v>49.7</c:v>
                </c:pt>
                <c:pt idx="20">
                  <c:v>50.6</c:v>
                </c:pt>
                <c:pt idx="21">
                  <c:v>52.4</c:v>
                </c:pt>
                <c:pt idx="22">
                  <c:v>52.7</c:v>
                </c:pt>
                <c:pt idx="23">
                  <c:v>51.5</c:v>
                </c:pt>
                <c:pt idx="24">
                  <c:v>50.9</c:v>
                </c:pt>
                <c:pt idx="25">
                  <c:v>51</c:v>
                </c:pt>
                <c:pt idx="26">
                  <c:v>50.9</c:v>
                </c:pt>
                <c:pt idx="27">
                  <c:v>52.2</c:v>
                </c:pt>
                <c:pt idx="28">
                  <c:v>51.9</c:v>
                </c:pt>
                <c:pt idx="29">
                  <c:v>51.3</c:v>
                </c:pt>
                <c:pt idx="30">
                  <c:v>51.2</c:v>
                </c:pt>
                <c:pt idx="31">
                  <c:v>51.2</c:v>
                </c:pt>
                <c:pt idx="32">
                  <c:v>53.7</c:v>
                </c:pt>
                <c:pt idx="33">
                  <c:v>52.9</c:v>
                </c:pt>
                <c:pt idx="34">
                  <c:v>53.8</c:v>
                </c:pt>
                <c:pt idx="35">
                  <c:v>54.3</c:v>
                </c:pt>
                <c:pt idx="36">
                  <c:v>52.3</c:v>
                </c:pt>
                <c:pt idx="37">
                  <c:v>51</c:v>
                </c:pt>
                <c:pt idx="38">
                  <c:v>49.4</c:v>
                </c:pt>
              </c:numCache>
            </c:numRef>
          </c:val>
          <c:smooth val="0"/>
          <c:extLst xmlns:c16r2="http://schemas.microsoft.com/office/drawing/2015/06/chart">
            <c:ext xmlns:c16="http://schemas.microsoft.com/office/drawing/2014/chart" uri="{C3380CC4-5D6E-409C-BE32-E72D297353CC}">
              <c16:uniqueId val="{00000004-BC72-4DED-8327-09059029CA67}"/>
            </c:ext>
          </c:extLst>
        </c:ser>
        <c:ser>
          <c:idx val="0"/>
          <c:order val="5"/>
          <c:tx>
            <c:strRef>
              <c:f>' 东盟六国与韩国的制造业PMI'!$A$9</c:f>
              <c:strCache>
                <c:ptCount val="1"/>
                <c:pt idx="0">
                  <c:v>越南</c:v>
                </c:pt>
              </c:strCache>
            </c:strRef>
          </c:tx>
          <c:spPr>
            <a:ln w="19050" cap="rnd">
              <a:solidFill>
                <a:srgbClr val="106D9C"/>
              </a:solidFill>
              <a:round/>
            </a:ln>
            <a:effectLst/>
          </c:spPr>
          <c:marker>
            <c:symbol val="none"/>
          </c:marker>
          <c:cat>
            <c:strRef>
              <c:f>' 东盟六国与韩国的制造业PMI'!$K$2:$AW$2</c:f>
              <c:strCache>
                <c:ptCount val="39"/>
                <c:pt idx="0">
                  <c:v>1月
2022</c:v>
                </c:pt>
                <c:pt idx="1">
                  <c:v>2月</c:v>
                </c:pt>
                <c:pt idx="2">
                  <c:v>3月</c:v>
                </c:pt>
                <c:pt idx="3">
                  <c:v>4月</c:v>
                </c:pt>
                <c:pt idx="4">
                  <c:v>5月</c:v>
                </c:pt>
                <c:pt idx="5">
                  <c:v>6月</c:v>
                </c:pt>
                <c:pt idx="6">
                  <c:v>7月</c:v>
                </c:pt>
                <c:pt idx="7">
                  <c:v>8月</c:v>
                </c:pt>
                <c:pt idx="8">
                  <c:v>9月</c:v>
                </c:pt>
                <c:pt idx="9">
                  <c:v>10月</c:v>
                </c:pt>
                <c:pt idx="10">
                  <c:v>11月</c:v>
                </c:pt>
                <c:pt idx="11">
                  <c:v>12月</c:v>
                </c:pt>
                <c:pt idx="12">
                  <c:v>1月
2023</c:v>
                </c:pt>
                <c:pt idx="13">
                  <c:v>2月</c:v>
                </c:pt>
                <c:pt idx="14">
                  <c:v>3月</c:v>
                </c:pt>
                <c:pt idx="15">
                  <c:v>4月</c:v>
                </c:pt>
                <c:pt idx="16">
                  <c:v>5月</c:v>
                </c:pt>
                <c:pt idx="17">
                  <c:v>6月</c:v>
                </c:pt>
                <c:pt idx="18">
                  <c:v>7月</c:v>
                </c:pt>
                <c:pt idx="19">
                  <c:v>8月</c:v>
                </c:pt>
                <c:pt idx="20">
                  <c:v>9月</c:v>
                </c:pt>
                <c:pt idx="21">
                  <c:v>10月</c:v>
                </c:pt>
                <c:pt idx="22">
                  <c:v>11月</c:v>
                </c:pt>
                <c:pt idx="23">
                  <c:v>12月</c:v>
                </c:pt>
                <c:pt idx="24">
                  <c:v>1月
2024</c:v>
                </c:pt>
                <c:pt idx="25">
                  <c:v>2月</c:v>
                </c:pt>
                <c:pt idx="26">
                  <c:v>3月</c:v>
                </c:pt>
                <c:pt idx="27">
                  <c:v>4月</c:v>
                </c:pt>
                <c:pt idx="28">
                  <c:v>5月</c:v>
                </c:pt>
                <c:pt idx="29">
                  <c:v>6月</c:v>
                </c:pt>
                <c:pt idx="30">
                  <c:v>7月</c:v>
                </c:pt>
                <c:pt idx="31">
                  <c:v>8月</c:v>
                </c:pt>
                <c:pt idx="32">
                  <c:v>9月</c:v>
                </c:pt>
                <c:pt idx="33">
                  <c:v>10月</c:v>
                </c:pt>
                <c:pt idx="34">
                  <c:v>11月</c:v>
                </c:pt>
                <c:pt idx="35">
                  <c:v>12月</c:v>
                </c:pt>
                <c:pt idx="36">
                  <c:v>1月
2025</c:v>
                </c:pt>
                <c:pt idx="37">
                  <c:v>2月</c:v>
                </c:pt>
                <c:pt idx="38">
                  <c:v>3月</c:v>
                </c:pt>
              </c:strCache>
            </c:strRef>
          </c:cat>
          <c:val>
            <c:numRef>
              <c:f>' 东盟六国与韩国的制造业PMI'!$K$9:$AW$9</c:f>
              <c:numCache>
                <c:formatCode>General</c:formatCode>
                <c:ptCount val="39"/>
                <c:pt idx="1">
                  <c:v>54.3</c:v>
                </c:pt>
                <c:pt idx="2">
                  <c:v>51.7</c:v>
                </c:pt>
                <c:pt idx="3">
                  <c:v>51.7</c:v>
                </c:pt>
                <c:pt idx="4">
                  <c:v>54.7</c:v>
                </c:pt>
                <c:pt idx="5">
                  <c:v>54</c:v>
                </c:pt>
                <c:pt idx="6">
                  <c:v>51.2</c:v>
                </c:pt>
                <c:pt idx="7">
                  <c:v>52.7</c:v>
                </c:pt>
                <c:pt idx="8">
                  <c:v>52.5</c:v>
                </c:pt>
                <c:pt idx="9">
                  <c:v>50.6</c:v>
                </c:pt>
                <c:pt idx="10">
                  <c:v>47.4</c:v>
                </c:pt>
                <c:pt idx="11">
                  <c:v>46.4</c:v>
                </c:pt>
                <c:pt idx="12">
                  <c:v>47.4</c:v>
                </c:pt>
                <c:pt idx="13">
                  <c:v>51.2</c:v>
                </c:pt>
                <c:pt idx="14">
                  <c:v>47.7</c:v>
                </c:pt>
                <c:pt idx="15">
                  <c:v>46.7</c:v>
                </c:pt>
                <c:pt idx="16">
                  <c:v>45.3</c:v>
                </c:pt>
                <c:pt idx="17">
                  <c:v>46.2</c:v>
                </c:pt>
                <c:pt idx="18">
                  <c:v>48.7</c:v>
                </c:pt>
                <c:pt idx="19">
                  <c:v>50.5</c:v>
                </c:pt>
                <c:pt idx="20">
                  <c:v>49.7</c:v>
                </c:pt>
                <c:pt idx="21">
                  <c:v>49.6</c:v>
                </c:pt>
                <c:pt idx="22">
                  <c:v>47.3</c:v>
                </c:pt>
                <c:pt idx="23">
                  <c:v>48.9</c:v>
                </c:pt>
                <c:pt idx="24">
                  <c:v>50.3</c:v>
                </c:pt>
                <c:pt idx="25">
                  <c:v>50.4</c:v>
                </c:pt>
                <c:pt idx="26">
                  <c:v>49.9</c:v>
                </c:pt>
                <c:pt idx="27">
                  <c:v>50.3</c:v>
                </c:pt>
                <c:pt idx="28">
                  <c:v>50.3</c:v>
                </c:pt>
                <c:pt idx="29">
                  <c:v>54.7</c:v>
                </c:pt>
                <c:pt idx="30">
                  <c:v>54.7</c:v>
                </c:pt>
                <c:pt idx="31">
                  <c:v>52.4</c:v>
                </c:pt>
                <c:pt idx="32">
                  <c:v>47.3</c:v>
                </c:pt>
                <c:pt idx="33">
                  <c:v>51.2</c:v>
                </c:pt>
                <c:pt idx="34">
                  <c:v>50.8</c:v>
                </c:pt>
                <c:pt idx="35">
                  <c:v>49.8</c:v>
                </c:pt>
                <c:pt idx="36">
                  <c:v>48.9</c:v>
                </c:pt>
                <c:pt idx="37">
                  <c:v>49.2</c:v>
                </c:pt>
                <c:pt idx="38">
                  <c:v>50.8</c:v>
                </c:pt>
              </c:numCache>
            </c:numRef>
          </c:val>
          <c:smooth val="0"/>
          <c:extLst xmlns:c16r2="http://schemas.microsoft.com/office/drawing/2015/06/chart">
            <c:ext xmlns:c16="http://schemas.microsoft.com/office/drawing/2014/chart" uri="{C3380CC4-5D6E-409C-BE32-E72D297353CC}">
              <c16:uniqueId val="{00000005-BC72-4DED-8327-09059029CA67}"/>
            </c:ext>
          </c:extLst>
        </c:ser>
        <c:dLbls>
          <c:showLegendKey val="0"/>
          <c:showVal val="0"/>
          <c:showCatName val="0"/>
          <c:showSerName val="0"/>
          <c:showPercent val="0"/>
          <c:showBubbleSize val="0"/>
        </c:dLbls>
        <c:marker val="1"/>
        <c:smooth val="0"/>
        <c:axId val="374168576"/>
        <c:axId val="374207232"/>
      </c:lineChart>
      <c:dateAx>
        <c:axId val="374168576"/>
        <c:scaling>
          <c:orientation val="minMax"/>
        </c:scaling>
        <c:delete val="0"/>
        <c:axPos val="b"/>
        <c:numFmt formatCode="m&quot;月&quot;;@" sourceLinked="0"/>
        <c:majorTickMark val="out"/>
        <c:minorTickMark val="none"/>
        <c:tickLblPos val="nextTo"/>
        <c:spPr>
          <a:noFill/>
          <a:ln w="12700" cap="flat" cmpd="sng" algn="ctr">
            <a:solidFill>
              <a:schemeClr val="tx1"/>
            </a:solidFill>
            <a:round/>
          </a:ln>
          <a:effectLst/>
        </c:spPr>
        <c:txPr>
          <a:bodyPr rot="0" spcFirstLastPara="0" vertOverflow="ellipsis" wrap="square" anchor="ctr" anchorCtr="1" forceAA="0"/>
          <a:lstStyle/>
          <a:p>
            <a:pPr>
              <a:defRPr lang="zh-CN" sz="800" b="0" i="0" u="none" strike="noStrike" kern="1200" baseline="0">
                <a:solidFill>
                  <a:sysClr val="windowText" lastClr="000000"/>
                </a:solidFill>
                <a:latin typeface="Cambria" panose="02040503050406030204" pitchFamily="18" charset="0"/>
                <a:ea typeface="楷体" panose="02010609060101010101" pitchFamily="49" charset="-122"/>
                <a:cs typeface="+mn-cs"/>
              </a:defRPr>
            </a:pPr>
            <a:endParaRPr lang="zh-CN"/>
          </a:p>
        </c:txPr>
        <c:crossAx val="374207232"/>
        <c:crosses val="autoZero"/>
        <c:auto val="0"/>
        <c:lblOffset val="100"/>
        <c:baseTimeUnit val="days"/>
      </c:dateAx>
      <c:valAx>
        <c:axId val="374207232"/>
        <c:scaling>
          <c:orientation val="minMax"/>
          <c:min val="38"/>
        </c:scaling>
        <c:delete val="0"/>
        <c:axPos val="l"/>
        <c:majorGridlines>
          <c:spPr>
            <a:ln w="9525" cap="flat" cmpd="sng" algn="ctr">
              <a:noFill/>
              <a:round/>
            </a:ln>
            <a:effectLst/>
          </c:spPr>
        </c:majorGridlines>
        <c:numFmt formatCode="General" sourceLinked="1"/>
        <c:majorTickMark val="out"/>
        <c:minorTickMark val="none"/>
        <c:tickLblPos val="nextTo"/>
        <c:spPr>
          <a:noFill/>
          <a:ln w="12700">
            <a:solidFill>
              <a:schemeClr val="tx1"/>
            </a:solidFill>
          </a:ln>
          <a:effectLst/>
        </c:spPr>
        <c:txPr>
          <a:bodyPr rot="-60000000" spcFirstLastPara="1" vertOverflow="ellipsis" vert="horz" wrap="square" anchor="ctr" anchorCtr="1"/>
          <a:lstStyle/>
          <a:p>
            <a:pPr>
              <a:defRPr lang="zh-CN" sz="800" b="0" i="0" u="none" strike="noStrike" kern="1200" baseline="0">
                <a:solidFill>
                  <a:sysClr val="windowText" lastClr="000000"/>
                </a:solidFill>
                <a:latin typeface="Cambria" panose="02040503050406030204" pitchFamily="18" charset="0"/>
                <a:ea typeface="+mn-ea"/>
                <a:cs typeface="+mn-cs"/>
              </a:defRPr>
            </a:pPr>
            <a:endParaRPr lang="zh-CN"/>
          </a:p>
        </c:txPr>
        <c:crossAx val="374168576"/>
        <c:crosses val="autoZero"/>
        <c:crossBetween val="between"/>
      </c:valAx>
      <c:spPr>
        <a:solidFill>
          <a:srgbClr val="FFFFFF"/>
        </a:solidFill>
        <a:ln>
          <a:noFill/>
        </a:ln>
        <a:effectLst/>
      </c:spPr>
    </c:plotArea>
    <c:legend>
      <c:legendPos val="b"/>
      <c:layout>
        <c:manualLayout>
          <c:xMode val="edge"/>
          <c:yMode val="edge"/>
          <c:x val="9.1398275963634201E-2"/>
          <c:y val="1.8285470085470101E-2"/>
          <c:w val="0.77452743055555595"/>
          <c:h val="0.14542820512820501"/>
        </c:manualLayout>
      </c:layout>
      <c:overlay val="0"/>
      <c:spPr>
        <a:noFill/>
        <a:ln>
          <a:noFill/>
        </a:ln>
        <a:effectLst/>
      </c:spPr>
      <c:txPr>
        <a:bodyPr rot="0" spcFirstLastPara="1" vertOverflow="ellipsis" vert="horz" wrap="square" anchor="ctr" anchorCtr="1"/>
        <a:lstStyle/>
        <a:p>
          <a:pPr>
            <a:defRPr lang="zh-CN" sz="800" b="0" i="0" u="none" strike="noStrike" kern="1200" baseline="0">
              <a:solidFill>
                <a:sysClr val="windowText" lastClr="000000"/>
              </a:solidFill>
              <a:latin typeface="楷体" panose="02010609060101010101" pitchFamily="49" charset="-122"/>
              <a:ea typeface="楷体" panose="02010609060101010101" pitchFamily="49" charset="-122"/>
              <a:cs typeface="+mn-cs"/>
            </a:defRPr>
          </a:pPr>
          <a:endParaRPr lang="zh-CN"/>
        </a:p>
      </c:txPr>
    </c:legend>
    <c:plotVisOnly val="1"/>
    <c:dispBlanksAs val="gap"/>
    <c:showDLblsOverMax val="0"/>
  </c:chart>
  <c:spPr>
    <a:solidFill>
      <a:srgbClr val="FFFFFF"/>
    </a:solidFill>
    <a:ln w="9525" cap="flat" cmpd="sng" algn="ctr">
      <a:solidFill>
        <a:schemeClr val="tx1">
          <a:lumMod val="15000"/>
          <a:lumOff val="85000"/>
        </a:schemeClr>
      </a:solidFill>
      <a:round/>
    </a:ln>
    <a:effectLst/>
  </c:spPr>
  <c:txPr>
    <a:bodyPr/>
    <a:lstStyle/>
    <a:p>
      <a:pPr>
        <a:defRPr lang="zh-CN"/>
      </a:pPr>
      <a:endParaRPr lang="zh-CN"/>
    </a:p>
  </c:tx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345454545454499"/>
          <c:y val="4.44871794871795E-2"/>
          <c:w val="0.85072691197691197"/>
          <c:h val="0.72307393162393196"/>
        </c:manualLayout>
      </c:layout>
      <c:lineChart>
        <c:grouping val="standard"/>
        <c:varyColors val="0"/>
        <c:ser>
          <c:idx val="0"/>
          <c:order val="0"/>
          <c:tx>
            <c:strRef>
              <c:f>' 东盟六国与韩国的制造业PMI'!$A$3</c:f>
              <c:strCache>
                <c:ptCount val="1"/>
                <c:pt idx="0">
                  <c:v>东盟</c:v>
                </c:pt>
              </c:strCache>
            </c:strRef>
          </c:tx>
          <c:spPr>
            <a:ln w="19050" cap="rnd">
              <a:solidFill>
                <a:srgbClr val="106D9C"/>
              </a:solidFill>
              <a:round/>
            </a:ln>
            <a:effectLst/>
          </c:spPr>
          <c:marker>
            <c:symbol val="none"/>
          </c:marker>
          <c:cat>
            <c:strRef>
              <c:f>' 东盟六国与韩国的制造业PMI'!$K$2:$AW$2</c:f>
              <c:strCache>
                <c:ptCount val="39"/>
                <c:pt idx="0">
                  <c:v>1月
2022</c:v>
                </c:pt>
                <c:pt idx="1">
                  <c:v>2月</c:v>
                </c:pt>
                <c:pt idx="2">
                  <c:v>3月</c:v>
                </c:pt>
                <c:pt idx="3">
                  <c:v>4月</c:v>
                </c:pt>
                <c:pt idx="4">
                  <c:v>5月</c:v>
                </c:pt>
                <c:pt idx="5">
                  <c:v>6月</c:v>
                </c:pt>
                <c:pt idx="6">
                  <c:v>7月</c:v>
                </c:pt>
                <c:pt idx="7">
                  <c:v>8月</c:v>
                </c:pt>
                <c:pt idx="8">
                  <c:v>9月</c:v>
                </c:pt>
                <c:pt idx="9">
                  <c:v>10月</c:v>
                </c:pt>
                <c:pt idx="10">
                  <c:v>11月</c:v>
                </c:pt>
                <c:pt idx="11">
                  <c:v>12月</c:v>
                </c:pt>
                <c:pt idx="12">
                  <c:v>1月
2023</c:v>
                </c:pt>
                <c:pt idx="13">
                  <c:v>2月</c:v>
                </c:pt>
                <c:pt idx="14">
                  <c:v>3月</c:v>
                </c:pt>
                <c:pt idx="15">
                  <c:v>4月</c:v>
                </c:pt>
                <c:pt idx="16">
                  <c:v>5月</c:v>
                </c:pt>
                <c:pt idx="17">
                  <c:v>6月</c:v>
                </c:pt>
                <c:pt idx="18">
                  <c:v>7月</c:v>
                </c:pt>
                <c:pt idx="19">
                  <c:v>8月</c:v>
                </c:pt>
                <c:pt idx="20">
                  <c:v>9月</c:v>
                </c:pt>
                <c:pt idx="21">
                  <c:v>10月</c:v>
                </c:pt>
                <c:pt idx="22">
                  <c:v>11月</c:v>
                </c:pt>
                <c:pt idx="23">
                  <c:v>12月</c:v>
                </c:pt>
                <c:pt idx="24">
                  <c:v>1月
2024</c:v>
                </c:pt>
                <c:pt idx="25">
                  <c:v>2月</c:v>
                </c:pt>
                <c:pt idx="26">
                  <c:v>3月</c:v>
                </c:pt>
                <c:pt idx="27">
                  <c:v>4月</c:v>
                </c:pt>
                <c:pt idx="28">
                  <c:v>5月</c:v>
                </c:pt>
                <c:pt idx="29">
                  <c:v>6月</c:v>
                </c:pt>
                <c:pt idx="30">
                  <c:v>7月</c:v>
                </c:pt>
                <c:pt idx="31">
                  <c:v>8月</c:v>
                </c:pt>
                <c:pt idx="32">
                  <c:v>9月</c:v>
                </c:pt>
                <c:pt idx="33">
                  <c:v>10月</c:v>
                </c:pt>
                <c:pt idx="34">
                  <c:v>11月</c:v>
                </c:pt>
                <c:pt idx="35">
                  <c:v>12月</c:v>
                </c:pt>
                <c:pt idx="36">
                  <c:v>1月
2025</c:v>
                </c:pt>
                <c:pt idx="37">
                  <c:v>2月</c:v>
                </c:pt>
                <c:pt idx="38">
                  <c:v>3月</c:v>
                </c:pt>
              </c:strCache>
            </c:strRef>
          </c:cat>
          <c:val>
            <c:numRef>
              <c:f>' 东盟六国与韩国的制造业PMI'!$K$3:$AW$3</c:f>
              <c:numCache>
                <c:formatCode>General</c:formatCode>
                <c:ptCount val="39"/>
                <c:pt idx="1">
                  <c:v>52.5</c:v>
                </c:pt>
                <c:pt idx="2">
                  <c:v>51.7</c:v>
                </c:pt>
                <c:pt idx="3">
                  <c:v>52.8</c:v>
                </c:pt>
                <c:pt idx="4">
                  <c:v>52.3</c:v>
                </c:pt>
                <c:pt idx="5">
                  <c:v>52</c:v>
                </c:pt>
                <c:pt idx="6">
                  <c:v>52.2</c:v>
                </c:pt>
                <c:pt idx="7">
                  <c:v>52.3</c:v>
                </c:pt>
                <c:pt idx="8">
                  <c:v>53.5</c:v>
                </c:pt>
                <c:pt idx="9">
                  <c:v>51.6</c:v>
                </c:pt>
                <c:pt idx="10">
                  <c:v>50.7</c:v>
                </c:pt>
                <c:pt idx="11">
                  <c:v>50.3</c:v>
                </c:pt>
                <c:pt idx="12">
                  <c:v>51</c:v>
                </c:pt>
                <c:pt idx="13">
                  <c:v>51.5</c:v>
                </c:pt>
                <c:pt idx="14">
                  <c:v>51</c:v>
                </c:pt>
                <c:pt idx="15">
                  <c:v>52.7</c:v>
                </c:pt>
                <c:pt idx="16">
                  <c:v>51.1</c:v>
                </c:pt>
                <c:pt idx="17">
                  <c:v>51</c:v>
                </c:pt>
                <c:pt idx="18">
                  <c:v>50.8</c:v>
                </c:pt>
                <c:pt idx="19">
                  <c:v>51</c:v>
                </c:pt>
                <c:pt idx="20">
                  <c:v>49.6</c:v>
                </c:pt>
                <c:pt idx="21">
                  <c:v>49.6</c:v>
                </c:pt>
                <c:pt idx="22">
                  <c:v>50</c:v>
                </c:pt>
                <c:pt idx="23">
                  <c:v>49.7</c:v>
                </c:pt>
                <c:pt idx="24">
                  <c:v>50.3</c:v>
                </c:pt>
                <c:pt idx="25">
                  <c:v>50.4</c:v>
                </c:pt>
                <c:pt idx="26">
                  <c:v>51.5</c:v>
                </c:pt>
                <c:pt idx="27">
                  <c:v>51</c:v>
                </c:pt>
                <c:pt idx="28">
                  <c:v>51.7</c:v>
                </c:pt>
                <c:pt idx="29">
                  <c:v>51.7</c:v>
                </c:pt>
                <c:pt idx="30">
                  <c:v>51.6</c:v>
                </c:pt>
                <c:pt idx="31">
                  <c:v>51.1</c:v>
                </c:pt>
                <c:pt idx="32">
                  <c:v>50.5</c:v>
                </c:pt>
                <c:pt idx="33">
                  <c:v>50.5</c:v>
                </c:pt>
                <c:pt idx="34">
                  <c:v>50.8</c:v>
                </c:pt>
                <c:pt idx="35">
                  <c:v>50.7</c:v>
                </c:pt>
                <c:pt idx="36">
                  <c:v>50.4</c:v>
                </c:pt>
                <c:pt idx="37">
                  <c:v>51.5</c:v>
                </c:pt>
                <c:pt idx="38">
                  <c:v>50.8</c:v>
                </c:pt>
              </c:numCache>
            </c:numRef>
          </c:val>
          <c:smooth val="0"/>
          <c:extLst xmlns:c16r2="http://schemas.microsoft.com/office/drawing/2015/06/chart">
            <c:ext xmlns:c16="http://schemas.microsoft.com/office/drawing/2014/chart" uri="{C3380CC4-5D6E-409C-BE32-E72D297353CC}">
              <c16:uniqueId val="{00000000-76E0-43BA-B362-78FFCDA60405}"/>
            </c:ext>
          </c:extLst>
        </c:ser>
        <c:ser>
          <c:idx val="7"/>
          <c:order val="1"/>
          <c:tx>
            <c:strRef>
              <c:f>' 东盟六国与韩国的制造业PMI'!$A$10</c:f>
              <c:strCache>
                <c:ptCount val="1"/>
                <c:pt idx="0">
                  <c:v>韩国</c:v>
                </c:pt>
              </c:strCache>
            </c:strRef>
          </c:tx>
          <c:spPr>
            <a:ln w="19050" cap="rnd">
              <a:solidFill>
                <a:srgbClr val="74A3BA"/>
              </a:solidFill>
              <a:prstDash val="solid"/>
              <a:round/>
            </a:ln>
            <a:effectLst/>
          </c:spPr>
          <c:marker>
            <c:symbol val="none"/>
          </c:marker>
          <c:cat>
            <c:strRef>
              <c:f>' 东盟六国与韩国的制造业PMI'!$K$2:$AW$2</c:f>
              <c:strCache>
                <c:ptCount val="39"/>
                <c:pt idx="0">
                  <c:v>1月
2022</c:v>
                </c:pt>
                <c:pt idx="1">
                  <c:v>2月</c:v>
                </c:pt>
                <c:pt idx="2">
                  <c:v>3月</c:v>
                </c:pt>
                <c:pt idx="3">
                  <c:v>4月</c:v>
                </c:pt>
                <c:pt idx="4">
                  <c:v>5月</c:v>
                </c:pt>
                <c:pt idx="5">
                  <c:v>6月</c:v>
                </c:pt>
                <c:pt idx="6">
                  <c:v>7月</c:v>
                </c:pt>
                <c:pt idx="7">
                  <c:v>8月</c:v>
                </c:pt>
                <c:pt idx="8">
                  <c:v>9月</c:v>
                </c:pt>
                <c:pt idx="9">
                  <c:v>10月</c:v>
                </c:pt>
                <c:pt idx="10">
                  <c:v>11月</c:v>
                </c:pt>
                <c:pt idx="11">
                  <c:v>12月</c:v>
                </c:pt>
                <c:pt idx="12">
                  <c:v>1月
2023</c:v>
                </c:pt>
                <c:pt idx="13">
                  <c:v>2月</c:v>
                </c:pt>
                <c:pt idx="14">
                  <c:v>3月</c:v>
                </c:pt>
                <c:pt idx="15">
                  <c:v>4月</c:v>
                </c:pt>
                <c:pt idx="16">
                  <c:v>5月</c:v>
                </c:pt>
                <c:pt idx="17">
                  <c:v>6月</c:v>
                </c:pt>
                <c:pt idx="18">
                  <c:v>7月</c:v>
                </c:pt>
                <c:pt idx="19">
                  <c:v>8月</c:v>
                </c:pt>
                <c:pt idx="20">
                  <c:v>9月</c:v>
                </c:pt>
                <c:pt idx="21">
                  <c:v>10月</c:v>
                </c:pt>
                <c:pt idx="22">
                  <c:v>11月</c:v>
                </c:pt>
                <c:pt idx="23">
                  <c:v>12月</c:v>
                </c:pt>
                <c:pt idx="24">
                  <c:v>1月
2024</c:v>
                </c:pt>
                <c:pt idx="25">
                  <c:v>2月</c:v>
                </c:pt>
                <c:pt idx="26">
                  <c:v>3月</c:v>
                </c:pt>
                <c:pt idx="27">
                  <c:v>4月</c:v>
                </c:pt>
                <c:pt idx="28">
                  <c:v>5月</c:v>
                </c:pt>
                <c:pt idx="29">
                  <c:v>6月</c:v>
                </c:pt>
                <c:pt idx="30">
                  <c:v>7月</c:v>
                </c:pt>
                <c:pt idx="31">
                  <c:v>8月</c:v>
                </c:pt>
                <c:pt idx="32">
                  <c:v>9月</c:v>
                </c:pt>
                <c:pt idx="33">
                  <c:v>10月</c:v>
                </c:pt>
                <c:pt idx="34">
                  <c:v>11月</c:v>
                </c:pt>
                <c:pt idx="35">
                  <c:v>12月</c:v>
                </c:pt>
                <c:pt idx="36">
                  <c:v>1月
2025</c:v>
                </c:pt>
                <c:pt idx="37">
                  <c:v>2月</c:v>
                </c:pt>
                <c:pt idx="38">
                  <c:v>3月</c:v>
                </c:pt>
              </c:strCache>
            </c:strRef>
          </c:cat>
          <c:val>
            <c:numRef>
              <c:f>' 东盟六国与韩国的制造业PMI'!$K$10:$AW$10</c:f>
              <c:numCache>
                <c:formatCode>General</c:formatCode>
                <c:ptCount val="39"/>
                <c:pt idx="1">
                  <c:v>53.8</c:v>
                </c:pt>
                <c:pt idx="2">
                  <c:v>51.2</c:v>
                </c:pt>
                <c:pt idx="3">
                  <c:v>52.1</c:v>
                </c:pt>
                <c:pt idx="4">
                  <c:v>51.8</c:v>
                </c:pt>
                <c:pt idx="5">
                  <c:v>51.3</c:v>
                </c:pt>
                <c:pt idx="6">
                  <c:v>49.8</c:v>
                </c:pt>
                <c:pt idx="7">
                  <c:v>47.6</c:v>
                </c:pt>
                <c:pt idx="8">
                  <c:v>47.3</c:v>
                </c:pt>
                <c:pt idx="9">
                  <c:v>48.2</c:v>
                </c:pt>
                <c:pt idx="10">
                  <c:v>49</c:v>
                </c:pt>
                <c:pt idx="11">
                  <c:v>48.2</c:v>
                </c:pt>
                <c:pt idx="12">
                  <c:v>48.5</c:v>
                </c:pt>
                <c:pt idx="13">
                  <c:v>48.5</c:v>
                </c:pt>
                <c:pt idx="14">
                  <c:v>47.6</c:v>
                </c:pt>
                <c:pt idx="15">
                  <c:v>48.1</c:v>
                </c:pt>
                <c:pt idx="16">
                  <c:v>48.4</c:v>
                </c:pt>
                <c:pt idx="17">
                  <c:v>47.8</c:v>
                </c:pt>
                <c:pt idx="18">
                  <c:v>49.4</c:v>
                </c:pt>
                <c:pt idx="19">
                  <c:v>48.9</c:v>
                </c:pt>
                <c:pt idx="20">
                  <c:v>49.9</c:v>
                </c:pt>
                <c:pt idx="21">
                  <c:v>49.8</c:v>
                </c:pt>
                <c:pt idx="22">
                  <c:v>50</c:v>
                </c:pt>
                <c:pt idx="23">
                  <c:v>49.9</c:v>
                </c:pt>
                <c:pt idx="24">
                  <c:v>51.2</c:v>
                </c:pt>
                <c:pt idx="25">
                  <c:v>50.7</c:v>
                </c:pt>
                <c:pt idx="26">
                  <c:v>49.8</c:v>
                </c:pt>
                <c:pt idx="27">
                  <c:v>49.4</c:v>
                </c:pt>
                <c:pt idx="28">
                  <c:v>51.6</c:v>
                </c:pt>
                <c:pt idx="29">
                  <c:v>52</c:v>
                </c:pt>
                <c:pt idx="30">
                  <c:v>51.4</c:v>
                </c:pt>
                <c:pt idx="31">
                  <c:v>51.9</c:v>
                </c:pt>
                <c:pt idx="32">
                  <c:v>48.3</c:v>
                </c:pt>
                <c:pt idx="33">
                  <c:v>48.3</c:v>
                </c:pt>
                <c:pt idx="34">
                  <c:v>50.6</c:v>
                </c:pt>
                <c:pt idx="35">
                  <c:v>49</c:v>
                </c:pt>
                <c:pt idx="36">
                  <c:v>50.3</c:v>
                </c:pt>
                <c:pt idx="37">
                  <c:v>49.9</c:v>
                </c:pt>
                <c:pt idx="38">
                  <c:v>49.1</c:v>
                </c:pt>
              </c:numCache>
            </c:numRef>
          </c:val>
          <c:smooth val="0"/>
          <c:extLst xmlns:c16r2="http://schemas.microsoft.com/office/drawing/2015/06/chart">
            <c:ext xmlns:c16="http://schemas.microsoft.com/office/drawing/2014/chart" uri="{C3380CC4-5D6E-409C-BE32-E72D297353CC}">
              <c16:uniqueId val="{00000001-76E0-43BA-B362-78FFCDA60405}"/>
            </c:ext>
          </c:extLst>
        </c:ser>
        <c:dLbls>
          <c:showLegendKey val="0"/>
          <c:showVal val="0"/>
          <c:showCatName val="0"/>
          <c:showSerName val="0"/>
          <c:showPercent val="0"/>
          <c:showBubbleSize val="0"/>
        </c:dLbls>
        <c:marker val="1"/>
        <c:smooth val="0"/>
        <c:axId val="374524160"/>
        <c:axId val="374534144"/>
      </c:lineChart>
      <c:dateAx>
        <c:axId val="374524160"/>
        <c:scaling>
          <c:orientation val="minMax"/>
        </c:scaling>
        <c:delete val="0"/>
        <c:axPos val="b"/>
        <c:numFmt formatCode="m&quot;月&quot;;@" sourceLinked="0"/>
        <c:majorTickMark val="out"/>
        <c:minorTickMark val="none"/>
        <c:tickLblPos val="nextTo"/>
        <c:spPr>
          <a:noFill/>
          <a:ln w="12700" cap="flat" cmpd="sng" algn="ctr">
            <a:solidFill>
              <a:schemeClr val="tx1"/>
            </a:solidFill>
            <a:round/>
          </a:ln>
          <a:effectLst/>
        </c:spPr>
        <c:txPr>
          <a:bodyPr rot="0" spcFirstLastPara="0" vertOverflow="ellipsis" wrap="square" anchor="ctr" anchorCtr="1" forceAA="0"/>
          <a:lstStyle/>
          <a:p>
            <a:pPr>
              <a:defRPr lang="zh-CN" sz="800" b="0" i="0" u="none" strike="noStrike" kern="1200" baseline="0">
                <a:solidFill>
                  <a:sysClr val="windowText" lastClr="000000"/>
                </a:solidFill>
                <a:latin typeface="Cambria" panose="02040503050406030204" pitchFamily="18" charset="0"/>
                <a:ea typeface="楷体" panose="02010609060101010101" pitchFamily="49" charset="-122"/>
                <a:cs typeface="+mn-cs"/>
              </a:defRPr>
            </a:pPr>
            <a:endParaRPr lang="zh-CN"/>
          </a:p>
        </c:txPr>
        <c:crossAx val="374534144"/>
        <c:crosses val="autoZero"/>
        <c:auto val="0"/>
        <c:lblOffset val="100"/>
        <c:baseTimeUnit val="days"/>
      </c:dateAx>
      <c:valAx>
        <c:axId val="374534144"/>
        <c:scaling>
          <c:orientation val="minMax"/>
          <c:max val="56"/>
          <c:min val="44"/>
        </c:scaling>
        <c:delete val="0"/>
        <c:axPos val="l"/>
        <c:majorGridlines>
          <c:spPr>
            <a:ln w="9525" cap="flat" cmpd="sng" algn="ctr">
              <a:noFill/>
              <a:round/>
            </a:ln>
            <a:effectLst/>
          </c:spPr>
        </c:majorGridlines>
        <c:numFmt formatCode="General" sourceLinked="1"/>
        <c:majorTickMark val="out"/>
        <c:minorTickMark val="none"/>
        <c:tickLblPos val="nextTo"/>
        <c:spPr>
          <a:noFill/>
          <a:ln w="12700">
            <a:solidFill>
              <a:schemeClr val="tx1"/>
            </a:solidFill>
          </a:ln>
          <a:effectLst/>
        </c:spPr>
        <c:txPr>
          <a:bodyPr rot="-60000000" spcFirstLastPara="1" vertOverflow="ellipsis" vert="horz" wrap="square" anchor="ctr" anchorCtr="1"/>
          <a:lstStyle/>
          <a:p>
            <a:pPr>
              <a:defRPr lang="zh-CN" sz="800" b="0" i="0" u="none" strike="noStrike" kern="1200" baseline="0">
                <a:solidFill>
                  <a:sysClr val="windowText" lastClr="000000"/>
                </a:solidFill>
                <a:latin typeface="Cambria" panose="02040503050406030204" pitchFamily="18" charset="0"/>
                <a:ea typeface="+mn-ea"/>
                <a:cs typeface="+mn-cs"/>
              </a:defRPr>
            </a:pPr>
            <a:endParaRPr lang="zh-CN"/>
          </a:p>
        </c:txPr>
        <c:crossAx val="374524160"/>
        <c:crosses val="autoZero"/>
        <c:crossBetween val="between"/>
      </c:valAx>
      <c:spPr>
        <a:solidFill>
          <a:srgbClr val="FFFFFF"/>
        </a:solidFill>
        <a:ln>
          <a:noFill/>
        </a:ln>
        <a:effectLst/>
      </c:spPr>
    </c:plotArea>
    <c:legend>
      <c:legendPos val="r"/>
      <c:layout>
        <c:manualLayout>
          <c:xMode val="edge"/>
          <c:yMode val="edge"/>
          <c:x val="0.72257673611111095"/>
          <c:y val="0.55852051282051296"/>
          <c:w val="0.21953263888888899"/>
          <c:h val="0.13545486363514"/>
        </c:manualLayout>
      </c:layout>
      <c:overlay val="0"/>
      <c:spPr>
        <a:noFill/>
        <a:ln>
          <a:noFill/>
        </a:ln>
        <a:effectLst/>
      </c:spPr>
      <c:txPr>
        <a:bodyPr rot="0" spcFirstLastPara="1" vertOverflow="ellipsis" vert="horz" wrap="square" anchor="ctr" anchorCtr="1"/>
        <a:lstStyle/>
        <a:p>
          <a:pPr>
            <a:defRPr lang="zh-CN" sz="900" b="0" i="0" u="none" strike="noStrike" kern="1200" baseline="0">
              <a:solidFill>
                <a:sysClr val="windowText" lastClr="000000"/>
              </a:solidFill>
              <a:latin typeface="Cambria" panose="02040503050406030204" pitchFamily="18" charset="0"/>
              <a:ea typeface="楷体" panose="02010609060101010101" pitchFamily="49" charset="-122"/>
              <a:cs typeface="+mn-cs"/>
            </a:defRPr>
          </a:pPr>
          <a:endParaRPr lang="zh-CN"/>
        </a:p>
      </c:txPr>
    </c:legend>
    <c:plotVisOnly val="1"/>
    <c:dispBlanksAs val="gap"/>
    <c:showDLblsOverMax val="0"/>
  </c:chart>
  <c:spPr>
    <a:solidFill>
      <a:srgbClr val="FFFFFF"/>
    </a:solidFill>
    <a:ln w="9525" cap="flat" cmpd="sng" algn="ctr">
      <a:solidFill>
        <a:schemeClr val="tx1">
          <a:lumMod val="15000"/>
          <a:lumOff val="85000"/>
        </a:schemeClr>
      </a:solidFill>
      <a:round/>
    </a:ln>
    <a:effectLst/>
  </c:spPr>
  <c:txPr>
    <a:bodyPr/>
    <a:lstStyle/>
    <a:p>
      <a:pPr>
        <a:defRPr lang="zh-CN"/>
      </a:pPr>
      <a:endParaRPr lang="zh-CN"/>
    </a:p>
  </c:txPr>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8603935185185205E-2"/>
          <c:y val="0.13675213675213699"/>
          <c:w val="0.87612481962482003"/>
          <c:h val="0.63080884120254199"/>
        </c:manualLayout>
      </c:layout>
      <c:lineChart>
        <c:grouping val="standard"/>
        <c:varyColors val="0"/>
        <c:ser>
          <c:idx val="2"/>
          <c:order val="0"/>
          <c:tx>
            <c:strRef>
              <c:f>'CPI月度 (2)'!$B$1</c:f>
              <c:strCache>
                <c:ptCount val="1"/>
                <c:pt idx="0">
                  <c:v>印度尼西亚</c:v>
                </c:pt>
              </c:strCache>
            </c:strRef>
          </c:tx>
          <c:spPr>
            <a:ln w="22225" cap="rnd">
              <a:solidFill>
                <a:srgbClr val="106D9C"/>
              </a:solidFill>
              <a:prstDash val="solid"/>
              <a:round/>
            </a:ln>
            <a:effectLst/>
          </c:spPr>
          <c:marker>
            <c:symbol val="none"/>
          </c:marker>
          <c:cat>
            <c:strRef>
              <c:f>'CPI月度 (2)'!$A$2:$A$28</c:f>
              <c:strCache>
                <c:ptCount val="27"/>
                <c:pt idx="0">
                  <c:v>1月
2023</c:v>
                </c:pt>
                <c:pt idx="1">
                  <c:v>2月</c:v>
                </c:pt>
                <c:pt idx="2">
                  <c:v>3月</c:v>
                </c:pt>
                <c:pt idx="3">
                  <c:v>4月</c:v>
                </c:pt>
                <c:pt idx="4">
                  <c:v>5月</c:v>
                </c:pt>
                <c:pt idx="5">
                  <c:v>6月</c:v>
                </c:pt>
                <c:pt idx="6">
                  <c:v>7月</c:v>
                </c:pt>
                <c:pt idx="7">
                  <c:v>8月</c:v>
                </c:pt>
                <c:pt idx="8">
                  <c:v>9月</c:v>
                </c:pt>
                <c:pt idx="9">
                  <c:v>10月</c:v>
                </c:pt>
                <c:pt idx="10">
                  <c:v>11月</c:v>
                </c:pt>
                <c:pt idx="11">
                  <c:v>12月</c:v>
                </c:pt>
                <c:pt idx="12">
                  <c:v>1月
2024</c:v>
                </c:pt>
                <c:pt idx="13">
                  <c:v>2月</c:v>
                </c:pt>
                <c:pt idx="14">
                  <c:v>3月</c:v>
                </c:pt>
                <c:pt idx="15">
                  <c:v>4月</c:v>
                </c:pt>
                <c:pt idx="16">
                  <c:v>5月</c:v>
                </c:pt>
                <c:pt idx="17">
                  <c:v>6月</c:v>
                </c:pt>
                <c:pt idx="18">
                  <c:v>7月</c:v>
                </c:pt>
                <c:pt idx="19">
                  <c:v>8月</c:v>
                </c:pt>
                <c:pt idx="20">
                  <c:v>9月</c:v>
                </c:pt>
                <c:pt idx="21">
                  <c:v>10月</c:v>
                </c:pt>
                <c:pt idx="22">
                  <c:v>11月</c:v>
                </c:pt>
                <c:pt idx="23">
                  <c:v>12月</c:v>
                </c:pt>
                <c:pt idx="24">
                  <c:v>1月
2025</c:v>
                </c:pt>
                <c:pt idx="25">
                  <c:v>2月</c:v>
                </c:pt>
                <c:pt idx="26">
                  <c:v>3月</c:v>
                </c:pt>
              </c:strCache>
            </c:strRef>
          </c:cat>
          <c:val>
            <c:numRef>
              <c:f>'CPI月度 (2)'!$B$2:$B$28</c:f>
              <c:numCache>
                <c:formatCode>#,##0.00_ </c:formatCode>
                <c:ptCount val="27"/>
                <c:pt idx="0">
                  <c:v>5.28</c:v>
                </c:pt>
                <c:pt idx="1">
                  <c:v>5.47</c:v>
                </c:pt>
                <c:pt idx="2">
                  <c:v>4.5599999999999996</c:v>
                </c:pt>
                <c:pt idx="3">
                  <c:v>4.33</c:v>
                </c:pt>
                <c:pt idx="4">
                  <c:v>4</c:v>
                </c:pt>
                <c:pt idx="5">
                  <c:v>3.52</c:v>
                </c:pt>
                <c:pt idx="6">
                  <c:v>3.08</c:v>
                </c:pt>
                <c:pt idx="7">
                  <c:v>3.27</c:v>
                </c:pt>
                <c:pt idx="8">
                  <c:v>2.2799999999999998</c:v>
                </c:pt>
                <c:pt idx="9">
                  <c:v>2.56</c:v>
                </c:pt>
                <c:pt idx="10">
                  <c:v>2.86</c:v>
                </c:pt>
                <c:pt idx="11">
                  <c:v>2.61</c:v>
                </c:pt>
                <c:pt idx="12">
                  <c:v>2.57</c:v>
                </c:pt>
                <c:pt idx="13">
                  <c:v>2.75</c:v>
                </c:pt>
                <c:pt idx="14">
                  <c:v>3.05</c:v>
                </c:pt>
                <c:pt idx="15">
                  <c:v>3</c:v>
                </c:pt>
                <c:pt idx="16">
                  <c:v>2.84</c:v>
                </c:pt>
                <c:pt idx="17">
                  <c:v>2.5099999999999998</c:v>
                </c:pt>
                <c:pt idx="18">
                  <c:v>2.13</c:v>
                </c:pt>
                <c:pt idx="19">
                  <c:v>2.12</c:v>
                </c:pt>
                <c:pt idx="20">
                  <c:v>1.84</c:v>
                </c:pt>
                <c:pt idx="21">
                  <c:v>1.38</c:v>
                </c:pt>
                <c:pt idx="22">
                  <c:v>1.55</c:v>
                </c:pt>
                <c:pt idx="23">
                  <c:v>1.57</c:v>
                </c:pt>
                <c:pt idx="24">
                  <c:v>0.76</c:v>
                </c:pt>
                <c:pt idx="25">
                  <c:v>-0.09</c:v>
                </c:pt>
              </c:numCache>
            </c:numRef>
          </c:val>
          <c:smooth val="0"/>
          <c:extLst xmlns:c16r2="http://schemas.microsoft.com/office/drawing/2015/06/chart">
            <c:ext xmlns:c16="http://schemas.microsoft.com/office/drawing/2014/chart" uri="{C3380CC4-5D6E-409C-BE32-E72D297353CC}">
              <c16:uniqueId val="{00000000-F561-4DB7-BC16-DEF27A084550}"/>
            </c:ext>
          </c:extLst>
        </c:ser>
        <c:ser>
          <c:idx val="3"/>
          <c:order val="1"/>
          <c:tx>
            <c:strRef>
              <c:f>'CPI月度 (2)'!$C$1</c:f>
              <c:strCache>
                <c:ptCount val="1"/>
                <c:pt idx="0">
                  <c:v>泰国</c:v>
                </c:pt>
              </c:strCache>
            </c:strRef>
          </c:tx>
          <c:spPr>
            <a:ln w="22225" cap="rnd">
              <a:solidFill>
                <a:srgbClr val="106D9C"/>
              </a:solidFill>
              <a:prstDash val="dash"/>
              <a:round/>
            </a:ln>
            <a:effectLst/>
          </c:spPr>
          <c:marker>
            <c:symbol val="none"/>
          </c:marker>
          <c:cat>
            <c:strRef>
              <c:f>'CPI月度 (2)'!$A$2:$A$28</c:f>
              <c:strCache>
                <c:ptCount val="27"/>
                <c:pt idx="0">
                  <c:v>1月
2023</c:v>
                </c:pt>
                <c:pt idx="1">
                  <c:v>2月</c:v>
                </c:pt>
                <c:pt idx="2">
                  <c:v>3月</c:v>
                </c:pt>
                <c:pt idx="3">
                  <c:v>4月</c:v>
                </c:pt>
                <c:pt idx="4">
                  <c:v>5月</c:v>
                </c:pt>
                <c:pt idx="5">
                  <c:v>6月</c:v>
                </c:pt>
                <c:pt idx="6">
                  <c:v>7月</c:v>
                </c:pt>
                <c:pt idx="7">
                  <c:v>8月</c:v>
                </c:pt>
                <c:pt idx="8">
                  <c:v>9月</c:v>
                </c:pt>
                <c:pt idx="9">
                  <c:v>10月</c:v>
                </c:pt>
                <c:pt idx="10">
                  <c:v>11月</c:v>
                </c:pt>
                <c:pt idx="11">
                  <c:v>12月</c:v>
                </c:pt>
                <c:pt idx="12">
                  <c:v>1月
2024</c:v>
                </c:pt>
                <c:pt idx="13">
                  <c:v>2月</c:v>
                </c:pt>
                <c:pt idx="14">
                  <c:v>3月</c:v>
                </c:pt>
                <c:pt idx="15">
                  <c:v>4月</c:v>
                </c:pt>
                <c:pt idx="16">
                  <c:v>5月</c:v>
                </c:pt>
                <c:pt idx="17">
                  <c:v>6月</c:v>
                </c:pt>
                <c:pt idx="18">
                  <c:v>7月</c:v>
                </c:pt>
                <c:pt idx="19">
                  <c:v>8月</c:v>
                </c:pt>
                <c:pt idx="20">
                  <c:v>9月</c:v>
                </c:pt>
                <c:pt idx="21">
                  <c:v>10月</c:v>
                </c:pt>
                <c:pt idx="22">
                  <c:v>11月</c:v>
                </c:pt>
                <c:pt idx="23">
                  <c:v>12月</c:v>
                </c:pt>
                <c:pt idx="24">
                  <c:v>1月
2025</c:v>
                </c:pt>
                <c:pt idx="25">
                  <c:v>2月</c:v>
                </c:pt>
                <c:pt idx="26">
                  <c:v>3月</c:v>
                </c:pt>
              </c:strCache>
            </c:strRef>
          </c:cat>
          <c:val>
            <c:numRef>
              <c:f>'CPI月度 (2)'!$C$2:$C$28</c:f>
              <c:numCache>
                <c:formatCode>#,##0.00_ </c:formatCode>
                <c:ptCount val="27"/>
                <c:pt idx="0">
                  <c:v>3.04</c:v>
                </c:pt>
                <c:pt idx="1">
                  <c:v>1.93</c:v>
                </c:pt>
                <c:pt idx="2">
                  <c:v>1.75</c:v>
                </c:pt>
                <c:pt idx="3">
                  <c:v>1.66</c:v>
                </c:pt>
                <c:pt idx="4">
                  <c:v>1.55</c:v>
                </c:pt>
                <c:pt idx="5">
                  <c:v>1.32</c:v>
                </c:pt>
                <c:pt idx="6">
                  <c:v>0.86</c:v>
                </c:pt>
                <c:pt idx="7">
                  <c:v>0.79</c:v>
                </c:pt>
                <c:pt idx="8">
                  <c:v>0.63</c:v>
                </c:pt>
                <c:pt idx="9">
                  <c:v>0.66</c:v>
                </c:pt>
                <c:pt idx="10">
                  <c:v>0.57999999999999996</c:v>
                </c:pt>
                <c:pt idx="11">
                  <c:v>0.57999999999999996</c:v>
                </c:pt>
                <c:pt idx="12">
                  <c:v>0.52</c:v>
                </c:pt>
                <c:pt idx="13">
                  <c:v>0.43</c:v>
                </c:pt>
                <c:pt idx="14">
                  <c:v>0.37</c:v>
                </c:pt>
                <c:pt idx="15">
                  <c:v>0.37</c:v>
                </c:pt>
                <c:pt idx="16">
                  <c:v>0.39</c:v>
                </c:pt>
                <c:pt idx="17">
                  <c:v>0.36</c:v>
                </c:pt>
                <c:pt idx="18">
                  <c:v>0.52</c:v>
                </c:pt>
                <c:pt idx="19">
                  <c:v>0.62</c:v>
                </c:pt>
                <c:pt idx="20">
                  <c:v>0.77</c:v>
                </c:pt>
                <c:pt idx="21">
                  <c:v>0.77</c:v>
                </c:pt>
                <c:pt idx="22">
                  <c:v>0.8</c:v>
                </c:pt>
                <c:pt idx="23">
                  <c:v>0.79</c:v>
                </c:pt>
                <c:pt idx="24">
                  <c:v>0.83</c:v>
                </c:pt>
                <c:pt idx="25">
                  <c:v>0.99</c:v>
                </c:pt>
                <c:pt idx="26">
                  <c:v>0.86</c:v>
                </c:pt>
              </c:numCache>
            </c:numRef>
          </c:val>
          <c:smooth val="0"/>
          <c:extLst xmlns:c16r2="http://schemas.microsoft.com/office/drawing/2015/06/chart">
            <c:ext xmlns:c16="http://schemas.microsoft.com/office/drawing/2014/chart" uri="{C3380CC4-5D6E-409C-BE32-E72D297353CC}">
              <c16:uniqueId val="{00000001-F561-4DB7-BC16-DEF27A084550}"/>
            </c:ext>
          </c:extLst>
        </c:ser>
        <c:ser>
          <c:idx val="4"/>
          <c:order val="2"/>
          <c:tx>
            <c:strRef>
              <c:f>'CPI月度 (2)'!$D$1</c:f>
              <c:strCache>
                <c:ptCount val="1"/>
                <c:pt idx="0">
                  <c:v>马来西亚</c:v>
                </c:pt>
              </c:strCache>
            </c:strRef>
          </c:tx>
          <c:spPr>
            <a:ln w="22225" cap="rnd">
              <a:solidFill>
                <a:srgbClr val="106D9C"/>
              </a:solidFill>
              <a:prstDash val="lgDashDotDot"/>
              <a:round/>
            </a:ln>
            <a:effectLst/>
          </c:spPr>
          <c:marker>
            <c:symbol val="none"/>
          </c:marker>
          <c:cat>
            <c:strRef>
              <c:f>'CPI月度 (2)'!$A$2:$A$28</c:f>
              <c:strCache>
                <c:ptCount val="27"/>
                <c:pt idx="0">
                  <c:v>1月
2023</c:v>
                </c:pt>
                <c:pt idx="1">
                  <c:v>2月</c:v>
                </c:pt>
                <c:pt idx="2">
                  <c:v>3月</c:v>
                </c:pt>
                <c:pt idx="3">
                  <c:v>4月</c:v>
                </c:pt>
                <c:pt idx="4">
                  <c:v>5月</c:v>
                </c:pt>
                <c:pt idx="5">
                  <c:v>6月</c:v>
                </c:pt>
                <c:pt idx="6">
                  <c:v>7月</c:v>
                </c:pt>
                <c:pt idx="7">
                  <c:v>8月</c:v>
                </c:pt>
                <c:pt idx="8">
                  <c:v>9月</c:v>
                </c:pt>
                <c:pt idx="9">
                  <c:v>10月</c:v>
                </c:pt>
                <c:pt idx="10">
                  <c:v>11月</c:v>
                </c:pt>
                <c:pt idx="11">
                  <c:v>12月</c:v>
                </c:pt>
                <c:pt idx="12">
                  <c:v>1月
2024</c:v>
                </c:pt>
                <c:pt idx="13">
                  <c:v>2月</c:v>
                </c:pt>
                <c:pt idx="14">
                  <c:v>3月</c:v>
                </c:pt>
                <c:pt idx="15">
                  <c:v>4月</c:v>
                </c:pt>
                <c:pt idx="16">
                  <c:v>5月</c:v>
                </c:pt>
                <c:pt idx="17">
                  <c:v>6月</c:v>
                </c:pt>
                <c:pt idx="18">
                  <c:v>7月</c:v>
                </c:pt>
                <c:pt idx="19">
                  <c:v>8月</c:v>
                </c:pt>
                <c:pt idx="20">
                  <c:v>9月</c:v>
                </c:pt>
                <c:pt idx="21">
                  <c:v>10月</c:v>
                </c:pt>
                <c:pt idx="22">
                  <c:v>11月</c:v>
                </c:pt>
                <c:pt idx="23">
                  <c:v>12月</c:v>
                </c:pt>
                <c:pt idx="24">
                  <c:v>1月
2025</c:v>
                </c:pt>
                <c:pt idx="25">
                  <c:v>2月</c:v>
                </c:pt>
                <c:pt idx="26">
                  <c:v>3月</c:v>
                </c:pt>
              </c:strCache>
            </c:strRef>
          </c:cat>
          <c:val>
            <c:numRef>
              <c:f>'CPI月度 (2)'!$D$2:$D$28</c:f>
              <c:numCache>
                <c:formatCode>#,##0.00_ </c:formatCode>
                <c:ptCount val="27"/>
                <c:pt idx="0">
                  <c:v>3.7</c:v>
                </c:pt>
                <c:pt idx="1">
                  <c:v>3.7</c:v>
                </c:pt>
                <c:pt idx="2">
                  <c:v>3.4</c:v>
                </c:pt>
                <c:pt idx="3">
                  <c:v>3.3</c:v>
                </c:pt>
                <c:pt idx="4">
                  <c:v>2.8</c:v>
                </c:pt>
                <c:pt idx="5">
                  <c:v>2.4</c:v>
                </c:pt>
                <c:pt idx="6">
                  <c:v>2</c:v>
                </c:pt>
                <c:pt idx="7">
                  <c:v>2</c:v>
                </c:pt>
                <c:pt idx="8">
                  <c:v>1.9</c:v>
                </c:pt>
                <c:pt idx="9">
                  <c:v>1.8</c:v>
                </c:pt>
                <c:pt idx="10">
                  <c:v>1.5</c:v>
                </c:pt>
                <c:pt idx="11">
                  <c:v>1.5</c:v>
                </c:pt>
                <c:pt idx="12">
                  <c:v>1.5</c:v>
                </c:pt>
                <c:pt idx="13">
                  <c:v>1.8</c:v>
                </c:pt>
                <c:pt idx="14">
                  <c:v>1.8</c:v>
                </c:pt>
                <c:pt idx="15">
                  <c:v>1.8</c:v>
                </c:pt>
                <c:pt idx="16">
                  <c:v>2</c:v>
                </c:pt>
                <c:pt idx="18">
                  <c:v>2</c:v>
                </c:pt>
                <c:pt idx="19">
                  <c:v>1.9</c:v>
                </c:pt>
                <c:pt idx="21">
                  <c:v>1.9</c:v>
                </c:pt>
                <c:pt idx="22">
                  <c:v>1.8</c:v>
                </c:pt>
                <c:pt idx="23">
                  <c:v>1.7</c:v>
                </c:pt>
                <c:pt idx="24">
                  <c:v>1.7</c:v>
                </c:pt>
                <c:pt idx="25">
                  <c:v>1.5</c:v>
                </c:pt>
              </c:numCache>
            </c:numRef>
          </c:val>
          <c:smooth val="0"/>
          <c:extLst xmlns:c16r2="http://schemas.microsoft.com/office/drawing/2015/06/chart">
            <c:ext xmlns:c16="http://schemas.microsoft.com/office/drawing/2014/chart" uri="{C3380CC4-5D6E-409C-BE32-E72D297353CC}">
              <c16:uniqueId val="{00000002-F561-4DB7-BC16-DEF27A084550}"/>
            </c:ext>
          </c:extLst>
        </c:ser>
        <c:ser>
          <c:idx val="5"/>
          <c:order val="3"/>
          <c:tx>
            <c:strRef>
              <c:f>'CPI月度 (2)'!$E$1</c:f>
              <c:strCache>
                <c:ptCount val="1"/>
                <c:pt idx="0">
                  <c:v>新加坡</c:v>
                </c:pt>
              </c:strCache>
            </c:strRef>
          </c:tx>
          <c:spPr>
            <a:ln w="22225" cap="rnd">
              <a:solidFill>
                <a:srgbClr val="106D9C"/>
              </a:solidFill>
              <a:prstDash val="sysDot"/>
              <a:round/>
            </a:ln>
            <a:effectLst/>
          </c:spPr>
          <c:marker>
            <c:symbol val="none"/>
          </c:marker>
          <c:cat>
            <c:strRef>
              <c:f>'CPI月度 (2)'!$A$2:$A$28</c:f>
              <c:strCache>
                <c:ptCount val="27"/>
                <c:pt idx="0">
                  <c:v>1月
2023</c:v>
                </c:pt>
                <c:pt idx="1">
                  <c:v>2月</c:v>
                </c:pt>
                <c:pt idx="2">
                  <c:v>3月</c:v>
                </c:pt>
                <c:pt idx="3">
                  <c:v>4月</c:v>
                </c:pt>
                <c:pt idx="4">
                  <c:v>5月</c:v>
                </c:pt>
                <c:pt idx="5">
                  <c:v>6月</c:v>
                </c:pt>
                <c:pt idx="6">
                  <c:v>7月</c:v>
                </c:pt>
                <c:pt idx="7">
                  <c:v>8月</c:v>
                </c:pt>
                <c:pt idx="8">
                  <c:v>9月</c:v>
                </c:pt>
                <c:pt idx="9">
                  <c:v>10月</c:v>
                </c:pt>
                <c:pt idx="10">
                  <c:v>11月</c:v>
                </c:pt>
                <c:pt idx="11">
                  <c:v>12月</c:v>
                </c:pt>
                <c:pt idx="12">
                  <c:v>1月
2024</c:v>
                </c:pt>
                <c:pt idx="13">
                  <c:v>2月</c:v>
                </c:pt>
                <c:pt idx="14">
                  <c:v>3月</c:v>
                </c:pt>
                <c:pt idx="15">
                  <c:v>4月</c:v>
                </c:pt>
                <c:pt idx="16">
                  <c:v>5月</c:v>
                </c:pt>
                <c:pt idx="17">
                  <c:v>6月</c:v>
                </c:pt>
                <c:pt idx="18">
                  <c:v>7月</c:v>
                </c:pt>
                <c:pt idx="19">
                  <c:v>8月</c:v>
                </c:pt>
                <c:pt idx="20">
                  <c:v>9月</c:v>
                </c:pt>
                <c:pt idx="21">
                  <c:v>10月</c:v>
                </c:pt>
                <c:pt idx="22">
                  <c:v>11月</c:v>
                </c:pt>
                <c:pt idx="23">
                  <c:v>12月</c:v>
                </c:pt>
                <c:pt idx="24">
                  <c:v>1月
2025</c:v>
                </c:pt>
                <c:pt idx="25">
                  <c:v>2月</c:v>
                </c:pt>
                <c:pt idx="26">
                  <c:v>3月</c:v>
                </c:pt>
              </c:strCache>
            </c:strRef>
          </c:cat>
          <c:val>
            <c:numRef>
              <c:f>'CPI月度 (2)'!$E$2:$E$28</c:f>
              <c:numCache>
                <c:formatCode>#,##0.00_ </c:formatCode>
                <c:ptCount val="27"/>
                <c:pt idx="0">
                  <c:v>5.5</c:v>
                </c:pt>
                <c:pt idx="1">
                  <c:v>5.5</c:v>
                </c:pt>
                <c:pt idx="2">
                  <c:v>5</c:v>
                </c:pt>
                <c:pt idx="3">
                  <c:v>5</c:v>
                </c:pt>
                <c:pt idx="4">
                  <c:v>4.7</c:v>
                </c:pt>
                <c:pt idx="5">
                  <c:v>4.2</c:v>
                </c:pt>
                <c:pt idx="6">
                  <c:v>3.8</c:v>
                </c:pt>
                <c:pt idx="7">
                  <c:v>3.4</c:v>
                </c:pt>
                <c:pt idx="8">
                  <c:v>3</c:v>
                </c:pt>
                <c:pt idx="9">
                  <c:v>3.3</c:v>
                </c:pt>
                <c:pt idx="10">
                  <c:v>3.2</c:v>
                </c:pt>
                <c:pt idx="11">
                  <c:v>3.3</c:v>
                </c:pt>
                <c:pt idx="12">
                  <c:v>3.1</c:v>
                </c:pt>
                <c:pt idx="13">
                  <c:v>3.6</c:v>
                </c:pt>
                <c:pt idx="14">
                  <c:v>3.1</c:v>
                </c:pt>
                <c:pt idx="15">
                  <c:v>3.1</c:v>
                </c:pt>
                <c:pt idx="16">
                  <c:v>3.1</c:v>
                </c:pt>
                <c:pt idx="18">
                  <c:v>2.5</c:v>
                </c:pt>
                <c:pt idx="19">
                  <c:v>2.7</c:v>
                </c:pt>
                <c:pt idx="21">
                  <c:v>2.1</c:v>
                </c:pt>
                <c:pt idx="22">
                  <c:v>1.9</c:v>
                </c:pt>
                <c:pt idx="23">
                  <c:v>1.7</c:v>
                </c:pt>
                <c:pt idx="24">
                  <c:v>0.8</c:v>
                </c:pt>
                <c:pt idx="25">
                  <c:v>0.6</c:v>
                </c:pt>
              </c:numCache>
            </c:numRef>
          </c:val>
          <c:smooth val="0"/>
          <c:extLst xmlns:c16r2="http://schemas.microsoft.com/office/drawing/2015/06/chart">
            <c:ext xmlns:c16="http://schemas.microsoft.com/office/drawing/2014/chart" uri="{C3380CC4-5D6E-409C-BE32-E72D297353CC}">
              <c16:uniqueId val="{00000003-F561-4DB7-BC16-DEF27A084550}"/>
            </c:ext>
          </c:extLst>
        </c:ser>
        <c:ser>
          <c:idx val="6"/>
          <c:order val="4"/>
          <c:tx>
            <c:strRef>
              <c:f>'CPI月度 (2)'!$F$1</c:f>
              <c:strCache>
                <c:ptCount val="1"/>
                <c:pt idx="0">
                  <c:v>菲律宾</c:v>
                </c:pt>
              </c:strCache>
            </c:strRef>
          </c:tx>
          <c:spPr>
            <a:ln w="22225" cap="rnd">
              <a:solidFill>
                <a:srgbClr val="DFA6A5"/>
              </a:solidFill>
              <a:prstDash val="solid"/>
              <a:round/>
            </a:ln>
            <a:effectLst/>
          </c:spPr>
          <c:marker>
            <c:symbol val="none"/>
          </c:marker>
          <c:cat>
            <c:strRef>
              <c:f>'CPI月度 (2)'!$A$2:$A$28</c:f>
              <c:strCache>
                <c:ptCount val="27"/>
                <c:pt idx="0">
                  <c:v>1月
2023</c:v>
                </c:pt>
                <c:pt idx="1">
                  <c:v>2月</c:v>
                </c:pt>
                <c:pt idx="2">
                  <c:v>3月</c:v>
                </c:pt>
                <c:pt idx="3">
                  <c:v>4月</c:v>
                </c:pt>
                <c:pt idx="4">
                  <c:v>5月</c:v>
                </c:pt>
                <c:pt idx="5">
                  <c:v>6月</c:v>
                </c:pt>
                <c:pt idx="6">
                  <c:v>7月</c:v>
                </c:pt>
                <c:pt idx="7">
                  <c:v>8月</c:v>
                </c:pt>
                <c:pt idx="8">
                  <c:v>9月</c:v>
                </c:pt>
                <c:pt idx="9">
                  <c:v>10月</c:v>
                </c:pt>
                <c:pt idx="10">
                  <c:v>11月</c:v>
                </c:pt>
                <c:pt idx="11">
                  <c:v>12月</c:v>
                </c:pt>
                <c:pt idx="12">
                  <c:v>1月
2024</c:v>
                </c:pt>
                <c:pt idx="13">
                  <c:v>2月</c:v>
                </c:pt>
                <c:pt idx="14">
                  <c:v>3月</c:v>
                </c:pt>
                <c:pt idx="15">
                  <c:v>4月</c:v>
                </c:pt>
                <c:pt idx="16">
                  <c:v>5月</c:v>
                </c:pt>
                <c:pt idx="17">
                  <c:v>6月</c:v>
                </c:pt>
                <c:pt idx="18">
                  <c:v>7月</c:v>
                </c:pt>
                <c:pt idx="19">
                  <c:v>8月</c:v>
                </c:pt>
                <c:pt idx="20">
                  <c:v>9月</c:v>
                </c:pt>
                <c:pt idx="21">
                  <c:v>10月</c:v>
                </c:pt>
                <c:pt idx="22">
                  <c:v>11月</c:v>
                </c:pt>
                <c:pt idx="23">
                  <c:v>12月</c:v>
                </c:pt>
                <c:pt idx="24">
                  <c:v>1月
2025</c:v>
                </c:pt>
                <c:pt idx="25">
                  <c:v>2月</c:v>
                </c:pt>
                <c:pt idx="26">
                  <c:v>3月</c:v>
                </c:pt>
              </c:strCache>
            </c:strRef>
          </c:cat>
          <c:val>
            <c:numRef>
              <c:f>'CPI月度 (2)'!$F$2:$F$28</c:f>
              <c:numCache>
                <c:formatCode>#,##0.00_ </c:formatCode>
                <c:ptCount val="27"/>
                <c:pt idx="0">
                  <c:v>7.4</c:v>
                </c:pt>
                <c:pt idx="1">
                  <c:v>7.8</c:v>
                </c:pt>
                <c:pt idx="2">
                  <c:v>8</c:v>
                </c:pt>
                <c:pt idx="3">
                  <c:v>7.9</c:v>
                </c:pt>
                <c:pt idx="4">
                  <c:v>7.7</c:v>
                </c:pt>
                <c:pt idx="5">
                  <c:v>7.4</c:v>
                </c:pt>
                <c:pt idx="6">
                  <c:v>6.7</c:v>
                </c:pt>
                <c:pt idx="7">
                  <c:v>6.1</c:v>
                </c:pt>
                <c:pt idx="8">
                  <c:v>5.9</c:v>
                </c:pt>
                <c:pt idx="9">
                  <c:v>5.3</c:v>
                </c:pt>
                <c:pt idx="10">
                  <c:v>4.7</c:v>
                </c:pt>
                <c:pt idx="11">
                  <c:v>4.4000000000000004</c:v>
                </c:pt>
                <c:pt idx="12">
                  <c:v>3.8</c:v>
                </c:pt>
                <c:pt idx="13">
                  <c:v>3.6</c:v>
                </c:pt>
                <c:pt idx="14">
                  <c:v>3.4</c:v>
                </c:pt>
                <c:pt idx="15">
                  <c:v>3.2</c:v>
                </c:pt>
                <c:pt idx="16">
                  <c:v>3.1</c:v>
                </c:pt>
                <c:pt idx="17">
                  <c:v>3.1</c:v>
                </c:pt>
                <c:pt idx="18">
                  <c:v>2.9</c:v>
                </c:pt>
                <c:pt idx="19">
                  <c:v>2.6</c:v>
                </c:pt>
                <c:pt idx="20">
                  <c:v>2.4</c:v>
                </c:pt>
                <c:pt idx="21">
                  <c:v>2.4</c:v>
                </c:pt>
                <c:pt idx="22">
                  <c:v>2.5</c:v>
                </c:pt>
                <c:pt idx="23">
                  <c:v>2.8</c:v>
                </c:pt>
                <c:pt idx="24">
                  <c:v>2.6</c:v>
                </c:pt>
                <c:pt idx="25">
                  <c:v>2.4</c:v>
                </c:pt>
                <c:pt idx="26">
                  <c:v>2.2000000000000002</c:v>
                </c:pt>
              </c:numCache>
            </c:numRef>
          </c:val>
          <c:smooth val="0"/>
          <c:extLst xmlns:c16r2="http://schemas.microsoft.com/office/drawing/2015/06/chart">
            <c:ext xmlns:c16="http://schemas.microsoft.com/office/drawing/2014/chart" uri="{C3380CC4-5D6E-409C-BE32-E72D297353CC}">
              <c16:uniqueId val="{00000004-F561-4DB7-BC16-DEF27A084550}"/>
            </c:ext>
          </c:extLst>
        </c:ser>
        <c:ser>
          <c:idx val="0"/>
          <c:order val="5"/>
          <c:tx>
            <c:strRef>
              <c:f>'CPI月度 (2)'!$G$1</c:f>
              <c:strCache>
                <c:ptCount val="1"/>
                <c:pt idx="0">
                  <c:v>越南</c:v>
                </c:pt>
              </c:strCache>
            </c:strRef>
          </c:tx>
          <c:spPr>
            <a:ln w="22225" cap="rnd">
              <a:solidFill>
                <a:srgbClr val="DFA6A5"/>
              </a:solidFill>
              <a:prstDash val="dash"/>
              <a:round/>
            </a:ln>
            <a:effectLst/>
          </c:spPr>
          <c:marker>
            <c:symbol val="none"/>
          </c:marker>
          <c:cat>
            <c:strRef>
              <c:f>'CPI月度 (2)'!$A$2:$A$28</c:f>
              <c:strCache>
                <c:ptCount val="27"/>
                <c:pt idx="0">
                  <c:v>1月
2023</c:v>
                </c:pt>
                <c:pt idx="1">
                  <c:v>2月</c:v>
                </c:pt>
                <c:pt idx="2">
                  <c:v>3月</c:v>
                </c:pt>
                <c:pt idx="3">
                  <c:v>4月</c:v>
                </c:pt>
                <c:pt idx="4">
                  <c:v>5月</c:v>
                </c:pt>
                <c:pt idx="5">
                  <c:v>6月</c:v>
                </c:pt>
                <c:pt idx="6">
                  <c:v>7月</c:v>
                </c:pt>
                <c:pt idx="7">
                  <c:v>8月</c:v>
                </c:pt>
                <c:pt idx="8">
                  <c:v>9月</c:v>
                </c:pt>
                <c:pt idx="9">
                  <c:v>10月</c:v>
                </c:pt>
                <c:pt idx="10">
                  <c:v>11月</c:v>
                </c:pt>
                <c:pt idx="11">
                  <c:v>12月</c:v>
                </c:pt>
                <c:pt idx="12">
                  <c:v>1月
2024</c:v>
                </c:pt>
                <c:pt idx="13">
                  <c:v>2月</c:v>
                </c:pt>
                <c:pt idx="14">
                  <c:v>3月</c:v>
                </c:pt>
                <c:pt idx="15">
                  <c:v>4月</c:v>
                </c:pt>
                <c:pt idx="16">
                  <c:v>5月</c:v>
                </c:pt>
                <c:pt idx="17">
                  <c:v>6月</c:v>
                </c:pt>
                <c:pt idx="18">
                  <c:v>7月</c:v>
                </c:pt>
                <c:pt idx="19">
                  <c:v>8月</c:v>
                </c:pt>
                <c:pt idx="20">
                  <c:v>9月</c:v>
                </c:pt>
                <c:pt idx="21">
                  <c:v>10月</c:v>
                </c:pt>
                <c:pt idx="22">
                  <c:v>11月</c:v>
                </c:pt>
                <c:pt idx="23">
                  <c:v>12月</c:v>
                </c:pt>
                <c:pt idx="24">
                  <c:v>1月
2025</c:v>
                </c:pt>
                <c:pt idx="25">
                  <c:v>2月</c:v>
                </c:pt>
                <c:pt idx="26">
                  <c:v>3月</c:v>
                </c:pt>
              </c:strCache>
            </c:strRef>
          </c:cat>
          <c:val>
            <c:numRef>
              <c:f>'CPI月度 (2)'!$G$2:$G$28</c:f>
              <c:numCache>
                <c:formatCode>#,##0.00_ </c:formatCode>
                <c:ptCount val="27"/>
                <c:pt idx="0">
                  <c:v>4.8866360000000002</c:v>
                </c:pt>
                <c:pt idx="1">
                  <c:v>4.3118499999999997</c:v>
                </c:pt>
                <c:pt idx="2">
                  <c:v>3.3509950000000002</c:v>
                </c:pt>
                <c:pt idx="3">
                  <c:v>2.8074409999999999</c:v>
                </c:pt>
                <c:pt idx="4">
                  <c:v>2.4280759999999999</c:v>
                </c:pt>
                <c:pt idx="5">
                  <c:v>2.0028410000000001</c:v>
                </c:pt>
                <c:pt idx="6">
                  <c:v>2.063294</c:v>
                </c:pt>
                <c:pt idx="7">
                  <c:v>2.9574259999999999</c:v>
                </c:pt>
                <c:pt idx="8">
                  <c:v>3.656606</c:v>
                </c:pt>
                <c:pt idx="9">
                  <c:v>3.5913970000000002</c:v>
                </c:pt>
                <c:pt idx="10">
                  <c:v>3.4482699999999999</c:v>
                </c:pt>
                <c:pt idx="11">
                  <c:v>3.5810110000000002</c:v>
                </c:pt>
                <c:pt idx="12">
                  <c:v>3.3712019999999998</c:v>
                </c:pt>
                <c:pt idx="13">
                  <c:v>3.9764089999999999</c:v>
                </c:pt>
                <c:pt idx="14">
                  <c:v>3.969427</c:v>
                </c:pt>
                <c:pt idx="15">
                  <c:v>4.403009</c:v>
                </c:pt>
                <c:pt idx="16">
                  <c:v>4.44414</c:v>
                </c:pt>
                <c:pt idx="17">
                  <c:v>4.3377869999999996</c:v>
                </c:pt>
                <c:pt idx="18">
                  <c:v>4.3590799999999996</c:v>
                </c:pt>
                <c:pt idx="19">
                  <c:v>3.45</c:v>
                </c:pt>
                <c:pt idx="20">
                  <c:v>2.633365</c:v>
                </c:pt>
                <c:pt idx="21">
                  <c:v>2.8907630000000002</c:v>
                </c:pt>
                <c:pt idx="22">
                  <c:v>2.7665739999999999</c:v>
                </c:pt>
                <c:pt idx="23">
                  <c:v>2.9416899999999999</c:v>
                </c:pt>
                <c:pt idx="24">
                  <c:v>3.629569</c:v>
                </c:pt>
                <c:pt idx="25">
                  <c:v>2.9131480000000001</c:v>
                </c:pt>
                <c:pt idx="26">
                  <c:v>3.1261589999999999</c:v>
                </c:pt>
              </c:numCache>
            </c:numRef>
          </c:val>
          <c:smooth val="0"/>
          <c:extLst xmlns:c16r2="http://schemas.microsoft.com/office/drawing/2015/06/chart">
            <c:ext xmlns:c16="http://schemas.microsoft.com/office/drawing/2014/chart" uri="{C3380CC4-5D6E-409C-BE32-E72D297353CC}">
              <c16:uniqueId val="{00000005-F561-4DB7-BC16-DEF27A084550}"/>
            </c:ext>
          </c:extLst>
        </c:ser>
        <c:ser>
          <c:idx val="1"/>
          <c:order val="6"/>
          <c:tx>
            <c:strRef>
              <c:f>'CPI月度 (2)'!$H$1</c:f>
              <c:strCache>
                <c:ptCount val="1"/>
                <c:pt idx="0">
                  <c:v>韩国</c:v>
                </c:pt>
              </c:strCache>
            </c:strRef>
          </c:tx>
          <c:spPr>
            <a:ln w="19050" cap="rnd">
              <a:solidFill>
                <a:srgbClr val="DFA6A5"/>
              </a:solidFill>
              <a:prstDash val="lgDashDotDot"/>
              <a:round/>
            </a:ln>
            <a:effectLst/>
          </c:spPr>
          <c:marker>
            <c:symbol val="none"/>
          </c:marker>
          <c:cat>
            <c:strRef>
              <c:f>'CPI月度 (2)'!$A$2:$A$28</c:f>
              <c:strCache>
                <c:ptCount val="27"/>
                <c:pt idx="0">
                  <c:v>1月
2023</c:v>
                </c:pt>
                <c:pt idx="1">
                  <c:v>2月</c:v>
                </c:pt>
                <c:pt idx="2">
                  <c:v>3月</c:v>
                </c:pt>
                <c:pt idx="3">
                  <c:v>4月</c:v>
                </c:pt>
                <c:pt idx="4">
                  <c:v>5月</c:v>
                </c:pt>
                <c:pt idx="5">
                  <c:v>6月</c:v>
                </c:pt>
                <c:pt idx="6">
                  <c:v>7月</c:v>
                </c:pt>
                <c:pt idx="7">
                  <c:v>8月</c:v>
                </c:pt>
                <c:pt idx="8">
                  <c:v>9月</c:v>
                </c:pt>
                <c:pt idx="9">
                  <c:v>10月</c:v>
                </c:pt>
                <c:pt idx="10">
                  <c:v>11月</c:v>
                </c:pt>
                <c:pt idx="11">
                  <c:v>12月</c:v>
                </c:pt>
                <c:pt idx="12">
                  <c:v>1月
2024</c:v>
                </c:pt>
                <c:pt idx="13">
                  <c:v>2月</c:v>
                </c:pt>
                <c:pt idx="14">
                  <c:v>3月</c:v>
                </c:pt>
                <c:pt idx="15">
                  <c:v>4月</c:v>
                </c:pt>
                <c:pt idx="16">
                  <c:v>5月</c:v>
                </c:pt>
                <c:pt idx="17">
                  <c:v>6月</c:v>
                </c:pt>
                <c:pt idx="18">
                  <c:v>7月</c:v>
                </c:pt>
                <c:pt idx="19">
                  <c:v>8月</c:v>
                </c:pt>
                <c:pt idx="20">
                  <c:v>9月</c:v>
                </c:pt>
                <c:pt idx="21">
                  <c:v>10月</c:v>
                </c:pt>
                <c:pt idx="22">
                  <c:v>11月</c:v>
                </c:pt>
                <c:pt idx="23">
                  <c:v>12月</c:v>
                </c:pt>
                <c:pt idx="24">
                  <c:v>1月
2025</c:v>
                </c:pt>
                <c:pt idx="25">
                  <c:v>2月</c:v>
                </c:pt>
                <c:pt idx="26">
                  <c:v>3月</c:v>
                </c:pt>
              </c:strCache>
            </c:strRef>
          </c:cat>
          <c:val>
            <c:numRef>
              <c:f>'CPI月度 (2)'!$H$2:$H$28</c:f>
              <c:numCache>
                <c:formatCode>#,##0.00_ </c:formatCode>
                <c:ptCount val="27"/>
                <c:pt idx="0">
                  <c:v>4.83</c:v>
                </c:pt>
                <c:pt idx="1">
                  <c:v>4.67</c:v>
                </c:pt>
                <c:pt idx="2">
                  <c:v>4.7</c:v>
                </c:pt>
                <c:pt idx="3">
                  <c:v>4.51</c:v>
                </c:pt>
                <c:pt idx="4">
                  <c:v>4.2699999999999996</c:v>
                </c:pt>
                <c:pt idx="5">
                  <c:v>4</c:v>
                </c:pt>
                <c:pt idx="6">
                  <c:v>3.77</c:v>
                </c:pt>
                <c:pt idx="7">
                  <c:v>3.73</c:v>
                </c:pt>
                <c:pt idx="8">
                  <c:v>3.7</c:v>
                </c:pt>
                <c:pt idx="9">
                  <c:v>3.55</c:v>
                </c:pt>
                <c:pt idx="10">
                  <c:v>3.22</c:v>
                </c:pt>
                <c:pt idx="11">
                  <c:v>3.05</c:v>
                </c:pt>
                <c:pt idx="12">
                  <c:v>2.63</c:v>
                </c:pt>
                <c:pt idx="13">
                  <c:v>2.57</c:v>
                </c:pt>
                <c:pt idx="14">
                  <c:v>2.44</c:v>
                </c:pt>
                <c:pt idx="15">
                  <c:v>2.2599999999999998</c:v>
                </c:pt>
                <c:pt idx="16">
                  <c:v>2.04</c:v>
                </c:pt>
                <c:pt idx="17">
                  <c:v>1.96</c:v>
                </c:pt>
                <c:pt idx="18">
                  <c:v>2.09</c:v>
                </c:pt>
                <c:pt idx="19">
                  <c:v>1.94</c:v>
                </c:pt>
                <c:pt idx="20">
                  <c:v>1.84</c:v>
                </c:pt>
                <c:pt idx="21">
                  <c:v>1.69</c:v>
                </c:pt>
                <c:pt idx="22">
                  <c:v>1.78</c:v>
                </c:pt>
                <c:pt idx="23">
                  <c:v>1.85</c:v>
                </c:pt>
                <c:pt idx="24">
                  <c:v>2.02</c:v>
                </c:pt>
                <c:pt idx="25">
                  <c:v>1.92</c:v>
                </c:pt>
                <c:pt idx="26">
                  <c:v>2.12</c:v>
                </c:pt>
              </c:numCache>
            </c:numRef>
          </c:val>
          <c:smooth val="0"/>
          <c:extLst xmlns:c16r2="http://schemas.microsoft.com/office/drawing/2015/06/chart">
            <c:ext xmlns:c16="http://schemas.microsoft.com/office/drawing/2014/chart" uri="{C3380CC4-5D6E-409C-BE32-E72D297353CC}">
              <c16:uniqueId val="{00000006-F561-4DB7-BC16-DEF27A084550}"/>
            </c:ext>
          </c:extLst>
        </c:ser>
        <c:dLbls>
          <c:showLegendKey val="0"/>
          <c:showVal val="0"/>
          <c:showCatName val="0"/>
          <c:showSerName val="0"/>
          <c:showPercent val="0"/>
          <c:showBubbleSize val="0"/>
        </c:dLbls>
        <c:marker val="1"/>
        <c:smooth val="0"/>
        <c:axId val="374589696"/>
        <c:axId val="375390208"/>
      </c:lineChart>
      <c:dateAx>
        <c:axId val="374589696"/>
        <c:scaling>
          <c:orientation val="minMax"/>
        </c:scaling>
        <c:delete val="0"/>
        <c:axPos val="b"/>
        <c:numFmt formatCode="m&quot;月&quot;;@" sourceLinked="0"/>
        <c:majorTickMark val="out"/>
        <c:minorTickMark val="none"/>
        <c:tickLblPos val="low"/>
        <c:spPr>
          <a:noFill/>
          <a:ln w="15875" cap="flat" cmpd="sng" algn="ctr">
            <a:solidFill>
              <a:schemeClr val="tx1"/>
            </a:solidFill>
            <a:round/>
          </a:ln>
          <a:effectLst/>
        </c:spPr>
        <c:txPr>
          <a:bodyPr rot="0" spcFirstLastPara="0" vertOverflow="ellipsis" wrap="square" anchor="ctr" anchorCtr="1" forceAA="0"/>
          <a:lstStyle/>
          <a:p>
            <a:pPr>
              <a:defRPr lang="zh-CN" sz="800" b="0" i="0" u="none" strike="noStrike" kern="1200" baseline="0">
                <a:solidFill>
                  <a:sysClr val="windowText" lastClr="000000"/>
                </a:solidFill>
                <a:latin typeface="Cambria" panose="02040503050406030204" pitchFamily="18" charset="0"/>
                <a:ea typeface="楷体" panose="02010609060101010101" pitchFamily="49" charset="-122"/>
                <a:cs typeface="+mn-cs"/>
              </a:defRPr>
            </a:pPr>
            <a:endParaRPr lang="zh-CN"/>
          </a:p>
        </c:txPr>
        <c:crossAx val="375390208"/>
        <c:crosses val="autoZero"/>
        <c:auto val="0"/>
        <c:lblOffset val="100"/>
        <c:baseTimeUnit val="days"/>
      </c:dateAx>
      <c:valAx>
        <c:axId val="375390208"/>
        <c:scaling>
          <c:orientation val="minMax"/>
        </c:scaling>
        <c:delete val="0"/>
        <c:axPos val="l"/>
        <c:majorGridlines>
          <c:spPr>
            <a:ln w="9525" cap="flat" cmpd="sng" algn="ctr">
              <a:noFill/>
              <a:round/>
            </a:ln>
            <a:effectLst/>
          </c:spPr>
        </c:majorGridlines>
        <c:numFmt formatCode="#,##0_ " sourceLinked="0"/>
        <c:majorTickMark val="out"/>
        <c:minorTickMark val="none"/>
        <c:tickLblPos val="nextTo"/>
        <c:spPr>
          <a:noFill/>
          <a:ln w="15875">
            <a:solidFill>
              <a:schemeClr val="tx1"/>
            </a:solidFill>
          </a:ln>
          <a:effectLst/>
        </c:spPr>
        <c:txPr>
          <a:bodyPr rot="-60000000" spcFirstLastPara="1" vertOverflow="ellipsis" vert="horz" wrap="square" anchor="ctr" anchorCtr="1"/>
          <a:lstStyle/>
          <a:p>
            <a:pPr>
              <a:defRPr lang="zh-CN" sz="800" b="0" i="0" u="none" strike="noStrike" kern="1200" baseline="0">
                <a:solidFill>
                  <a:sysClr val="windowText" lastClr="000000"/>
                </a:solidFill>
                <a:latin typeface="Cambria" panose="02040503050406030204" pitchFamily="18" charset="0"/>
                <a:ea typeface="+mn-ea"/>
                <a:cs typeface="+mn-cs"/>
              </a:defRPr>
            </a:pPr>
            <a:endParaRPr lang="zh-CN"/>
          </a:p>
        </c:txPr>
        <c:crossAx val="374589696"/>
        <c:crosses val="autoZero"/>
        <c:crossBetween val="between"/>
      </c:valAx>
      <c:spPr>
        <a:solidFill>
          <a:srgbClr val="FFFFFF"/>
        </a:solidFill>
        <a:ln>
          <a:noFill/>
        </a:ln>
        <a:effectLst/>
      </c:spPr>
    </c:plotArea>
    <c:legend>
      <c:legendPos val="b"/>
      <c:layout>
        <c:manualLayout>
          <c:xMode val="edge"/>
          <c:yMode val="edge"/>
          <c:x val="0.10805385498511547"/>
          <c:y val="6.5618493726652335E-2"/>
          <c:w val="0.86566180555555605"/>
          <c:h val="0.12371891244168"/>
        </c:manualLayout>
      </c:layout>
      <c:overlay val="0"/>
      <c:spPr>
        <a:noFill/>
        <a:ln>
          <a:noFill/>
        </a:ln>
        <a:effectLst/>
      </c:spPr>
      <c:txPr>
        <a:bodyPr rot="0" spcFirstLastPara="1" vertOverflow="ellipsis" vert="horz" wrap="square" anchor="ctr" anchorCtr="1"/>
        <a:lstStyle/>
        <a:p>
          <a:pPr>
            <a:defRPr lang="zh-CN" sz="800" b="0" i="0" u="none" strike="noStrike" kern="1200" baseline="0">
              <a:solidFill>
                <a:schemeClr val="tx1">
                  <a:lumMod val="65000"/>
                  <a:lumOff val="35000"/>
                </a:schemeClr>
              </a:solidFill>
              <a:latin typeface="楷体" panose="02010609060101010101" pitchFamily="49" charset="-122"/>
              <a:ea typeface="楷体" panose="02010609060101010101" pitchFamily="49" charset="-122"/>
              <a:cs typeface="+mn-cs"/>
            </a:defRPr>
          </a:pPr>
          <a:endParaRPr lang="zh-CN"/>
        </a:p>
      </c:txPr>
    </c:legend>
    <c:plotVisOnly val="1"/>
    <c:dispBlanksAs val="gap"/>
    <c:showDLblsOverMax val="0"/>
  </c:chart>
  <c:spPr>
    <a:solidFill>
      <a:srgbClr val="FFFFFF"/>
    </a:solidFill>
    <a:ln w="9525" cap="flat" cmpd="sng" algn="ctr">
      <a:noFill/>
      <a:round/>
    </a:ln>
    <a:effectLst/>
  </c:spPr>
  <c:txPr>
    <a:bodyPr/>
    <a:lstStyle/>
    <a:p>
      <a:pPr>
        <a:defRPr lang="zh-CN"/>
      </a:pPr>
      <a:endParaRPr lang="zh-CN"/>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cdr:x>
      <cdr:y>0.90569</cdr:y>
    </cdr:from>
    <cdr:to>
      <cdr:x>1</cdr:x>
      <cdr:y>1</cdr:y>
    </cdr:to>
    <cdr:sp macro="" textlink="">
      <cdr:nvSpPr>
        <cdr:cNvPr id="5" name="TextBox 4"/>
        <cdr:cNvSpPr txBox="1"/>
      </cdr:nvSpPr>
      <cdr:spPr>
        <a:xfrm xmlns:a="http://schemas.openxmlformats.org/drawingml/2006/main">
          <a:off x="0" y="2119313"/>
          <a:ext cx="4320000" cy="22068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zh-CN" altLang="en-US" sz="800">
              <a:latin typeface="Times New Roman" panose="02020603050405020304" pitchFamily="18" charset="0"/>
              <a:ea typeface="楷体" panose="02010609060101010101" pitchFamily="49" charset="-122"/>
              <a:cs typeface="Times New Roman" panose="02020603050405020304" pitchFamily="18" charset="0"/>
            </a:rPr>
            <a:t>数据来源：</a:t>
          </a:r>
          <a:r>
            <a:rPr lang="en-US" altLang="zh-CN" sz="800">
              <a:effectLst/>
              <a:latin typeface="Times New Roman" panose="02020603050405020304" pitchFamily="18" charset="0"/>
              <a:ea typeface="楷体" panose="02010609060101010101" pitchFamily="49" charset="-122"/>
              <a:cs typeface="Times New Roman" panose="02020603050405020304" pitchFamily="18" charset="0"/>
            </a:rPr>
            <a:t>Wind</a:t>
          </a:r>
          <a:r>
            <a:rPr lang="zh-CN" altLang="en-US" sz="800">
              <a:effectLst/>
              <a:latin typeface="Times New Roman" panose="02020603050405020304" pitchFamily="18" charset="0"/>
              <a:ea typeface="楷体" panose="02010609060101010101" pitchFamily="49" charset="-122"/>
              <a:cs typeface="Times New Roman" panose="02020603050405020304" pitchFamily="18" charset="0"/>
            </a:rPr>
            <a:t>，日本厚生劳动省，世界经济预测与政策模拟实验室。</a:t>
          </a:r>
          <a:endParaRPr lang="zh-CN" altLang="en-US" sz="1100"/>
        </a:p>
      </cdr:txBody>
    </cdr:sp>
  </cdr:relSizeAnchor>
</c:userShapes>
</file>

<file path=word/drawings/drawing10.xml><?xml version="1.0" encoding="utf-8"?>
<c:userShapes xmlns:c="http://schemas.openxmlformats.org/drawingml/2006/chart">
  <cdr:relSizeAnchor xmlns:cdr="http://schemas.openxmlformats.org/drawingml/2006/chartDrawing">
    <cdr:from>
      <cdr:x>0</cdr:x>
      <cdr:y>0.91923</cdr:y>
    </cdr:from>
    <cdr:to>
      <cdr:x>0.68571</cdr:x>
      <cdr:y>0.9988</cdr:y>
    </cdr:to>
    <cdr:sp macro="" textlink="">
      <cdr:nvSpPr>
        <cdr:cNvPr id="2" name="矩形 1"/>
        <cdr:cNvSpPr/>
      </cdr:nvSpPr>
      <cdr:spPr>
        <a:xfrm xmlns:a="http://schemas.openxmlformats.org/drawingml/2006/main">
          <a:off x="0" y="2143125"/>
          <a:ext cx="2962275" cy="19687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indent="0" defTabSz="914400" eaLnBrk="1" fontAlgn="auto" latinLnBrk="0" hangingPunct="1">
            <a:lnSpc>
              <a:spcPct val="100000"/>
            </a:lnSpc>
            <a:spcBef>
              <a:spcPts val="0"/>
            </a:spcBef>
            <a:spcAft>
              <a:spcPts val="0"/>
            </a:spcAft>
            <a:buClrTx/>
            <a:buSzTx/>
            <a:buFontTx/>
            <a:buNone/>
            <a:defRPr/>
          </a:pPr>
          <a:r>
            <a:rPr lang="zh-CN" altLang="zh-CN" sz="900">
              <a:effectLst/>
              <a:latin typeface="+mj-lt"/>
              <a:ea typeface="楷体" panose="02010609060101010101" pitchFamily="49" charset="-122"/>
              <a:cs typeface="+mn-cs"/>
            </a:rPr>
            <a:t>数据来源：</a:t>
          </a:r>
          <a:r>
            <a:rPr lang="en-US" altLang="zh-CN" sz="900">
              <a:effectLst/>
              <a:latin typeface="+mj-lt"/>
              <a:ea typeface="楷体" panose="02010609060101010101" pitchFamily="49" charset="-122"/>
              <a:cs typeface="+mn-cs"/>
            </a:rPr>
            <a:t>Wind</a:t>
          </a:r>
          <a:r>
            <a:rPr lang="zh-CN" altLang="zh-CN" sz="900">
              <a:effectLst/>
              <a:latin typeface="+mj-lt"/>
              <a:ea typeface="楷体" panose="02010609060101010101" pitchFamily="49" charset="-122"/>
              <a:cs typeface="+mn-cs"/>
            </a:rPr>
            <a:t>，世界经济预测与政策模拟实验室</a:t>
          </a:r>
          <a:endParaRPr lang="zh-CN" altLang="zh-CN" sz="900">
            <a:effectLst/>
            <a:latin typeface="+mj-lt"/>
            <a:ea typeface="楷体" panose="02010609060101010101" pitchFamily="49" charset="-122"/>
          </a:endParaRPr>
        </a:p>
        <a:p xmlns:a="http://schemas.openxmlformats.org/drawingml/2006/main">
          <a:endParaRPr lang="zh-CN" altLang="en-US" sz="900">
            <a:latin typeface="+mj-lt"/>
            <a:ea typeface="楷体" panose="02010609060101010101" pitchFamily="49" charset="-122"/>
          </a:endParaRPr>
        </a:p>
      </cdr:txBody>
    </cdr:sp>
  </cdr:relSizeAnchor>
  <cdr:relSizeAnchor xmlns:cdr="http://schemas.openxmlformats.org/drawingml/2006/chartDrawing">
    <cdr:from>
      <cdr:x>0</cdr:x>
      <cdr:y>0.91923</cdr:y>
    </cdr:from>
    <cdr:to>
      <cdr:x>0.68571</cdr:x>
      <cdr:y>0.9988</cdr:y>
    </cdr:to>
    <cdr:sp macro="" textlink="">
      <cdr:nvSpPr>
        <cdr:cNvPr id="3" name="矩形 2"/>
        <cdr:cNvSpPr/>
      </cdr:nvSpPr>
      <cdr:spPr>
        <a:xfrm xmlns:a="http://schemas.openxmlformats.org/drawingml/2006/main">
          <a:off x="0" y="2143125"/>
          <a:ext cx="2962275" cy="19687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indent="0" defTabSz="914400" eaLnBrk="1" fontAlgn="auto" latinLnBrk="0" hangingPunct="1">
            <a:lnSpc>
              <a:spcPct val="100000"/>
            </a:lnSpc>
            <a:spcBef>
              <a:spcPts val="0"/>
            </a:spcBef>
            <a:spcAft>
              <a:spcPts val="0"/>
            </a:spcAft>
            <a:buClrTx/>
            <a:buSzTx/>
            <a:buFontTx/>
            <a:buNone/>
            <a:defRPr/>
          </a:pPr>
          <a:r>
            <a:rPr lang="zh-CN" altLang="zh-CN" sz="900">
              <a:effectLst/>
              <a:latin typeface="+mj-lt"/>
              <a:ea typeface="楷体" panose="02010609060101010101" pitchFamily="49" charset="-122"/>
              <a:cs typeface="+mn-cs"/>
            </a:rPr>
            <a:t>数据来源：</a:t>
          </a:r>
          <a:r>
            <a:rPr lang="en-US" altLang="zh-CN" sz="900">
              <a:effectLst/>
              <a:latin typeface="+mj-lt"/>
              <a:ea typeface="楷体" panose="02010609060101010101" pitchFamily="49" charset="-122"/>
              <a:cs typeface="+mn-cs"/>
            </a:rPr>
            <a:t>Wind</a:t>
          </a:r>
          <a:r>
            <a:rPr lang="zh-CN" altLang="zh-CN" sz="900">
              <a:effectLst/>
              <a:latin typeface="+mj-lt"/>
              <a:ea typeface="楷体" panose="02010609060101010101" pitchFamily="49" charset="-122"/>
              <a:cs typeface="+mn-cs"/>
            </a:rPr>
            <a:t>，世界经济预测与政策模拟实验室</a:t>
          </a:r>
          <a:r>
            <a:rPr lang="zh-CN" altLang="en-US" sz="900">
              <a:effectLst/>
              <a:latin typeface="+mj-lt"/>
              <a:ea typeface="楷体" panose="02010609060101010101" pitchFamily="49" charset="-122"/>
              <a:cs typeface="+mn-cs"/>
            </a:rPr>
            <a:t>。</a:t>
          </a:r>
          <a:endParaRPr lang="zh-CN" altLang="zh-CN" sz="900">
            <a:effectLst/>
            <a:latin typeface="+mj-lt"/>
            <a:ea typeface="楷体" panose="02010609060101010101" pitchFamily="49" charset="-122"/>
          </a:endParaRPr>
        </a:p>
        <a:p xmlns:a="http://schemas.openxmlformats.org/drawingml/2006/main">
          <a:endParaRPr lang="zh-CN" altLang="en-US" sz="900">
            <a:latin typeface="+mj-lt"/>
            <a:ea typeface="楷体" panose="02010609060101010101" pitchFamily="49" charset="-122"/>
          </a:endParaRPr>
        </a:p>
      </cdr:txBody>
    </cdr:sp>
  </cdr:relSizeAnchor>
</c:userShapes>
</file>

<file path=word/drawings/drawing11.xml><?xml version="1.0" encoding="utf-8"?>
<c:userShapes xmlns:c="http://schemas.openxmlformats.org/drawingml/2006/chart">
  <cdr:relSizeAnchor xmlns:cdr="http://schemas.openxmlformats.org/drawingml/2006/chartDrawing">
    <cdr:from>
      <cdr:x>0.375</cdr:x>
      <cdr:y>0.87967</cdr:y>
    </cdr:from>
    <cdr:to>
      <cdr:x>1</cdr:x>
      <cdr:y>0.95731</cdr:y>
    </cdr:to>
    <cdr:sp macro="" textlink="">
      <cdr:nvSpPr>
        <cdr:cNvPr id="2" name="矩形 1"/>
        <cdr:cNvSpPr/>
      </cdr:nvSpPr>
      <cdr:spPr>
        <a:xfrm xmlns:a="http://schemas.openxmlformats.org/drawingml/2006/main">
          <a:off x="1628775" y="2019299"/>
          <a:ext cx="2714625" cy="17821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indent="0" defTabSz="914400" eaLnBrk="1" fontAlgn="auto" latinLnBrk="0" hangingPunct="1">
            <a:lnSpc>
              <a:spcPct val="100000"/>
            </a:lnSpc>
            <a:spcBef>
              <a:spcPts val="0"/>
            </a:spcBef>
            <a:spcAft>
              <a:spcPts val="0"/>
            </a:spcAft>
            <a:buClrTx/>
            <a:buSzTx/>
            <a:buFontTx/>
            <a:buNone/>
            <a:defRPr/>
          </a:pPr>
          <a:r>
            <a:rPr lang="zh-CN" altLang="zh-CN" sz="900">
              <a:effectLst/>
              <a:latin typeface="+mj-lt"/>
              <a:ea typeface="楷体" panose="02010609060101010101" pitchFamily="49" charset="-122"/>
              <a:cs typeface="+mn-cs"/>
            </a:rPr>
            <a:t>数据来源：</a:t>
          </a:r>
          <a:r>
            <a:rPr lang="en-US" altLang="zh-CN" sz="900">
              <a:effectLst/>
              <a:latin typeface="+mj-lt"/>
              <a:ea typeface="楷体" panose="02010609060101010101" pitchFamily="49" charset="-122"/>
              <a:cs typeface="+mn-cs"/>
            </a:rPr>
            <a:t>Wind</a:t>
          </a:r>
          <a:r>
            <a:rPr lang="zh-CN" altLang="zh-CN" sz="900">
              <a:effectLst/>
              <a:latin typeface="+mj-lt"/>
              <a:ea typeface="楷体" panose="02010609060101010101" pitchFamily="49" charset="-122"/>
              <a:cs typeface="+mn-cs"/>
            </a:rPr>
            <a:t>，世界经济预测与政策模拟实验室</a:t>
          </a:r>
          <a:endParaRPr lang="zh-CN" altLang="zh-CN" sz="900">
            <a:effectLst/>
            <a:latin typeface="+mj-lt"/>
            <a:ea typeface="楷体" panose="02010609060101010101" pitchFamily="49" charset="-122"/>
          </a:endParaRPr>
        </a:p>
        <a:p xmlns:a="http://schemas.openxmlformats.org/drawingml/2006/main">
          <a:endParaRPr lang="zh-CN" altLang="en-US" sz="900">
            <a:latin typeface="+mj-lt"/>
            <a:ea typeface="楷体" panose="02010609060101010101" pitchFamily="49" charset="-122"/>
          </a:endParaRPr>
        </a:p>
      </cdr:txBody>
    </cdr:sp>
  </cdr:relSizeAnchor>
</c:userShapes>
</file>

<file path=word/drawings/drawing12.xml><?xml version="1.0" encoding="utf-8"?>
<c:userShapes xmlns:c="http://schemas.openxmlformats.org/drawingml/2006/chart">
  <cdr:relSizeAnchor xmlns:cdr="http://schemas.openxmlformats.org/drawingml/2006/chartDrawing">
    <cdr:from>
      <cdr:x>0</cdr:x>
      <cdr:y>0.91923</cdr:y>
    </cdr:from>
    <cdr:to>
      <cdr:x>0.68571</cdr:x>
      <cdr:y>0.9988</cdr:y>
    </cdr:to>
    <cdr:sp macro="" textlink="">
      <cdr:nvSpPr>
        <cdr:cNvPr id="2" name="矩形 1"/>
        <cdr:cNvSpPr/>
      </cdr:nvSpPr>
      <cdr:spPr>
        <a:xfrm xmlns:a="http://schemas.openxmlformats.org/drawingml/2006/main">
          <a:off x="0" y="2143125"/>
          <a:ext cx="2962275" cy="19687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indent="0" defTabSz="914400" eaLnBrk="1" fontAlgn="auto" latinLnBrk="0" hangingPunct="1">
            <a:lnSpc>
              <a:spcPct val="100000"/>
            </a:lnSpc>
            <a:spcBef>
              <a:spcPts val="0"/>
            </a:spcBef>
            <a:spcAft>
              <a:spcPts val="0"/>
            </a:spcAft>
            <a:buClrTx/>
            <a:buSzTx/>
            <a:buFontTx/>
            <a:buNone/>
            <a:defRPr/>
          </a:pPr>
          <a:r>
            <a:rPr lang="zh-CN" altLang="zh-CN" sz="900">
              <a:effectLst/>
              <a:latin typeface="+mj-lt"/>
              <a:ea typeface="楷体" panose="02010609060101010101" pitchFamily="49" charset="-122"/>
              <a:cs typeface="+mn-cs"/>
            </a:rPr>
            <a:t>数据来源：</a:t>
          </a:r>
          <a:r>
            <a:rPr lang="en-US" altLang="zh-CN" sz="900">
              <a:effectLst/>
              <a:latin typeface="+mj-lt"/>
              <a:ea typeface="楷体" panose="02010609060101010101" pitchFamily="49" charset="-122"/>
              <a:cs typeface="+mn-cs"/>
            </a:rPr>
            <a:t>Wind</a:t>
          </a:r>
          <a:r>
            <a:rPr lang="zh-CN" altLang="zh-CN" sz="900">
              <a:effectLst/>
              <a:latin typeface="+mj-lt"/>
              <a:ea typeface="楷体" panose="02010609060101010101" pitchFamily="49" charset="-122"/>
              <a:cs typeface="+mn-cs"/>
            </a:rPr>
            <a:t>，世界经济预测与政策模拟实验室</a:t>
          </a:r>
          <a:endParaRPr lang="zh-CN" altLang="zh-CN" sz="900">
            <a:effectLst/>
            <a:latin typeface="+mj-lt"/>
            <a:ea typeface="楷体" panose="02010609060101010101" pitchFamily="49" charset="-122"/>
          </a:endParaRPr>
        </a:p>
        <a:p xmlns:a="http://schemas.openxmlformats.org/drawingml/2006/main">
          <a:endParaRPr lang="zh-CN" altLang="en-US" sz="900">
            <a:latin typeface="+mj-lt"/>
            <a:ea typeface="楷体" panose="02010609060101010101" pitchFamily="49" charset="-122"/>
          </a:endParaRPr>
        </a:p>
      </cdr:txBody>
    </cdr:sp>
  </cdr:relSizeAnchor>
  <cdr:relSizeAnchor xmlns:cdr="http://schemas.openxmlformats.org/drawingml/2006/chartDrawing">
    <cdr:from>
      <cdr:x>0</cdr:x>
      <cdr:y>0.91923</cdr:y>
    </cdr:from>
    <cdr:to>
      <cdr:x>0.68571</cdr:x>
      <cdr:y>0.9988</cdr:y>
    </cdr:to>
    <cdr:sp macro="" textlink="">
      <cdr:nvSpPr>
        <cdr:cNvPr id="3" name="矩形 2"/>
        <cdr:cNvSpPr/>
      </cdr:nvSpPr>
      <cdr:spPr>
        <a:xfrm xmlns:a="http://schemas.openxmlformats.org/drawingml/2006/main">
          <a:off x="0" y="2143125"/>
          <a:ext cx="2962275" cy="19687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indent="0" defTabSz="914400" eaLnBrk="1" fontAlgn="auto" latinLnBrk="0" hangingPunct="1">
            <a:lnSpc>
              <a:spcPct val="100000"/>
            </a:lnSpc>
            <a:spcBef>
              <a:spcPts val="0"/>
            </a:spcBef>
            <a:spcAft>
              <a:spcPts val="0"/>
            </a:spcAft>
            <a:buClrTx/>
            <a:buSzTx/>
            <a:buFontTx/>
            <a:buNone/>
            <a:defRPr/>
          </a:pPr>
          <a:r>
            <a:rPr lang="zh-CN" altLang="zh-CN" sz="900">
              <a:effectLst/>
              <a:latin typeface="+mj-lt"/>
              <a:ea typeface="楷体" panose="02010609060101010101" pitchFamily="49" charset="-122"/>
              <a:cs typeface="+mn-cs"/>
            </a:rPr>
            <a:t>数据来源：</a:t>
          </a:r>
          <a:r>
            <a:rPr lang="en-US" altLang="zh-CN" sz="900">
              <a:effectLst/>
              <a:latin typeface="+mj-lt"/>
              <a:ea typeface="楷体" panose="02010609060101010101" pitchFamily="49" charset="-122"/>
              <a:cs typeface="+mn-cs"/>
            </a:rPr>
            <a:t>Wind</a:t>
          </a:r>
          <a:r>
            <a:rPr lang="zh-CN" altLang="zh-CN" sz="900">
              <a:effectLst/>
              <a:latin typeface="+mj-lt"/>
              <a:ea typeface="楷体" panose="02010609060101010101" pitchFamily="49" charset="-122"/>
              <a:cs typeface="+mn-cs"/>
            </a:rPr>
            <a:t>，世界经济预测与政策模拟实验室</a:t>
          </a:r>
          <a:r>
            <a:rPr lang="zh-CN" altLang="en-US" sz="900">
              <a:effectLst/>
              <a:latin typeface="+mj-lt"/>
              <a:ea typeface="楷体" panose="02010609060101010101" pitchFamily="49" charset="-122"/>
              <a:cs typeface="+mn-cs"/>
            </a:rPr>
            <a:t>。</a:t>
          </a:r>
          <a:endParaRPr lang="zh-CN" altLang="zh-CN" sz="900">
            <a:effectLst/>
            <a:latin typeface="+mj-lt"/>
            <a:ea typeface="楷体" panose="02010609060101010101" pitchFamily="49" charset="-122"/>
          </a:endParaRPr>
        </a:p>
        <a:p xmlns:a="http://schemas.openxmlformats.org/drawingml/2006/main">
          <a:endParaRPr lang="zh-CN" altLang="en-US" sz="900">
            <a:latin typeface="+mj-lt"/>
            <a:ea typeface="楷体" panose="02010609060101010101" pitchFamily="49" charset="-122"/>
          </a:endParaRPr>
        </a:p>
      </cdr:txBody>
    </cdr:sp>
  </cdr:relSizeAnchor>
</c:userShapes>
</file>

<file path=word/drawings/drawing13.xml><?xml version="1.0" encoding="utf-8"?>
<c:userShapes xmlns:c="http://schemas.openxmlformats.org/drawingml/2006/chart">
  <cdr:relSizeAnchor xmlns:cdr="http://schemas.openxmlformats.org/drawingml/2006/chartDrawing">
    <cdr:from>
      <cdr:x>0</cdr:x>
      <cdr:y>0.91994</cdr:y>
    </cdr:from>
    <cdr:to>
      <cdr:x>0.99133</cdr:x>
      <cdr:y>1</cdr:y>
    </cdr:to>
    <cdr:sp macro="" textlink="">
      <cdr:nvSpPr>
        <cdr:cNvPr id="2" name="矩形 1"/>
        <cdr:cNvSpPr/>
      </cdr:nvSpPr>
      <cdr:spPr>
        <a:xfrm xmlns:a="http://schemas.openxmlformats.org/drawingml/2006/main">
          <a:off x="0" y="2152650"/>
          <a:ext cx="2747962" cy="1873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indent="0" defTabSz="914400" eaLnBrk="1" fontAlgn="auto" latinLnBrk="0" hangingPunct="1">
            <a:lnSpc>
              <a:spcPct val="100000"/>
            </a:lnSpc>
            <a:spcBef>
              <a:spcPts val="0"/>
            </a:spcBef>
            <a:spcAft>
              <a:spcPts val="0"/>
            </a:spcAft>
            <a:buClrTx/>
            <a:buSzTx/>
            <a:buFontTx/>
            <a:buNone/>
            <a:defRPr/>
          </a:pPr>
          <a:r>
            <a:rPr lang="zh-CN" altLang="zh-CN" sz="800">
              <a:effectLst/>
              <a:latin typeface="Cambria" panose="02040503050406030204" pitchFamily="18" charset="0"/>
              <a:ea typeface="楷体" panose="02010609060101010101" pitchFamily="49" charset="-122"/>
              <a:cs typeface="+mn-cs"/>
            </a:rPr>
            <a:t>数据来源：</a:t>
          </a:r>
          <a:r>
            <a:rPr lang="en-US" altLang="zh-CN" sz="800">
              <a:effectLst/>
              <a:latin typeface="Cambria" panose="02040503050406030204" pitchFamily="18" charset="0"/>
              <a:ea typeface="楷体" panose="02010609060101010101" pitchFamily="49" charset="-122"/>
              <a:cs typeface="+mn-cs"/>
            </a:rPr>
            <a:t>CEIC, Markit,</a:t>
          </a:r>
          <a:r>
            <a:rPr lang="en-US" altLang="zh-CN" sz="800" baseline="0">
              <a:effectLst/>
              <a:latin typeface="Cambria" panose="02040503050406030204" pitchFamily="18" charset="0"/>
              <a:ea typeface="楷体" panose="02010609060101010101" pitchFamily="49" charset="-122"/>
              <a:cs typeface="+mn-cs"/>
            </a:rPr>
            <a:t> </a:t>
          </a:r>
          <a:r>
            <a:rPr lang="zh-CN" altLang="zh-CN" sz="800">
              <a:effectLst/>
              <a:latin typeface="Cambria" panose="02040503050406030204" pitchFamily="18" charset="0"/>
              <a:ea typeface="楷体" panose="02010609060101010101" pitchFamily="49" charset="-122"/>
              <a:cs typeface="+mn-cs"/>
            </a:rPr>
            <a:t>世界经济预测与政策模拟实验室</a:t>
          </a:r>
          <a:r>
            <a:rPr lang="zh-CN" altLang="en-US" sz="800">
              <a:effectLst/>
              <a:latin typeface="Cambria" panose="02040503050406030204" pitchFamily="18" charset="0"/>
              <a:ea typeface="楷体" panose="02010609060101010101" pitchFamily="49" charset="-122"/>
              <a:cs typeface="+mn-cs"/>
            </a:rPr>
            <a:t>。</a:t>
          </a:r>
          <a:endParaRPr lang="zh-CN" altLang="zh-CN" sz="800">
            <a:effectLst/>
            <a:latin typeface="Cambria" panose="02040503050406030204" pitchFamily="18" charset="0"/>
            <a:ea typeface="楷体" panose="02010609060101010101" pitchFamily="49" charset="-122"/>
          </a:endParaRPr>
        </a:p>
        <a:p xmlns:a="http://schemas.openxmlformats.org/drawingml/2006/main">
          <a:endParaRPr lang="zh-CN" altLang="en-US" sz="800">
            <a:latin typeface="Cambria" panose="02040503050406030204" pitchFamily="18" charset="0"/>
            <a:ea typeface="楷体" panose="02010609060101010101" pitchFamily="49" charset="-122"/>
          </a:endParaRPr>
        </a:p>
      </cdr:txBody>
    </cdr:sp>
  </cdr:relSizeAnchor>
</c:userShapes>
</file>

<file path=word/drawings/drawing14.xml><?xml version="1.0" encoding="utf-8"?>
<c:userShapes xmlns:c="http://schemas.openxmlformats.org/drawingml/2006/chart">
  <cdr:relSizeAnchor xmlns:cdr="http://schemas.openxmlformats.org/drawingml/2006/chartDrawing">
    <cdr:from>
      <cdr:x>0.00952</cdr:x>
      <cdr:y>0.89743</cdr:y>
    </cdr:from>
    <cdr:to>
      <cdr:x>0.36453</cdr:x>
      <cdr:y>1</cdr:y>
    </cdr:to>
    <cdr:sp macro="" textlink="">
      <cdr:nvSpPr>
        <cdr:cNvPr id="2" name="矩形 1"/>
        <cdr:cNvSpPr/>
      </cdr:nvSpPr>
      <cdr:spPr>
        <a:xfrm xmlns:a="http://schemas.openxmlformats.org/drawingml/2006/main">
          <a:off x="38100" y="2011631"/>
          <a:ext cx="1420218" cy="229919"/>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r>
            <a:rPr lang="zh-CN" altLang="en-US" sz="1000">
              <a:solidFill>
                <a:sysClr val="windowText" lastClr="000000"/>
              </a:solidFill>
              <a:latin typeface="楷体" panose="02010609060101010101" pitchFamily="49" charset="-122"/>
              <a:ea typeface="楷体" panose="02010609060101010101" pitchFamily="49" charset="-122"/>
            </a:rPr>
            <a:t>数据来源：</a:t>
          </a:r>
          <a:r>
            <a:rPr lang="en-US" altLang="zh-CN" sz="1000">
              <a:solidFill>
                <a:sysClr val="windowText" lastClr="000000"/>
              </a:solidFill>
              <a:latin typeface="Cambria Math" panose="02040503050406030204" pitchFamily="18" charset="0"/>
              <a:ea typeface="Cambria Math" panose="02040503050406030204" pitchFamily="18" charset="0"/>
            </a:rPr>
            <a:t>Wind</a:t>
          </a:r>
          <a:r>
            <a:rPr lang="zh-CN" altLang="en-US" sz="1000">
              <a:solidFill>
                <a:sysClr val="windowText" lastClr="000000"/>
              </a:solidFill>
              <a:latin typeface="楷体" panose="02010609060101010101" pitchFamily="49" charset="-122"/>
              <a:ea typeface="楷体" panose="02010609060101010101" pitchFamily="49" charset="-122"/>
            </a:rPr>
            <a:t>。</a:t>
          </a:r>
          <a:endParaRPr lang="zh-CN" sz="1000">
            <a:solidFill>
              <a:sysClr val="windowText" lastClr="000000"/>
            </a:solidFill>
            <a:latin typeface="楷体" panose="02010609060101010101" pitchFamily="49" charset="-122"/>
            <a:ea typeface="楷体" panose="02010609060101010101" pitchFamily="49" charset="-122"/>
          </a:endParaRPr>
        </a:p>
      </cdr:txBody>
    </cdr:sp>
  </cdr:relSizeAnchor>
</c:userShapes>
</file>

<file path=word/drawings/drawing15.xml><?xml version="1.0" encoding="utf-8"?>
<c:userShapes xmlns:c="http://schemas.openxmlformats.org/drawingml/2006/chart">
  <cdr:relSizeAnchor xmlns:cdr="http://schemas.openxmlformats.org/drawingml/2006/chartDrawing">
    <cdr:from>
      <cdr:x>0.16642</cdr:x>
      <cdr:y>0.47147</cdr:y>
    </cdr:from>
    <cdr:to>
      <cdr:x>0.06278</cdr:x>
      <cdr:y>0.58132</cdr:y>
    </cdr:to>
    <cdr:sp macro="" textlink="">
      <cdr:nvSpPr>
        <cdr:cNvPr id="2" name="矩形 2"/>
        <cdr:cNvSpPr/>
      </cdr:nvSpPr>
      <cdr:spPr>
        <a:xfrm xmlns:a="http://schemas.openxmlformats.org/drawingml/2006/main">
          <a:off x="495848" y="2104331"/>
          <a:ext cx="1691109" cy="234958"/>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r>
            <a:rPr lang="zh-CN" altLang="en-US" sz="1000">
              <a:solidFill>
                <a:sysClr val="windowText" lastClr="000000"/>
              </a:solidFill>
              <a:latin typeface="楷体" panose="02010609060101010101" pitchFamily="49" charset="-122"/>
              <a:ea typeface="楷体" panose="02010609060101010101" pitchFamily="49" charset="-122"/>
            </a:rPr>
            <a:t>数据来源：</a:t>
          </a:r>
          <a:r>
            <a:rPr lang="en-US" altLang="zh-CN" sz="1000">
              <a:solidFill>
                <a:sysClr val="windowText" lastClr="000000"/>
              </a:solidFill>
              <a:latin typeface="Cambria Math" panose="02040503050406030204" pitchFamily="18" charset="0"/>
              <a:ea typeface="Cambria Math" panose="02040503050406030204" pitchFamily="18" charset="0"/>
            </a:rPr>
            <a:t>Wind</a:t>
          </a:r>
          <a:r>
            <a:rPr lang="zh-CN" altLang="en-US" sz="1000">
              <a:solidFill>
                <a:sysClr val="windowText" lastClr="000000"/>
              </a:solidFill>
              <a:latin typeface="楷体" panose="02010609060101010101" pitchFamily="49" charset="-122"/>
              <a:ea typeface="楷体" panose="02010609060101010101" pitchFamily="49" charset="-122"/>
            </a:rPr>
            <a:t>。</a:t>
          </a:r>
          <a:endParaRPr lang="zh-CN" sz="1000">
            <a:solidFill>
              <a:sysClr val="windowText" lastClr="000000"/>
            </a:solidFill>
            <a:latin typeface="楷体" panose="02010609060101010101" pitchFamily="49" charset="-122"/>
            <a:ea typeface="楷体" panose="02010609060101010101" pitchFamily="49" charset="-122"/>
          </a:endParaRPr>
        </a:p>
      </cdr:txBody>
    </cdr:sp>
  </cdr:relSizeAnchor>
</c:userShapes>
</file>

<file path=word/drawings/drawing16.xml><?xml version="1.0" encoding="utf-8"?>
<c:userShapes xmlns:c="http://schemas.openxmlformats.org/drawingml/2006/chart">
  <cdr:relSizeAnchor xmlns:cdr="http://schemas.openxmlformats.org/drawingml/2006/chartDrawing">
    <cdr:from>
      <cdr:x>0.13559</cdr:x>
      <cdr:y>0.90386</cdr:y>
    </cdr:from>
    <cdr:to>
      <cdr:x>0.92522</cdr:x>
      <cdr:y>0.96464</cdr:y>
    </cdr:to>
    <cdr:sp macro="" textlink="">
      <cdr:nvSpPr>
        <cdr:cNvPr id="2" name="矩形 1"/>
        <cdr:cNvSpPr/>
      </cdr:nvSpPr>
      <cdr:spPr>
        <a:xfrm xmlns:a="http://schemas.openxmlformats.org/drawingml/2006/main">
          <a:off x="611094" y="2366683"/>
          <a:ext cx="3558881" cy="159146"/>
        </a:xfrm>
        <a:prstGeom xmlns:a="http://schemas.openxmlformats.org/drawingml/2006/main" prst="rect">
          <a:avLst/>
        </a:prstGeom>
      </cdr:spPr>
      <cdr:txBody>
        <a:bodyPr xmlns:a="http://schemas.openxmlformats.org/drawingml/2006/main" vert="horz" wrap="square" lIns="45720" tIns="45720" rIns="45720" bIns="45720" rtlCol="0" anchor="t" anchorCtr="0">
          <a:norm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eaLnBrk="1" fontAlgn="auto" latinLnBrk="0" hangingPunct="1"/>
          <a:r>
            <a:rPr lang="zh-CN" altLang="en-US" sz="800">
              <a:latin typeface="Times New Roman" panose="02020603050405020304" charset="0"/>
              <a:ea typeface="楷体" panose="02010609060101010101" pitchFamily="3" charset="-122"/>
              <a:cs typeface="Times New Roman" panose="02020603050405020304" charset="0"/>
            </a:rPr>
            <a:t>数据来源：</a:t>
          </a:r>
          <a:r>
            <a:rPr lang="en-US" altLang="zh-CN" sz="800">
              <a:latin typeface="Times New Roman" panose="02020603050405020304" charset="0"/>
              <a:ea typeface="楷体" panose="02010609060101010101" pitchFamily="3" charset="-122"/>
              <a:cs typeface="Times New Roman" panose="02020603050405020304" charset="0"/>
            </a:rPr>
            <a:t>Wind</a:t>
          </a:r>
          <a:r>
            <a:rPr lang="zh-CN" altLang="en-US" sz="800">
              <a:latin typeface="Times New Roman" panose="02020603050405020304" charset="0"/>
              <a:ea typeface="楷体" panose="02010609060101010101" pitchFamily="3" charset="-122"/>
              <a:cs typeface="Times New Roman" panose="02020603050405020304" charset="0"/>
            </a:rPr>
            <a:t>，</a:t>
          </a:r>
          <a:r>
            <a:rPr lang="zh-CN" altLang="zh-CN" sz="800">
              <a:effectLst/>
              <a:latin typeface="Times New Roman" panose="02020603050405020304" charset="0"/>
              <a:ea typeface="楷体" panose="02010609060101010101" pitchFamily="3" charset="-122"/>
              <a:cs typeface="Times New Roman" panose="02020603050405020304" charset="0"/>
            </a:rPr>
            <a:t>世界经济预测与政策模拟实验室</a:t>
          </a:r>
        </a:p>
      </cdr:txBody>
    </cdr:sp>
  </cdr:relSizeAnchor>
</c:userShapes>
</file>

<file path=word/drawings/drawing17.xml><?xml version="1.0" encoding="utf-8"?>
<c:userShapes xmlns:c="http://schemas.openxmlformats.org/drawingml/2006/chart">
  <cdr:relSizeAnchor xmlns:cdr="http://schemas.openxmlformats.org/drawingml/2006/chartDrawing">
    <cdr:from>
      <cdr:x>0</cdr:x>
      <cdr:y>0.92935</cdr:y>
    </cdr:from>
    <cdr:to>
      <cdr:x>1</cdr:x>
      <cdr:y>1</cdr:y>
    </cdr:to>
    <cdr:sp macro="" textlink="">
      <cdr:nvSpPr>
        <cdr:cNvPr id="2" name="矩形 1"/>
        <cdr:cNvSpPr/>
      </cdr:nvSpPr>
      <cdr:spPr>
        <a:xfrm xmlns:a="http://schemas.openxmlformats.org/drawingml/2006/main">
          <a:off x="0" y="2093450"/>
          <a:ext cx="3481294" cy="159146"/>
        </a:xfrm>
        <a:prstGeom xmlns:a="http://schemas.openxmlformats.org/drawingml/2006/main" prst="rect">
          <a:avLst/>
        </a:prstGeom>
      </cdr:spPr>
      <cdr:txBody>
        <a:bodyPr xmlns:a="http://schemas.openxmlformats.org/drawingml/2006/main" vert="horz" wrap="square" lIns="45720" tIns="45720" rIns="45720" bIns="45720" rtlCol="0" anchor="t" anchorCtr="0">
          <a:norm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eaLnBrk="1" fontAlgn="auto" latinLnBrk="0" hangingPunct="1"/>
          <a:r>
            <a:rPr lang="zh-CN" altLang="en-US" sz="800">
              <a:latin typeface="Times New Roman" panose="02020603050405020304" charset="0"/>
              <a:ea typeface="楷体" panose="02010609060101010101" pitchFamily="3" charset="-122"/>
              <a:cs typeface="Times New Roman" panose="02020603050405020304" charset="0"/>
            </a:rPr>
            <a:t>数据来源：</a:t>
          </a:r>
          <a:r>
            <a:rPr lang="en-US" altLang="zh-CN" sz="800">
              <a:latin typeface="Times New Roman" panose="02020603050405020304" charset="0"/>
              <a:ea typeface="楷体" panose="02010609060101010101" pitchFamily="3" charset="-122"/>
              <a:cs typeface="Times New Roman" panose="02020603050405020304" charset="0"/>
            </a:rPr>
            <a:t>Wind</a:t>
          </a:r>
          <a:r>
            <a:rPr lang="zh-CN" altLang="en-US" sz="800">
              <a:latin typeface="Times New Roman" panose="02020603050405020304" charset="0"/>
              <a:ea typeface="楷体" panose="02010609060101010101" pitchFamily="3" charset="-122"/>
              <a:cs typeface="Times New Roman" panose="02020603050405020304" charset="0"/>
            </a:rPr>
            <a:t>，</a:t>
          </a:r>
          <a:r>
            <a:rPr lang="zh-CN" altLang="zh-CN" sz="800">
              <a:effectLst/>
              <a:latin typeface="Times New Roman" panose="02020603050405020304" charset="0"/>
              <a:ea typeface="楷体" panose="02010609060101010101" pitchFamily="3" charset="-122"/>
              <a:cs typeface="Times New Roman" panose="02020603050405020304" charset="0"/>
            </a:rPr>
            <a:t>世界经济预测与政策模拟实验室</a:t>
          </a:r>
        </a:p>
      </cdr:txBody>
    </cdr:sp>
  </cdr:relSizeAnchor>
</c:userShapes>
</file>

<file path=word/drawings/drawing18.xml><?xml version="1.0" encoding="utf-8"?>
<c:userShapes xmlns:c="http://schemas.openxmlformats.org/drawingml/2006/chart">
  <cdr:relSizeAnchor xmlns:cdr="http://schemas.openxmlformats.org/drawingml/2006/chartDrawing">
    <cdr:from>
      <cdr:x>0</cdr:x>
      <cdr:y>0.92163</cdr:y>
    </cdr:from>
    <cdr:to>
      <cdr:x>0.89958</cdr:x>
      <cdr:y>1</cdr:y>
    </cdr:to>
    <cdr:sp macro="" textlink="">
      <cdr:nvSpPr>
        <cdr:cNvPr id="2" name="矩形 1"/>
        <cdr:cNvSpPr/>
      </cdr:nvSpPr>
      <cdr:spPr>
        <a:xfrm xmlns:a="http://schemas.openxmlformats.org/drawingml/2006/main">
          <a:off x="0" y="1990725"/>
          <a:ext cx="2590800" cy="169275"/>
        </a:xfrm>
        <a:prstGeom xmlns:a="http://schemas.openxmlformats.org/drawingml/2006/main" prst="rect">
          <a:avLst/>
        </a:prstGeom>
      </cdr:spPr>
      <cdr:txBody>
        <a:bodyPr xmlns:a="http://schemas.openxmlformats.org/drawingml/2006/main" vertOverflow="clip" vert="horz" wrap="square" lIns="45720" tIns="45720" rIns="45720" bIns="45720" rtlCol="0" anchor="t" anchorCtr="0">
          <a:normAutofit/>
        </a:bodyPr>
        <a:lstStyle xmlns:a="http://schemas.openxmlformats.org/drawingml/2006/main"/>
        <a:p xmlns:a="http://schemas.openxmlformats.org/drawingml/2006/main">
          <a:r>
            <a:rPr lang="zh-CN" altLang="en-US" sz="800">
              <a:latin typeface="Times New Roman" panose="02020603050405020304" charset="0"/>
              <a:ea typeface="楷体" panose="02010609060101010101" pitchFamily="3" charset="-122"/>
              <a:cs typeface="Times New Roman" panose="02020603050405020304" charset="0"/>
            </a:rPr>
            <a:t>数据来源：</a:t>
          </a:r>
          <a:r>
            <a:rPr lang="en-US" altLang="zh-CN" sz="800">
              <a:latin typeface="Times New Roman" panose="02020603050405020304" charset="0"/>
              <a:ea typeface="楷体" panose="02010609060101010101" pitchFamily="3" charset="-122"/>
              <a:cs typeface="Times New Roman" panose="02020603050405020304" charset="0"/>
            </a:rPr>
            <a:t>Wind</a:t>
          </a:r>
          <a:r>
            <a:rPr lang="zh-CN" altLang="en-US" sz="800">
              <a:latin typeface="Times New Roman" panose="02020603050405020304" charset="0"/>
              <a:ea typeface="楷体" panose="02010609060101010101" pitchFamily="3" charset="-122"/>
              <a:cs typeface="Times New Roman" panose="02020603050405020304" charset="0"/>
            </a:rPr>
            <a:t>，世界经济预测与政策模拟实验室</a:t>
          </a:r>
        </a:p>
      </cdr:txBody>
    </cdr:sp>
  </cdr:relSizeAnchor>
</c:userShapes>
</file>

<file path=word/drawings/drawing19.xml><?xml version="1.0" encoding="utf-8"?>
<c:userShapes xmlns:c="http://schemas.openxmlformats.org/drawingml/2006/chart">
  <cdr:relSizeAnchor xmlns:cdr="http://schemas.openxmlformats.org/drawingml/2006/chartDrawing">
    <cdr:from>
      <cdr:x>0</cdr:x>
      <cdr:y>0.92163</cdr:y>
    </cdr:from>
    <cdr:to>
      <cdr:x>0.95911</cdr:x>
      <cdr:y>0.99219</cdr:y>
    </cdr:to>
    <cdr:sp macro="" textlink="">
      <cdr:nvSpPr>
        <cdr:cNvPr id="2" name="矩形 1"/>
        <cdr:cNvSpPr/>
      </cdr:nvSpPr>
      <cdr:spPr>
        <a:xfrm xmlns:a="http://schemas.openxmlformats.org/drawingml/2006/main">
          <a:off x="0" y="1990725"/>
          <a:ext cx="2762250" cy="152400"/>
        </a:xfrm>
        <a:prstGeom xmlns:a="http://schemas.openxmlformats.org/drawingml/2006/main" prst="rect">
          <a:avLst/>
        </a:prstGeom>
      </cdr:spPr>
      <cdr:txBody>
        <a:bodyPr xmlns:a="http://schemas.openxmlformats.org/drawingml/2006/main" vertOverflow="clip" vert="horz" wrap="square" lIns="45720" tIns="45720" rIns="45720" bIns="45720" rtlCol="0" anchor="t" anchorCtr="0">
          <a:normAutofit/>
        </a:bodyPr>
        <a:lstStyle xmlns:a="http://schemas.openxmlformats.org/drawingml/2006/main"/>
        <a:p xmlns:a="http://schemas.openxmlformats.org/drawingml/2006/main">
          <a:pPr eaLnBrk="1" fontAlgn="auto" latinLnBrk="0" hangingPunct="1"/>
          <a:r>
            <a:rPr lang="zh-CN" altLang="en-US" sz="800">
              <a:latin typeface="Times New Roman" panose="02020603050405020304" charset="0"/>
              <a:ea typeface="楷体" panose="02010609060101010101" pitchFamily="3" charset="-122"/>
              <a:cs typeface="Times New Roman" panose="02020603050405020304" charset="0"/>
            </a:rPr>
            <a:t>数据来源：</a:t>
          </a:r>
          <a:r>
            <a:rPr lang="en-US" altLang="zh-CN" sz="800">
              <a:latin typeface="Times New Roman" panose="02020603050405020304" charset="0"/>
              <a:ea typeface="楷体" panose="02010609060101010101" pitchFamily="3" charset="-122"/>
              <a:cs typeface="Times New Roman" panose="02020603050405020304" charset="0"/>
            </a:rPr>
            <a:t>Wind</a:t>
          </a:r>
          <a:r>
            <a:rPr lang="zh-CN" altLang="en-US" sz="800">
              <a:latin typeface="Times New Roman" panose="02020603050405020304" charset="0"/>
              <a:ea typeface="楷体" panose="02010609060101010101" pitchFamily="3" charset="-122"/>
              <a:cs typeface="Times New Roman" panose="02020603050405020304" charset="0"/>
            </a:rPr>
            <a:t>，</a:t>
          </a:r>
          <a:r>
            <a:rPr lang="zh-CN" altLang="zh-CN" sz="800">
              <a:effectLst/>
              <a:latin typeface="Times New Roman" panose="02020603050405020304" charset="0"/>
              <a:ea typeface="楷体" panose="02010609060101010101" pitchFamily="3" charset="-122"/>
              <a:cs typeface="Times New Roman" panose="02020603050405020304" charset="0"/>
            </a:rPr>
            <a:t>世界经济预测与政策模拟实验室</a:t>
          </a:r>
        </a:p>
      </cdr:txBody>
    </cdr:sp>
  </cdr:relSizeAnchor>
  <cdr:relSizeAnchor xmlns:cdr="http://schemas.openxmlformats.org/drawingml/2006/chartDrawing">
    <cdr:from>
      <cdr:x>0</cdr:x>
      <cdr:y>0.92163</cdr:y>
    </cdr:from>
    <cdr:to>
      <cdr:x>0.95911</cdr:x>
      <cdr:y>0.99219</cdr:y>
    </cdr:to>
    <cdr:sp macro="" textlink="">
      <cdr:nvSpPr>
        <cdr:cNvPr id="3" name="矩形 2"/>
        <cdr:cNvSpPr/>
      </cdr:nvSpPr>
      <cdr:spPr>
        <a:xfrm xmlns:a="http://schemas.openxmlformats.org/drawingml/2006/main">
          <a:off x="0" y="1990725"/>
          <a:ext cx="2762250" cy="152400"/>
        </a:xfrm>
        <a:prstGeom xmlns:a="http://schemas.openxmlformats.org/drawingml/2006/main" prst="rect">
          <a:avLst/>
        </a:prstGeom>
      </cdr:spPr>
      <cdr:txBody>
        <a:bodyPr xmlns:a="http://schemas.openxmlformats.org/drawingml/2006/main" vertOverflow="clip" vert="horz" wrap="square" lIns="45720" tIns="45720" rIns="45720" bIns="45720" rtlCol="0" anchor="t" anchorCtr="0">
          <a:normAutofit/>
        </a:bodyPr>
        <a:lstStyle xmlns:a="http://schemas.openxmlformats.org/drawingml/2006/main"/>
        <a:p xmlns:a="http://schemas.openxmlformats.org/drawingml/2006/main">
          <a:pPr eaLnBrk="1" fontAlgn="auto" latinLnBrk="0" hangingPunct="1"/>
          <a:r>
            <a:rPr lang="zh-CN" altLang="en-US" sz="800">
              <a:latin typeface="Times New Roman" panose="02020603050405020304" charset="0"/>
              <a:ea typeface="楷体" panose="02010609060101010101" pitchFamily="3" charset="-122"/>
              <a:cs typeface="Times New Roman" panose="02020603050405020304" charset="0"/>
            </a:rPr>
            <a:t>数据来源：</a:t>
          </a:r>
          <a:r>
            <a:rPr lang="en-US" altLang="zh-CN" sz="800">
              <a:latin typeface="Times New Roman" panose="02020603050405020304" charset="0"/>
              <a:ea typeface="楷体" panose="02010609060101010101" pitchFamily="3" charset="-122"/>
              <a:cs typeface="Times New Roman" panose="02020603050405020304" charset="0"/>
            </a:rPr>
            <a:t>Wind</a:t>
          </a:r>
          <a:r>
            <a:rPr lang="zh-CN" altLang="en-US" sz="800">
              <a:latin typeface="Times New Roman" panose="02020603050405020304" charset="0"/>
              <a:ea typeface="楷体" panose="02010609060101010101" pitchFamily="3" charset="-122"/>
              <a:cs typeface="Times New Roman" panose="02020603050405020304" charset="0"/>
            </a:rPr>
            <a:t>，</a:t>
          </a:r>
          <a:r>
            <a:rPr lang="zh-CN" altLang="zh-CN" sz="800">
              <a:effectLst/>
              <a:latin typeface="Times New Roman" panose="02020603050405020304" charset="0"/>
              <a:ea typeface="楷体" panose="02010609060101010101" pitchFamily="3" charset="-122"/>
              <a:cs typeface="Times New Roman" panose="02020603050405020304" charset="0"/>
            </a:rPr>
            <a:t>世界经济预测与政策模拟实验室</a:t>
          </a:r>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0.81492</cdr:y>
    </cdr:from>
    <cdr:to>
      <cdr:x>1</cdr:x>
      <cdr:y>1</cdr:y>
    </cdr:to>
    <cdr:sp macro="" textlink="">
      <cdr:nvSpPr>
        <cdr:cNvPr id="5" name="TextBox 4"/>
        <cdr:cNvSpPr txBox="1"/>
      </cdr:nvSpPr>
      <cdr:spPr>
        <a:xfrm xmlns:a="http://schemas.openxmlformats.org/drawingml/2006/main">
          <a:off x="0" y="2200275"/>
          <a:ext cx="4320000" cy="4997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zh-CN" altLang="en-US" sz="800">
              <a:solidFill>
                <a:sysClr val="windowText" lastClr="000000"/>
              </a:solidFill>
              <a:latin typeface="Times New Roman" panose="02020603050405020304" pitchFamily="18" charset="0"/>
              <a:ea typeface="楷体" panose="02010609060101010101" pitchFamily="49" charset="-122"/>
              <a:cs typeface="Times New Roman" panose="02020603050405020304" pitchFamily="18" charset="0"/>
            </a:rPr>
            <a:t>数据来源：</a:t>
          </a:r>
          <a:r>
            <a:rPr lang="zh-CN" altLang="zh-CN" sz="800">
              <a:solidFill>
                <a:sysClr val="windowText" lastClr="000000"/>
              </a:solidFill>
              <a:effectLst/>
              <a:latin typeface="Times New Roman" panose="02020603050405020304" pitchFamily="18" charset="0"/>
              <a:ea typeface="楷体" panose="02010609060101010101" pitchFamily="49" charset="-122"/>
              <a:cs typeface="Times New Roman" panose="02020603050405020304" pitchFamily="18" charset="0"/>
            </a:rPr>
            <a:t>日本内阁府，日本统计局，世界经济预测与政策模拟实验</a:t>
          </a:r>
          <a:r>
            <a:rPr lang="zh-CN" altLang="en-US" sz="800">
              <a:solidFill>
                <a:sysClr val="windowText" lastClr="000000"/>
              </a:solidFill>
              <a:effectLst/>
              <a:latin typeface="Times New Roman" panose="02020603050405020304" pitchFamily="18" charset="0"/>
              <a:ea typeface="楷体" panose="02010609060101010101" pitchFamily="49" charset="-122"/>
              <a:cs typeface="Times New Roman" panose="02020603050405020304" pitchFamily="18" charset="0"/>
            </a:rPr>
            <a:t>室。</a:t>
          </a:r>
          <a:endParaRPr lang="en-US" altLang="zh-CN" sz="800">
            <a:solidFill>
              <a:sysClr val="windowText" lastClr="000000"/>
            </a:solidFill>
            <a:effectLst/>
            <a:latin typeface="Times New Roman" panose="02020603050405020304" pitchFamily="18" charset="0"/>
            <a:ea typeface="楷体" panose="02010609060101010101" pitchFamily="49" charset="-122"/>
            <a:cs typeface="Times New Roman" panose="02020603050405020304" pitchFamily="18" charset="0"/>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zh-CN" altLang="en-US" sz="800">
              <a:solidFill>
                <a:sysClr val="windowText" lastClr="000000"/>
              </a:solidFill>
              <a:effectLst/>
              <a:latin typeface="Times New Roman" panose="02020603050405020304" pitchFamily="18" charset="0"/>
              <a:ea typeface="楷体" panose="02010609060101010101" pitchFamily="49" charset="-122"/>
              <a:cs typeface="Times New Roman" panose="02020603050405020304" pitchFamily="18" charset="0"/>
            </a:rPr>
            <a:t>注：</a:t>
          </a:r>
          <a:r>
            <a:rPr lang="en-US" altLang="zh-CN" sz="800">
              <a:solidFill>
                <a:sysClr val="windowText" lastClr="000000"/>
              </a:solidFill>
              <a:effectLst/>
              <a:latin typeface="Times New Roman" panose="02020603050405020304" pitchFamily="18" charset="0"/>
              <a:ea typeface="楷体" panose="02010609060101010101" pitchFamily="49" charset="-122"/>
              <a:cs typeface="Times New Roman" panose="02020603050405020304" pitchFamily="18" charset="0"/>
            </a:rPr>
            <a:t>2025</a:t>
          </a:r>
          <a:r>
            <a:rPr lang="zh-CN" altLang="en-US" sz="800">
              <a:solidFill>
                <a:sysClr val="windowText" lastClr="000000"/>
              </a:solidFill>
              <a:effectLst/>
              <a:latin typeface="Times New Roman" panose="02020603050405020304" pitchFamily="18" charset="0"/>
              <a:ea typeface="楷体" panose="02010609060101010101" pitchFamily="49" charset="-122"/>
              <a:cs typeface="Times New Roman" panose="02020603050405020304" pitchFamily="18" charset="0"/>
            </a:rPr>
            <a:t>年</a:t>
          </a:r>
          <a:r>
            <a:rPr lang="en-US" altLang="zh-CN" sz="800">
              <a:solidFill>
                <a:sysClr val="windowText" lastClr="000000"/>
              </a:solidFill>
              <a:effectLst/>
              <a:latin typeface="Times New Roman" panose="02020603050405020304" pitchFamily="18" charset="0"/>
              <a:ea typeface="楷体" panose="02010609060101010101" pitchFamily="49" charset="-122"/>
              <a:cs typeface="Times New Roman" panose="02020603050405020304" pitchFamily="18" charset="0"/>
            </a:rPr>
            <a:t>Q1</a:t>
          </a:r>
          <a:r>
            <a:rPr lang="zh-CN" altLang="en-US" sz="800">
              <a:solidFill>
                <a:sysClr val="windowText" lastClr="000000"/>
              </a:solidFill>
              <a:effectLst/>
              <a:latin typeface="Times New Roman" panose="02020603050405020304" pitchFamily="18" charset="0"/>
              <a:ea typeface="楷体" panose="02010609060101010101" pitchFamily="49" charset="-122"/>
              <a:cs typeface="Times New Roman" panose="02020603050405020304" pitchFamily="18" charset="0"/>
            </a:rPr>
            <a:t>机械订单总额同比为</a:t>
          </a:r>
          <a:r>
            <a:rPr lang="en-US" altLang="zh-CN" sz="800">
              <a:solidFill>
                <a:sysClr val="windowText" lastClr="000000"/>
              </a:solidFill>
              <a:effectLst/>
              <a:latin typeface="Times New Roman" panose="02020603050405020304" pitchFamily="18" charset="0"/>
              <a:ea typeface="楷体" panose="02010609060101010101" pitchFamily="49" charset="-122"/>
              <a:cs typeface="Times New Roman" panose="02020603050405020304" pitchFamily="18" charset="0"/>
            </a:rPr>
            <a:t>1</a:t>
          </a:r>
          <a:r>
            <a:rPr lang="zh-CN" altLang="en-US" sz="800">
              <a:solidFill>
                <a:sysClr val="windowText" lastClr="000000"/>
              </a:solidFill>
              <a:effectLst/>
              <a:latin typeface="Times New Roman" panose="02020603050405020304" pitchFamily="18" charset="0"/>
              <a:ea typeface="楷体" panose="02010609060101010101" pitchFamily="49" charset="-122"/>
              <a:cs typeface="Times New Roman" panose="02020603050405020304" pitchFamily="18" charset="0"/>
            </a:rPr>
            <a:t>月数据。消费为</a:t>
          </a:r>
          <a:r>
            <a:rPr lang="en-US" altLang="zh-CN" sz="800">
              <a:solidFill>
                <a:sysClr val="windowText" lastClr="000000"/>
              </a:solidFill>
              <a:effectLst/>
              <a:latin typeface="Times New Roman" panose="02020603050405020304" pitchFamily="18" charset="0"/>
              <a:ea typeface="楷体" panose="02010609060101010101" pitchFamily="49" charset="-122"/>
              <a:cs typeface="Times New Roman" panose="02020603050405020304" pitchFamily="18" charset="0"/>
            </a:rPr>
            <a:t>1</a:t>
          </a:r>
          <a:r>
            <a:rPr lang="zh-CN" altLang="en-US" sz="800">
              <a:solidFill>
                <a:sysClr val="windowText" lastClr="000000"/>
              </a:solidFill>
              <a:effectLst/>
              <a:latin typeface="Times New Roman" panose="02020603050405020304" pitchFamily="18" charset="0"/>
              <a:ea typeface="楷体" panose="02010609060101010101" pitchFamily="49" charset="-122"/>
              <a:cs typeface="Times New Roman" panose="02020603050405020304" pitchFamily="18" charset="0"/>
            </a:rPr>
            <a:t>月和</a:t>
          </a:r>
          <a:r>
            <a:rPr lang="en-US" altLang="zh-CN" sz="800">
              <a:solidFill>
                <a:sysClr val="windowText" lastClr="000000"/>
              </a:solidFill>
              <a:effectLst/>
              <a:latin typeface="Times New Roman" panose="02020603050405020304" pitchFamily="18" charset="0"/>
              <a:ea typeface="楷体" panose="02010609060101010101" pitchFamily="49" charset="-122"/>
              <a:cs typeface="Times New Roman" panose="02020603050405020304" pitchFamily="18" charset="0"/>
            </a:rPr>
            <a:t>2</a:t>
          </a:r>
          <a:r>
            <a:rPr lang="zh-CN" altLang="en-US" sz="800">
              <a:solidFill>
                <a:sysClr val="windowText" lastClr="000000"/>
              </a:solidFill>
              <a:effectLst/>
              <a:latin typeface="Times New Roman" panose="02020603050405020304" pitchFamily="18" charset="0"/>
              <a:ea typeface="楷体" panose="02010609060101010101" pitchFamily="49" charset="-122"/>
              <a:cs typeface="Times New Roman" panose="02020603050405020304" pitchFamily="18" charset="0"/>
            </a:rPr>
            <a:t>月数据。</a:t>
          </a:r>
          <a:endParaRPr lang="zh-CN" altLang="zh-CN" sz="1100">
            <a:solidFill>
              <a:sysClr val="windowText" lastClr="000000"/>
            </a:solidFill>
            <a:effectLst/>
            <a:latin typeface="Times New Roman" panose="02020603050405020304" pitchFamily="18" charset="0"/>
            <a:ea typeface="楷体" panose="02010609060101010101" pitchFamily="49" charset="-122"/>
            <a:cs typeface="Times New Roman" panose="02020603050405020304" pitchFamily="18" charset="0"/>
          </a:endParaRPr>
        </a:p>
        <a:p xmlns:a="http://schemas.openxmlformats.org/drawingml/2006/main">
          <a:endParaRPr lang="zh-CN" altLang="en-US" sz="1100"/>
        </a:p>
      </cdr:txBody>
    </cdr:sp>
  </cdr:relSizeAnchor>
</c:userShapes>
</file>

<file path=word/drawings/drawing20.xml><?xml version="1.0" encoding="utf-8"?>
<c:userShapes xmlns:c="http://schemas.openxmlformats.org/drawingml/2006/chart">
  <cdr:relSizeAnchor xmlns:cdr="http://schemas.openxmlformats.org/drawingml/2006/chartDrawing">
    <cdr:from>
      <cdr:x>0.02048</cdr:x>
      <cdr:y>0.00708</cdr:y>
    </cdr:from>
    <cdr:to>
      <cdr:x>0.0747</cdr:x>
      <cdr:y>0.06321</cdr:y>
    </cdr:to>
    <cdr:sp macro="" textlink="">
      <cdr:nvSpPr>
        <cdr:cNvPr id="2" name="矩形 1"/>
        <cdr:cNvSpPr/>
      </cdr:nvSpPr>
      <cdr:spPr>
        <a:xfrm xmlns:a="http://schemas.openxmlformats.org/drawingml/2006/main">
          <a:off x="56771" y="16565"/>
          <a:ext cx="150294" cy="131335"/>
        </a:xfrm>
        <a:prstGeom xmlns:a="http://schemas.openxmlformats.org/drawingml/2006/main" prst="rect">
          <a:avLst/>
        </a:prstGeom>
      </cdr:spPr>
      <cdr:txBody>
        <a:bodyPr xmlns:a="http://schemas.openxmlformats.org/drawingml/2006/main" vertOverflow="clip" vert="horz" wrap="none" lIns="0" tIns="0" rIns="45720" bIns="45720" rtlCol="0" anchor="t" anchorCtr="0">
          <a:normAutofit/>
        </a:bodyPr>
        <a:lstStyle xmlns:a="http://schemas.openxmlformats.org/drawingml/2006/main">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xmlns:a="http://schemas.openxmlformats.org/drawingml/2006/main">
          <a:r>
            <a:rPr lang="en-US" altLang="zh-CN" sz="800" b="0" i="0">
              <a:latin typeface="Times New Roman" panose="02020603050405020304" charset="0"/>
              <a:cs typeface="Times New Roman" panose="02020603050405020304" charset="0"/>
            </a:rPr>
            <a:t>%</a:t>
          </a:r>
        </a:p>
      </cdr:txBody>
    </cdr:sp>
  </cdr:relSizeAnchor>
  <cdr:relSizeAnchor xmlns:cdr="http://schemas.openxmlformats.org/drawingml/2006/chartDrawing">
    <cdr:from>
      <cdr:x>0</cdr:x>
      <cdr:y>0.92006</cdr:y>
    </cdr:from>
    <cdr:to>
      <cdr:x>0.90046</cdr:x>
      <cdr:y>1</cdr:y>
    </cdr:to>
    <cdr:sp macro="" textlink="">
      <cdr:nvSpPr>
        <cdr:cNvPr id="3" name="矩形 2"/>
        <cdr:cNvSpPr/>
      </cdr:nvSpPr>
      <cdr:spPr>
        <a:xfrm xmlns:a="http://schemas.openxmlformats.org/drawingml/2006/main">
          <a:off x="0" y="2152940"/>
          <a:ext cx="2496075" cy="187060"/>
        </a:xfrm>
        <a:prstGeom xmlns:a="http://schemas.openxmlformats.org/drawingml/2006/main" prst="rect">
          <a:avLst/>
        </a:prstGeom>
      </cdr:spPr>
      <cdr:txBody>
        <a:bodyPr xmlns:a="http://schemas.openxmlformats.org/drawingml/2006/main" vert="horz" wrap="square" lIns="45720" tIns="45720" rIns="45720" bIns="45720" rtlCol="0" anchor="t" anchorCtr="0">
          <a:norm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indent="0" defTabSz="914400" eaLnBrk="1" fontAlgn="auto" latinLnBrk="0" hangingPunct="1">
            <a:lnSpc>
              <a:spcPct val="100000"/>
            </a:lnSpc>
            <a:spcBef>
              <a:spcPts val="0"/>
            </a:spcBef>
            <a:spcAft>
              <a:spcPts val="0"/>
            </a:spcAft>
            <a:buClrTx/>
            <a:buSzTx/>
            <a:buFontTx/>
            <a:buNone/>
            <a:defRPr/>
          </a:pPr>
          <a:r>
            <a:rPr lang="zh-CN" altLang="zh-CN" sz="800">
              <a:effectLst/>
              <a:latin typeface="+mj-lt"/>
              <a:ea typeface="楷体" panose="02010609060101010101" pitchFamily="3" charset="-122"/>
              <a:cs typeface="+mn-cs"/>
            </a:rPr>
            <a:t>数据来源：</a:t>
          </a:r>
          <a:r>
            <a:rPr lang="en-US" altLang="zh-CN" sz="800">
              <a:effectLst/>
              <a:latin typeface="+mj-lt"/>
              <a:ea typeface="楷体" panose="02010609060101010101" pitchFamily="3" charset="-122"/>
              <a:cs typeface="+mn-cs"/>
            </a:rPr>
            <a:t>Wind</a:t>
          </a:r>
          <a:r>
            <a:rPr lang="zh-CN" altLang="zh-CN" sz="800">
              <a:effectLst/>
              <a:latin typeface="+mj-lt"/>
              <a:ea typeface="楷体" panose="02010609060101010101" pitchFamily="3" charset="-122"/>
              <a:cs typeface="+mn-cs"/>
            </a:rPr>
            <a:t>，世界经济预测与政策模拟实验室</a:t>
          </a:r>
          <a:endParaRPr lang="zh-CN" altLang="zh-CN" sz="800">
            <a:effectLst/>
            <a:latin typeface="+mj-lt"/>
            <a:ea typeface="楷体" panose="02010609060101010101" pitchFamily="3" charset="-122"/>
          </a:endParaRPr>
        </a:p>
        <a:p xmlns:a="http://schemas.openxmlformats.org/drawingml/2006/main">
          <a:endParaRPr lang="zh-CN" altLang="en-US" sz="800">
            <a:latin typeface="+mj-lt"/>
            <a:ea typeface="楷体" panose="02010609060101010101" pitchFamily="3" charset="-122"/>
          </a:endParaRPr>
        </a:p>
      </cdr:txBody>
    </cdr:sp>
  </cdr:relSizeAnchor>
</c:userShapes>
</file>

<file path=word/drawings/drawing21.xml><?xml version="1.0" encoding="utf-8"?>
<c:userShapes xmlns:c="http://schemas.openxmlformats.org/drawingml/2006/chart">
  <cdr:relSizeAnchor xmlns:cdr="http://schemas.openxmlformats.org/drawingml/2006/chartDrawing">
    <cdr:from>
      <cdr:x>0.05493</cdr:x>
      <cdr:y>0</cdr:y>
    </cdr:from>
    <cdr:to>
      <cdr:x>0.17739</cdr:x>
      <cdr:y>0.06746</cdr:y>
    </cdr:to>
    <cdr:sp macro="" textlink="">
      <cdr:nvSpPr>
        <cdr:cNvPr id="2" name="矩形 1"/>
        <cdr:cNvSpPr/>
      </cdr:nvSpPr>
      <cdr:spPr>
        <a:xfrm xmlns:a="http://schemas.openxmlformats.org/drawingml/2006/main">
          <a:off x="152253" y="0"/>
          <a:ext cx="339459" cy="157856"/>
        </a:xfrm>
        <a:prstGeom xmlns:a="http://schemas.openxmlformats.org/drawingml/2006/main" prst="rect">
          <a:avLst/>
        </a:prstGeom>
      </cdr:spPr>
      <cdr:txBody>
        <a:bodyPr xmlns:a="http://schemas.openxmlformats.org/drawingml/2006/main" vert="horz" wrap="none" lIns="0" tIns="0" rIns="45720" bIns="45720" rtlCol="0" anchor="t" anchorCtr="0">
          <a:norm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zh-CN" altLang="en-US" sz="800" b="0" i="0">
              <a:latin typeface="楷体" panose="02010609060101010101" pitchFamily="3" charset="-122"/>
              <a:ea typeface="楷体" panose="02010609060101010101" pitchFamily="3" charset="-122"/>
              <a:cs typeface="Times New Roman" panose="02020603050405020304" charset="0"/>
            </a:rPr>
            <a:t>千桶</a:t>
          </a:r>
          <a:endParaRPr lang="en-US" altLang="zh-CN" sz="800" b="0" i="0">
            <a:latin typeface="楷体" panose="02010609060101010101" pitchFamily="3" charset="-122"/>
            <a:ea typeface="楷体" panose="02010609060101010101" pitchFamily="3" charset="-122"/>
            <a:cs typeface="Times New Roman" panose="02020603050405020304" charset="0"/>
          </a:endParaRPr>
        </a:p>
      </cdr:txBody>
    </cdr:sp>
  </cdr:relSizeAnchor>
  <cdr:relSizeAnchor xmlns:cdr="http://schemas.openxmlformats.org/drawingml/2006/chartDrawing">
    <cdr:from>
      <cdr:x>0</cdr:x>
      <cdr:y>0.92006</cdr:y>
    </cdr:from>
    <cdr:to>
      <cdr:x>0.90046</cdr:x>
      <cdr:y>1</cdr:y>
    </cdr:to>
    <cdr:sp macro="" textlink="">
      <cdr:nvSpPr>
        <cdr:cNvPr id="3" name="矩形 2"/>
        <cdr:cNvSpPr/>
      </cdr:nvSpPr>
      <cdr:spPr>
        <a:xfrm xmlns:a="http://schemas.openxmlformats.org/drawingml/2006/main">
          <a:off x="0" y="2152940"/>
          <a:ext cx="2496075" cy="187060"/>
        </a:xfrm>
        <a:prstGeom xmlns:a="http://schemas.openxmlformats.org/drawingml/2006/main" prst="rect">
          <a:avLst/>
        </a:prstGeom>
      </cdr:spPr>
      <cdr:txBody>
        <a:bodyPr xmlns:a="http://schemas.openxmlformats.org/drawingml/2006/main" vert="horz" wrap="square" lIns="45720" tIns="45720" rIns="45720" bIns="45720" rtlCol="0" anchor="t" anchorCtr="0">
          <a:norm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indent="0" defTabSz="914400" eaLnBrk="1" fontAlgn="auto" latinLnBrk="0" hangingPunct="1">
            <a:lnSpc>
              <a:spcPct val="100000"/>
            </a:lnSpc>
            <a:spcBef>
              <a:spcPts val="0"/>
            </a:spcBef>
            <a:spcAft>
              <a:spcPts val="0"/>
            </a:spcAft>
            <a:buClrTx/>
            <a:buSzTx/>
            <a:buFontTx/>
            <a:buNone/>
            <a:defRPr/>
          </a:pPr>
          <a:r>
            <a:rPr lang="zh-CN" altLang="zh-CN" sz="800">
              <a:effectLst/>
              <a:latin typeface="+mj-lt"/>
              <a:ea typeface="楷体" panose="02010609060101010101" pitchFamily="3" charset="-122"/>
              <a:cs typeface="+mn-cs"/>
            </a:rPr>
            <a:t>数据来源：</a:t>
          </a:r>
          <a:r>
            <a:rPr lang="en-US" altLang="zh-CN" sz="800">
              <a:effectLst/>
              <a:latin typeface="+mj-lt"/>
              <a:ea typeface="楷体" panose="02010609060101010101" pitchFamily="3" charset="-122"/>
              <a:cs typeface="+mn-cs"/>
            </a:rPr>
            <a:t>Wind</a:t>
          </a:r>
          <a:r>
            <a:rPr lang="zh-CN" altLang="zh-CN" sz="800">
              <a:effectLst/>
              <a:latin typeface="+mj-lt"/>
              <a:ea typeface="楷体" panose="02010609060101010101" pitchFamily="3" charset="-122"/>
              <a:cs typeface="+mn-cs"/>
            </a:rPr>
            <a:t>，世界经济预测与政策模拟实验室</a:t>
          </a:r>
          <a:endParaRPr lang="zh-CN" altLang="zh-CN" sz="800">
            <a:effectLst/>
            <a:latin typeface="+mj-lt"/>
            <a:ea typeface="楷体" panose="02010609060101010101" pitchFamily="3" charset="-122"/>
          </a:endParaRPr>
        </a:p>
        <a:p xmlns:a="http://schemas.openxmlformats.org/drawingml/2006/main">
          <a:endParaRPr lang="zh-CN" altLang="en-US" sz="800">
            <a:latin typeface="+mj-lt"/>
            <a:ea typeface="楷体" panose="02010609060101010101" pitchFamily="3" charset="-122"/>
          </a:endParaRPr>
        </a:p>
      </cdr:txBody>
    </cdr:sp>
  </cdr:relSizeAnchor>
</c:userShapes>
</file>

<file path=word/drawings/drawing22.xml><?xml version="1.0" encoding="utf-8"?>
<c:userShapes xmlns:c="http://schemas.openxmlformats.org/drawingml/2006/chart">
  <cdr:relSizeAnchor xmlns:cdr="http://schemas.openxmlformats.org/drawingml/2006/chartDrawing">
    <cdr:from>
      <cdr:x>0.02065</cdr:x>
      <cdr:y>0.93528</cdr:y>
    </cdr:from>
    <cdr:to>
      <cdr:x>0.91156</cdr:x>
      <cdr:y>0.99622</cdr:y>
    </cdr:to>
    <cdr:sp macro="" textlink="">
      <cdr:nvSpPr>
        <cdr:cNvPr id="2" name="矩形 1"/>
        <cdr:cNvSpPr/>
      </cdr:nvSpPr>
      <cdr:spPr>
        <a:xfrm xmlns:a="http://schemas.openxmlformats.org/drawingml/2006/main">
          <a:off x="69223" y="2911401"/>
          <a:ext cx="2870827" cy="203274"/>
        </a:xfrm>
        <a:prstGeom xmlns:a="http://schemas.openxmlformats.org/drawingml/2006/main" prst="rect">
          <a:avLst/>
        </a:prstGeom>
      </cdr:spPr>
      <cdr:txBody>
        <a:bodyPr xmlns:a="http://schemas.openxmlformats.org/drawingml/2006/main" vert="horz" wrap="square" lIns="45720" tIns="45720" rIns="45720" bIns="45720" rtlCol="0" anchor="t" anchorCtr="0">
          <a:norm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lnSpc>
              <a:spcPts val="900"/>
            </a:lnSpc>
          </a:pPr>
          <a:r>
            <a:rPr lang="zh-CN" altLang="en-US" sz="800" baseline="0">
              <a:latin typeface="Cambria Math" panose="02040503050406030204" pitchFamily="18" charset="0"/>
              <a:ea typeface="楷体" panose="02010609060101010101" pitchFamily="3" charset="-122"/>
            </a:rPr>
            <a:t>数据来源：</a:t>
          </a:r>
          <a:r>
            <a:rPr lang="en-US" altLang="zh-CN" sz="800" baseline="0">
              <a:latin typeface="Cambria Math" panose="02040503050406030204" pitchFamily="18" charset="0"/>
              <a:ea typeface="楷体" panose="02010609060101010101" pitchFamily="3" charset="-122"/>
            </a:rPr>
            <a:t>Wind</a:t>
          </a:r>
          <a:r>
            <a:rPr lang="zh-CN" altLang="en-US" sz="800" baseline="0">
              <a:latin typeface="Cambria Math" panose="02040503050406030204" pitchFamily="18" charset="0"/>
              <a:ea typeface="楷体" panose="02010609060101010101" pitchFamily="3" charset="-122"/>
            </a:rPr>
            <a:t>，世界经济预测与政策模拟实验室。</a:t>
          </a:r>
        </a:p>
      </cdr:txBody>
    </cdr:sp>
  </cdr:relSizeAnchor>
</c:userShapes>
</file>

<file path=word/drawings/drawing23.xml><?xml version="1.0" encoding="utf-8"?>
<c:userShapes xmlns:c="http://schemas.openxmlformats.org/drawingml/2006/chart">
  <cdr:relSizeAnchor xmlns:cdr="http://schemas.openxmlformats.org/drawingml/2006/chartDrawing">
    <cdr:from>
      <cdr:x>0.0251</cdr:x>
      <cdr:y>0.01437</cdr:y>
    </cdr:from>
    <cdr:to>
      <cdr:x>0.0251</cdr:x>
      <cdr:y>0.01437</cdr:y>
    </cdr:to>
    <cdr:sp macro="" textlink="">
      <cdr:nvSpPr>
        <cdr:cNvPr id="2" name="矩形 1"/>
        <cdr:cNvSpPr/>
      </cdr:nvSpPr>
      <cdr:spPr>
        <a:xfrm xmlns:a="http://schemas.openxmlformats.org/drawingml/2006/main">
          <a:off x="-1" y="-1"/>
          <a:ext cx="1" cy="1"/>
        </a:xfrm>
        <a:prstGeom xmlns:a="http://schemas.openxmlformats.org/drawingml/2006/main" prst="rect">
          <a:avLst/>
        </a:prstGeom>
      </cdr:spPr>
      <cdr:txBody>
        <a:bodyPr xmlns:a="http://schemas.openxmlformats.org/drawingml/2006/main" vertOverflow="clip" vert="horz" wrap="square" lIns="45720" tIns="45720" rIns="45720" bIns="45720" rtlCol="0" anchor="t" anchorCtr="0">
          <a:normAutofit/>
        </a:bodyPr>
        <a:lstStyle xmlns:a="http://schemas.openxmlformats.org/drawingml/2006/main"/>
        <a:p xmlns:a="http://schemas.openxmlformats.org/drawingml/2006/main">
          <a:r>
            <a:rPr lang="zh-CN" altLang="en-US" sz="800">
              <a:latin typeface="楷体" panose="02010609060101010101" pitchFamily="3" charset="-122"/>
              <a:ea typeface="楷体" panose="02010609060101010101" pitchFamily="3" charset="-122"/>
            </a:rPr>
            <a:t>美分</a:t>
          </a:r>
          <a:r>
            <a:rPr lang="en-US" altLang="zh-CN" sz="800">
              <a:latin typeface="楷体" panose="02010609060101010101" pitchFamily="3" charset="-122"/>
              <a:ea typeface="楷体" panose="02010609060101010101" pitchFamily="3" charset="-122"/>
            </a:rPr>
            <a:t>/</a:t>
          </a:r>
          <a:r>
            <a:rPr lang="zh-CN" altLang="en-US" sz="800">
              <a:latin typeface="楷体" panose="02010609060101010101" pitchFamily="3" charset="-122"/>
              <a:ea typeface="楷体" panose="02010609060101010101" pitchFamily="3" charset="-122"/>
            </a:rPr>
            <a:t>蒲式耳</a:t>
          </a:r>
          <a:endParaRPr lang="en-US" sz="800">
            <a:latin typeface="楷体" panose="02010609060101010101" pitchFamily="3" charset="-122"/>
            <a:ea typeface="楷体" panose="02010609060101010101" pitchFamily="3" charset="-122"/>
          </a:endParaRPr>
        </a:p>
      </cdr:txBody>
    </cdr:sp>
  </cdr:relSizeAnchor>
  <cdr:relSizeAnchor xmlns:cdr="http://schemas.openxmlformats.org/drawingml/2006/chartDrawing">
    <cdr:from>
      <cdr:x>0.03417</cdr:x>
      <cdr:y>0.00885</cdr:y>
    </cdr:from>
    <cdr:to>
      <cdr:x>0.40353</cdr:x>
      <cdr:y>0.11582</cdr:y>
    </cdr:to>
    <cdr:sp macro="" textlink="">
      <cdr:nvSpPr>
        <cdr:cNvPr id="3" name="矩形 2"/>
        <cdr:cNvSpPr/>
      </cdr:nvSpPr>
      <cdr:spPr>
        <a:xfrm xmlns:a="http://schemas.openxmlformats.org/drawingml/2006/main">
          <a:off x="0" y="0"/>
          <a:ext cx="906046" cy="204265"/>
        </a:xfrm>
        <a:prstGeom xmlns:a="http://schemas.openxmlformats.org/drawingml/2006/main" prst="rect">
          <a:avLst/>
        </a:prstGeom>
      </cdr:spPr>
      <cdr:txBody>
        <a:bodyPr xmlns:a="http://schemas.openxmlformats.org/drawingml/2006/main" vertOverflow="clip" vert="horz" wrap="square" lIns="45720" tIns="45720" rIns="45720" bIns="45720" rtlCol="0" anchor="t" anchorCtr="0">
          <a:normAutofit/>
        </a:bodyPr>
        <a:lstStyle xmlns:a="http://schemas.openxmlformats.org/drawingml/2006/main"/>
        <a:p xmlns:a="http://schemas.openxmlformats.org/drawingml/2006/main">
          <a:r>
            <a:rPr lang="zh-CN" altLang="en-US" sz="800">
              <a:latin typeface="楷体" panose="02010609060101010101" pitchFamily="3" charset="-122"/>
              <a:ea typeface="楷体" panose="02010609060101010101" pitchFamily="3" charset="-122"/>
            </a:rPr>
            <a:t>吨</a:t>
          </a:r>
          <a:endParaRPr lang="en-US" sz="800">
            <a:latin typeface="楷体" panose="02010609060101010101" pitchFamily="3" charset="-122"/>
            <a:ea typeface="楷体" panose="02010609060101010101" pitchFamily="3" charset="-122"/>
          </a:endParaRPr>
        </a:p>
      </cdr:txBody>
    </cdr:sp>
  </cdr:relSizeAnchor>
  <cdr:relSizeAnchor xmlns:cdr="http://schemas.openxmlformats.org/drawingml/2006/chartDrawing">
    <cdr:from>
      <cdr:x>0.00115</cdr:x>
      <cdr:y>0.90261</cdr:y>
    </cdr:from>
    <cdr:to>
      <cdr:x>0.99779</cdr:x>
      <cdr:y>0.98922</cdr:y>
    </cdr:to>
    <cdr:sp macro="" textlink="">
      <cdr:nvSpPr>
        <cdr:cNvPr id="4" name="矩形 3"/>
        <cdr:cNvSpPr/>
      </cdr:nvSpPr>
      <cdr:spPr>
        <a:xfrm xmlns:a="http://schemas.openxmlformats.org/drawingml/2006/main">
          <a:off x="0" y="0"/>
          <a:ext cx="2877820" cy="161334"/>
        </a:xfrm>
        <a:prstGeom xmlns:a="http://schemas.openxmlformats.org/drawingml/2006/main" prst="rect">
          <a:avLst/>
        </a:prstGeom>
      </cdr:spPr>
      <cdr:txBody>
        <a:bodyPr xmlns:a="http://schemas.openxmlformats.org/drawingml/2006/main" vert="horz" wrap="square" lIns="45720" tIns="45720" rIns="45720" bIns="45720" rtlCol="0" anchor="t" anchorCtr="0">
          <a:norm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lnSpc>
              <a:spcPts val="900"/>
            </a:lnSpc>
          </a:pPr>
          <a:r>
            <a:rPr lang="zh-CN" altLang="en-US" sz="800" baseline="0">
              <a:latin typeface="Cambria Math" panose="02040503050406030204" pitchFamily="18" charset="0"/>
              <a:ea typeface="楷体" panose="02010609060101010101" pitchFamily="3" charset="-122"/>
            </a:rPr>
            <a:t>数据来源：</a:t>
          </a:r>
          <a:r>
            <a:rPr lang="en-US" altLang="zh-CN" sz="800" baseline="0">
              <a:latin typeface="Cambria Math" panose="02040503050406030204" pitchFamily="18" charset="0"/>
              <a:ea typeface="楷体" panose="02010609060101010101" pitchFamily="3" charset="-122"/>
            </a:rPr>
            <a:t>Wind</a:t>
          </a:r>
          <a:r>
            <a:rPr lang="zh-CN" altLang="en-US" sz="800" baseline="0">
              <a:latin typeface="Cambria Math" panose="02040503050406030204" pitchFamily="18" charset="0"/>
              <a:ea typeface="楷体" panose="02010609060101010101" pitchFamily="3" charset="-122"/>
            </a:rPr>
            <a:t>，世界经济预测与政策模拟实验室。</a:t>
          </a:r>
        </a:p>
      </cdr:txBody>
    </cdr:sp>
  </cdr:relSizeAnchor>
</c:userShapes>
</file>

<file path=word/drawings/drawing24.xml><?xml version="1.0" encoding="utf-8"?>
<c:userShapes xmlns:c="http://schemas.openxmlformats.org/drawingml/2006/chart">
  <cdr:relSizeAnchor xmlns:cdr="http://schemas.openxmlformats.org/drawingml/2006/chartDrawing">
    <cdr:from>
      <cdr:x>0.00168</cdr:x>
      <cdr:y>0.06443</cdr:y>
    </cdr:from>
    <cdr:to>
      <cdr:x>0.00168</cdr:x>
      <cdr:y>0.06443</cdr:y>
    </cdr:to>
    <cdr:sp macro="" textlink="">
      <cdr:nvSpPr>
        <cdr:cNvPr id="2" name="矩形 1"/>
        <cdr:cNvSpPr/>
      </cdr:nvSpPr>
      <cdr:spPr>
        <a:xfrm xmlns:a="http://schemas.openxmlformats.org/drawingml/2006/main">
          <a:off x="-1" y="-1"/>
          <a:ext cx="1" cy="1"/>
        </a:xfrm>
        <a:prstGeom xmlns:a="http://schemas.openxmlformats.org/drawingml/2006/main" prst="rect">
          <a:avLst/>
        </a:prstGeom>
      </cdr:spPr>
      <cdr:txBody>
        <a:bodyPr xmlns:a="http://schemas.openxmlformats.org/drawingml/2006/main" vertOverflow="clip" vert="horz" wrap="square" lIns="45720" tIns="45720" rIns="45720" bIns="45720" rtlCol="0" anchor="t" anchorCtr="0">
          <a:normAutofit/>
        </a:bodyPr>
        <a:lstStyle xmlns:a="http://schemas.openxmlformats.org/drawingml/2006/main"/>
        <a:p xmlns:a="http://schemas.openxmlformats.org/drawingml/2006/main">
          <a:r>
            <a:rPr lang="zh-CN" altLang="en-US" sz="700" b="0">
              <a:solidFill>
                <a:sysClr val="windowText" lastClr="000000"/>
              </a:solidFill>
              <a:latin typeface="+mn-ea"/>
              <a:ea typeface="+mn-ea"/>
            </a:rPr>
            <a:t>美元</a:t>
          </a:r>
          <a:r>
            <a:rPr lang="en-US" altLang="zh-CN" sz="700" b="0">
              <a:solidFill>
                <a:sysClr val="windowText" lastClr="000000"/>
              </a:solidFill>
              <a:latin typeface="+mn-ea"/>
              <a:ea typeface="+mn-ea"/>
            </a:rPr>
            <a:t>/</a:t>
          </a:r>
          <a:r>
            <a:rPr lang="zh-CN" altLang="en-US" sz="700" b="0">
              <a:solidFill>
                <a:sysClr val="windowText" lastClr="000000"/>
              </a:solidFill>
              <a:latin typeface="+mn-ea"/>
              <a:ea typeface="+mn-ea"/>
            </a:rPr>
            <a:t>吨</a:t>
          </a:r>
        </a:p>
      </cdr:txBody>
    </cdr:sp>
  </cdr:relSizeAnchor>
  <cdr:relSizeAnchor xmlns:cdr="http://schemas.openxmlformats.org/drawingml/2006/chartDrawing">
    <cdr:from>
      <cdr:x>0.00048</cdr:x>
      <cdr:y>0.00024</cdr:y>
    </cdr:from>
    <cdr:to>
      <cdr:x>0.00048</cdr:x>
      <cdr:y>0.00024</cdr:y>
    </cdr:to>
    <cdr:sp macro="" textlink="">
      <cdr:nvSpPr>
        <cdr:cNvPr id="3" name="矩形 2"/>
        <cdr:cNvSpPr/>
      </cdr:nvSpPr>
      <cdr:spPr>
        <a:xfrm xmlns:a="http://schemas.openxmlformats.org/drawingml/2006/main">
          <a:off x="-1" y="-1"/>
          <a:ext cx="1" cy="1"/>
        </a:xfrm>
        <a:prstGeom xmlns:a="http://schemas.openxmlformats.org/drawingml/2006/main" prst="rect">
          <a:avLst/>
        </a:prstGeom>
      </cdr:spPr>
      <cdr:txBody>
        <a:bodyPr xmlns:a="http://schemas.openxmlformats.org/drawingml/2006/main" vertOverflow="clip" vert="horz" wrap="square" lIns="45720" tIns="45720" rIns="45720" bIns="45720" rtlCol="0" anchor="t" anchorCtr="0">
          <a:normAutofit/>
        </a:bodyPr>
        <a:lstStyle xmlns:a="http://schemas.openxmlformats.org/drawingml/2006/main"/>
        <a:p xmlns:a="http://schemas.openxmlformats.org/drawingml/2006/main">
          <a:r>
            <a:rPr lang="zh-CN" altLang="en-US" sz="800">
              <a:latin typeface="楷体" panose="02010609060101010101" pitchFamily="3" charset="-122"/>
              <a:ea typeface="楷体" panose="02010609060101010101" pitchFamily="3" charset="-122"/>
            </a:rPr>
            <a:t>美元</a:t>
          </a:r>
          <a:r>
            <a:rPr lang="en-US" altLang="zh-CN" sz="800">
              <a:latin typeface="楷体" panose="02010609060101010101" pitchFamily="3" charset="-122"/>
              <a:ea typeface="楷体" panose="02010609060101010101" pitchFamily="3" charset="-122"/>
            </a:rPr>
            <a:t>/</a:t>
          </a:r>
          <a:r>
            <a:rPr lang="zh-CN" altLang="en-US" sz="800">
              <a:latin typeface="楷体" panose="02010609060101010101" pitchFamily="3" charset="-122"/>
              <a:ea typeface="楷体" panose="02010609060101010101" pitchFamily="3" charset="-122"/>
            </a:rPr>
            <a:t>吨</a:t>
          </a:r>
        </a:p>
      </cdr:txBody>
    </cdr:sp>
  </cdr:relSizeAnchor>
  <cdr:relSizeAnchor xmlns:cdr="http://schemas.openxmlformats.org/drawingml/2006/chartDrawing">
    <cdr:from>
      <cdr:x>0.13617</cdr:x>
      <cdr:y>0.89234</cdr:y>
    </cdr:from>
    <cdr:to>
      <cdr:x>0.89748</cdr:x>
      <cdr:y>0.99856</cdr:y>
    </cdr:to>
    <cdr:sp macro="" textlink="">
      <cdr:nvSpPr>
        <cdr:cNvPr id="4" name="矩形 3"/>
        <cdr:cNvSpPr/>
      </cdr:nvSpPr>
      <cdr:spPr>
        <a:xfrm xmlns:a="http://schemas.openxmlformats.org/drawingml/2006/main">
          <a:off x="431877" y="2371725"/>
          <a:ext cx="2335401" cy="300524"/>
        </a:xfrm>
        <a:prstGeom xmlns:a="http://schemas.openxmlformats.org/drawingml/2006/main" prst="rect">
          <a:avLst/>
        </a:prstGeom>
      </cdr:spPr>
      <cdr:txBody>
        <a:bodyPr xmlns:a="http://schemas.openxmlformats.org/drawingml/2006/main" vert="horz" wrap="square" lIns="45720" tIns="45720" rIns="45720" bIns="45720" rtlCol="0" anchor="t" anchorCtr="0">
          <a:norm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l"/>
          <a:r>
            <a:rPr lang="zh-CN" altLang="en-US" sz="700" baseline="0">
              <a:latin typeface="Cambria" panose="02040503050406030204" pitchFamily="18" charset="0"/>
              <a:ea typeface="楷体" panose="02010609060101010101" pitchFamily="3" charset="-122"/>
            </a:rPr>
            <a:t>数据来源：</a:t>
          </a:r>
          <a:r>
            <a:rPr lang="en-US" altLang="zh-CN" sz="700" baseline="0">
              <a:latin typeface="Cambria Math" panose="02040503050406030204" pitchFamily="18" charset="0"/>
              <a:ea typeface="Cambria Math" panose="02040503050406030204" pitchFamily="18" charset="0"/>
            </a:rPr>
            <a:t>Wind</a:t>
          </a:r>
          <a:r>
            <a:rPr lang="zh-CN" altLang="en-US" sz="700" baseline="0">
              <a:latin typeface="Cambria" panose="02040503050406030204" pitchFamily="18" charset="0"/>
              <a:ea typeface="楷体" panose="02010609060101010101" pitchFamily="3" charset="-122"/>
            </a:rPr>
            <a:t>，世界经济预测与政策模拟实验室。</a:t>
          </a:r>
        </a:p>
      </cdr:txBody>
    </cdr:sp>
  </cdr:relSizeAnchor>
  <cdr:relSizeAnchor xmlns:cdr="http://schemas.openxmlformats.org/drawingml/2006/chartDrawing">
    <cdr:from>
      <cdr:x>0.00072</cdr:x>
      <cdr:y>0.00071</cdr:y>
    </cdr:from>
    <cdr:to>
      <cdr:x>0.43855</cdr:x>
      <cdr:y>0.27249</cdr:y>
    </cdr:to>
    <cdr:sp macro="" textlink="">
      <cdr:nvSpPr>
        <cdr:cNvPr id="5" name="矩形 4"/>
        <cdr:cNvSpPr/>
      </cdr:nvSpPr>
      <cdr:spPr>
        <a:xfrm xmlns:a="http://schemas.openxmlformats.org/drawingml/2006/main">
          <a:off x="0" y="0"/>
          <a:ext cx="1171201" cy="153615"/>
        </a:xfrm>
        <a:prstGeom xmlns:a="http://schemas.openxmlformats.org/drawingml/2006/main" prst="rect">
          <a:avLst/>
        </a:prstGeom>
      </cdr:spPr>
      <cdr:txBody>
        <a:bodyPr xmlns:a="http://schemas.openxmlformats.org/drawingml/2006/main" vert="horz" wrap="square" lIns="45720" tIns="45720" rIns="45720" bIns="45720" rtlCol="0" anchor="t" anchorCtr="0">
          <a:normAutofit/>
        </a:bodyP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zh-CN" altLang="en-US" sz="900">
              <a:solidFill>
                <a:sysClr val="windowText" lastClr="000000"/>
              </a:solidFill>
              <a:latin typeface="楷体" panose="02010609060101010101" pitchFamily="3" charset="-122"/>
              <a:ea typeface="楷体" panose="02010609060101010101" pitchFamily="3" charset="-122"/>
            </a:rPr>
            <a:t>美元</a:t>
          </a:r>
          <a:r>
            <a:rPr lang="en-US" altLang="zh-CN" sz="900">
              <a:solidFill>
                <a:sysClr val="windowText" lastClr="000000"/>
              </a:solidFill>
              <a:latin typeface="楷体" panose="02010609060101010101" pitchFamily="3" charset="-122"/>
              <a:ea typeface="楷体" panose="02010609060101010101" pitchFamily="3" charset="-122"/>
            </a:rPr>
            <a:t>/</a:t>
          </a:r>
          <a:r>
            <a:rPr lang="zh-CN" altLang="en-US" sz="900">
              <a:solidFill>
                <a:sysClr val="windowText" lastClr="000000"/>
              </a:solidFill>
              <a:latin typeface="楷体" panose="02010609060101010101" pitchFamily="3" charset="-122"/>
              <a:ea typeface="楷体" panose="02010609060101010101" pitchFamily="3" charset="-122"/>
            </a:rPr>
            <a:t>吨</a:t>
          </a:r>
          <a:endParaRPr lang="en-US" sz="900">
            <a:solidFill>
              <a:sysClr val="windowText" lastClr="000000"/>
            </a:solidFill>
            <a:latin typeface="楷体" panose="02010609060101010101" pitchFamily="3" charset="-122"/>
            <a:ea typeface="楷体" panose="02010609060101010101" pitchFamily="3" charset="-122"/>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cdr:x>
      <cdr:y>0.81492</cdr:y>
    </cdr:from>
    <cdr:to>
      <cdr:x>1</cdr:x>
      <cdr:y>1</cdr:y>
    </cdr:to>
    <cdr:sp macro="" textlink="">
      <cdr:nvSpPr>
        <cdr:cNvPr id="5" name="TextBox 4"/>
        <cdr:cNvSpPr txBox="1"/>
      </cdr:nvSpPr>
      <cdr:spPr>
        <a:xfrm xmlns:a="http://schemas.openxmlformats.org/drawingml/2006/main">
          <a:off x="0" y="2200275"/>
          <a:ext cx="4320000" cy="4997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zh-CN" altLang="en-US" sz="800">
              <a:latin typeface="Times New Roman" panose="02020603050405020304" pitchFamily="18" charset="0"/>
              <a:ea typeface="楷体" panose="02010609060101010101" pitchFamily="49" charset="-122"/>
              <a:cs typeface="Times New Roman" panose="02020603050405020304" pitchFamily="18" charset="0"/>
            </a:rPr>
            <a:t>数据来源：</a:t>
          </a:r>
          <a:r>
            <a:rPr lang="zh-CN" altLang="en-US" sz="800">
              <a:effectLst/>
              <a:latin typeface="Times New Roman" panose="02020603050405020304" pitchFamily="18" charset="0"/>
              <a:ea typeface="楷体" panose="02010609060101010101" pitchFamily="49" charset="-122"/>
              <a:cs typeface="Times New Roman" panose="02020603050405020304" pitchFamily="18" charset="0"/>
            </a:rPr>
            <a:t>日本财务省，世界经济预测与政策模拟实验室</a:t>
          </a:r>
          <a:endParaRPr lang="en-US" altLang="zh-CN" sz="800">
            <a:effectLst/>
            <a:latin typeface="Times New Roman" panose="02020603050405020304" pitchFamily="18" charset="0"/>
            <a:ea typeface="楷体" panose="02010609060101010101" pitchFamily="49" charset="-122"/>
            <a:cs typeface="Times New Roman" panose="02020603050405020304" pitchFamily="18" charset="0"/>
          </a:endParaRPr>
        </a:p>
      </cdr:txBody>
    </cdr:sp>
  </cdr:relSizeAnchor>
  <cdr:relSizeAnchor xmlns:cdr="http://schemas.openxmlformats.org/drawingml/2006/chartDrawing">
    <cdr:from>
      <cdr:x>0</cdr:x>
      <cdr:y>0.81492</cdr:y>
    </cdr:from>
    <cdr:to>
      <cdr:x>1</cdr:x>
      <cdr:y>1</cdr:y>
    </cdr:to>
    <cdr:sp macro="" textlink="">
      <cdr:nvSpPr>
        <cdr:cNvPr id="2" name="TextBox 4"/>
        <cdr:cNvSpPr txBox="1"/>
      </cdr:nvSpPr>
      <cdr:spPr>
        <a:xfrm xmlns:a="http://schemas.openxmlformats.org/drawingml/2006/main">
          <a:off x="0" y="2200275"/>
          <a:ext cx="4320000" cy="4997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zh-CN" altLang="en-US" sz="800">
              <a:latin typeface="Times New Roman" panose="02020603050405020304" pitchFamily="18" charset="0"/>
              <a:ea typeface="楷体" panose="02010609060101010101" pitchFamily="49" charset="-122"/>
              <a:cs typeface="Times New Roman" panose="02020603050405020304" pitchFamily="18" charset="0"/>
            </a:rPr>
            <a:t>数据来源：</a:t>
          </a:r>
          <a:r>
            <a:rPr lang="zh-CN" altLang="en-US" sz="800">
              <a:effectLst/>
              <a:latin typeface="Times New Roman" panose="02020603050405020304" pitchFamily="18" charset="0"/>
              <a:ea typeface="楷体" panose="02010609060101010101" pitchFamily="49" charset="-122"/>
              <a:cs typeface="Times New Roman" panose="02020603050405020304" pitchFamily="18" charset="0"/>
            </a:rPr>
            <a:t>日本财务省，世界经济预测与政策模拟实验室。</a:t>
          </a:r>
          <a:endParaRPr lang="en-US" altLang="zh-CN" sz="800">
            <a:effectLst/>
            <a:latin typeface="Times New Roman" panose="02020603050405020304" pitchFamily="18" charset="0"/>
            <a:ea typeface="楷体" panose="02010609060101010101" pitchFamily="49" charset="-122"/>
            <a:cs typeface="Times New Roman" panose="02020603050405020304" pitchFamily="18" charset="0"/>
          </a:endParaRPr>
        </a:p>
      </cdr:txBody>
    </cdr:sp>
  </cdr:relSizeAnchor>
  <cdr:relSizeAnchor xmlns:cdr="http://schemas.openxmlformats.org/drawingml/2006/chartDrawing">
    <cdr:from>
      <cdr:x>0</cdr:x>
      <cdr:y>0.81492</cdr:y>
    </cdr:from>
    <cdr:to>
      <cdr:x>1</cdr:x>
      <cdr:y>1</cdr:y>
    </cdr:to>
    <cdr:sp macro="" textlink="">
      <cdr:nvSpPr>
        <cdr:cNvPr id="3" name="TextBox 4"/>
        <cdr:cNvSpPr txBox="1"/>
      </cdr:nvSpPr>
      <cdr:spPr>
        <a:xfrm xmlns:a="http://schemas.openxmlformats.org/drawingml/2006/main">
          <a:off x="0" y="2200275"/>
          <a:ext cx="4320000" cy="4997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zh-CN" altLang="en-US" sz="800">
              <a:latin typeface="Times New Roman" panose="02020603050405020304" pitchFamily="18" charset="0"/>
              <a:ea typeface="楷体" panose="02010609060101010101" pitchFamily="49" charset="-122"/>
              <a:cs typeface="Times New Roman" panose="02020603050405020304" pitchFamily="18" charset="0"/>
            </a:rPr>
            <a:t>数据来源：</a:t>
          </a:r>
          <a:r>
            <a:rPr lang="zh-CN" altLang="en-US" sz="800">
              <a:effectLst/>
              <a:latin typeface="Times New Roman" panose="02020603050405020304" pitchFamily="18" charset="0"/>
              <a:ea typeface="楷体" panose="02010609060101010101" pitchFamily="49" charset="-122"/>
              <a:cs typeface="Times New Roman" panose="02020603050405020304" pitchFamily="18" charset="0"/>
            </a:rPr>
            <a:t>日本财务省，世界经济预测与政策模拟实验室</a:t>
          </a:r>
          <a:endParaRPr lang="en-US" altLang="zh-CN" sz="800">
            <a:effectLst/>
            <a:latin typeface="Times New Roman" panose="02020603050405020304" pitchFamily="18" charset="0"/>
            <a:ea typeface="楷体" panose="02010609060101010101" pitchFamily="49" charset="-122"/>
            <a:cs typeface="Times New Roman" panose="02020603050405020304" pitchFamily="18" charset="0"/>
          </a:endParaRPr>
        </a:p>
      </cdr:txBody>
    </cdr:sp>
  </cdr:relSizeAnchor>
  <cdr:relSizeAnchor xmlns:cdr="http://schemas.openxmlformats.org/drawingml/2006/chartDrawing">
    <cdr:from>
      <cdr:x>0</cdr:x>
      <cdr:y>0.81492</cdr:y>
    </cdr:from>
    <cdr:to>
      <cdr:x>1</cdr:x>
      <cdr:y>1</cdr:y>
    </cdr:to>
    <cdr:sp macro="" textlink="">
      <cdr:nvSpPr>
        <cdr:cNvPr id="4" name="TextBox 4"/>
        <cdr:cNvSpPr txBox="1"/>
      </cdr:nvSpPr>
      <cdr:spPr>
        <a:xfrm xmlns:a="http://schemas.openxmlformats.org/drawingml/2006/main">
          <a:off x="0" y="2200275"/>
          <a:ext cx="4320000" cy="4997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zh-CN" altLang="en-US" sz="800">
              <a:latin typeface="Times New Roman" panose="02020603050405020304" pitchFamily="18" charset="0"/>
              <a:ea typeface="楷体" panose="02010609060101010101" pitchFamily="49" charset="-122"/>
              <a:cs typeface="Times New Roman" panose="02020603050405020304" pitchFamily="18" charset="0"/>
            </a:rPr>
            <a:t>数据来源：</a:t>
          </a:r>
          <a:r>
            <a:rPr lang="zh-CN" altLang="en-US" sz="800">
              <a:effectLst/>
              <a:latin typeface="Times New Roman" panose="02020603050405020304" pitchFamily="18" charset="0"/>
              <a:ea typeface="楷体" panose="02010609060101010101" pitchFamily="49" charset="-122"/>
              <a:cs typeface="Times New Roman" panose="02020603050405020304" pitchFamily="18" charset="0"/>
            </a:rPr>
            <a:t>日本财务省，世界经济预测与政策模拟实验室。</a:t>
          </a:r>
          <a:endParaRPr lang="en-US" altLang="zh-CN" sz="800">
            <a:effectLst/>
            <a:latin typeface="Times New Roman" panose="02020603050405020304" pitchFamily="18" charset="0"/>
            <a:ea typeface="楷体" panose="02010609060101010101" pitchFamily="49" charset="-122"/>
            <a:cs typeface="Times New Roman" panose="02020603050405020304" pitchFamily="18" charset="0"/>
          </a:endParaRPr>
        </a:p>
      </cdr:txBody>
    </cdr:sp>
  </cdr:relSizeAnchor>
  <cdr:relSizeAnchor xmlns:cdr="http://schemas.openxmlformats.org/drawingml/2006/chartDrawing">
    <cdr:from>
      <cdr:x>0</cdr:x>
      <cdr:y>0.81492</cdr:y>
    </cdr:from>
    <cdr:to>
      <cdr:x>1</cdr:x>
      <cdr:y>1</cdr:y>
    </cdr:to>
    <cdr:sp macro="" textlink="">
      <cdr:nvSpPr>
        <cdr:cNvPr id="6" name="TextBox 4"/>
        <cdr:cNvSpPr txBox="1"/>
      </cdr:nvSpPr>
      <cdr:spPr>
        <a:xfrm xmlns:a="http://schemas.openxmlformats.org/drawingml/2006/main">
          <a:off x="0" y="2200275"/>
          <a:ext cx="4320000" cy="4997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zh-CN" altLang="en-US" sz="800">
              <a:latin typeface="Times New Roman" panose="02020603050405020304" pitchFamily="18" charset="0"/>
              <a:ea typeface="楷体" panose="02010609060101010101" pitchFamily="49" charset="-122"/>
              <a:cs typeface="Times New Roman" panose="02020603050405020304" pitchFamily="18" charset="0"/>
            </a:rPr>
            <a:t>数据来源：</a:t>
          </a:r>
          <a:r>
            <a:rPr lang="zh-CN" altLang="en-US" sz="800">
              <a:effectLst/>
              <a:latin typeface="Times New Roman" panose="02020603050405020304" pitchFamily="18" charset="0"/>
              <a:ea typeface="楷体" panose="02010609060101010101" pitchFamily="49" charset="-122"/>
              <a:cs typeface="Times New Roman" panose="02020603050405020304" pitchFamily="18" charset="0"/>
            </a:rPr>
            <a:t>日本财务省，世界经济预测与政策模拟实验室</a:t>
          </a:r>
          <a:endParaRPr lang="en-US" altLang="zh-CN" sz="800">
            <a:effectLst/>
            <a:latin typeface="Times New Roman" panose="02020603050405020304" pitchFamily="18" charset="0"/>
            <a:ea typeface="楷体" panose="02010609060101010101" pitchFamily="49" charset="-122"/>
            <a:cs typeface="Times New Roman" panose="02020603050405020304" pitchFamily="18" charset="0"/>
          </a:endParaRPr>
        </a:p>
      </cdr:txBody>
    </cdr:sp>
  </cdr:relSizeAnchor>
  <cdr:relSizeAnchor xmlns:cdr="http://schemas.openxmlformats.org/drawingml/2006/chartDrawing">
    <cdr:from>
      <cdr:x>0</cdr:x>
      <cdr:y>0.81492</cdr:y>
    </cdr:from>
    <cdr:to>
      <cdr:x>1</cdr:x>
      <cdr:y>1</cdr:y>
    </cdr:to>
    <cdr:sp macro="" textlink="">
      <cdr:nvSpPr>
        <cdr:cNvPr id="7" name="TextBox 4"/>
        <cdr:cNvSpPr txBox="1"/>
      </cdr:nvSpPr>
      <cdr:spPr>
        <a:xfrm xmlns:a="http://schemas.openxmlformats.org/drawingml/2006/main">
          <a:off x="0" y="2200275"/>
          <a:ext cx="4320000" cy="4997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zh-CN" altLang="en-US" sz="800">
              <a:latin typeface="Times New Roman" panose="02020603050405020304" pitchFamily="18" charset="0"/>
              <a:ea typeface="楷体" panose="02010609060101010101" pitchFamily="49" charset="-122"/>
              <a:cs typeface="Times New Roman" panose="02020603050405020304" pitchFamily="18" charset="0"/>
            </a:rPr>
            <a:t>数据来源：</a:t>
          </a:r>
          <a:r>
            <a:rPr lang="zh-CN" altLang="en-US" sz="800">
              <a:effectLst/>
              <a:latin typeface="Times New Roman" panose="02020603050405020304" pitchFamily="18" charset="0"/>
              <a:ea typeface="楷体" panose="02010609060101010101" pitchFamily="49" charset="-122"/>
              <a:cs typeface="Times New Roman" panose="02020603050405020304" pitchFamily="18" charset="0"/>
            </a:rPr>
            <a:t>日本财务省，世界经济预测与政策模拟实验室。</a:t>
          </a:r>
          <a:endParaRPr lang="en-US" altLang="zh-CN" sz="800">
            <a:effectLst/>
            <a:latin typeface="Times New Roman" panose="02020603050405020304" pitchFamily="18" charset="0"/>
            <a:ea typeface="楷体" panose="02010609060101010101" pitchFamily="49" charset="-122"/>
            <a:cs typeface="Times New Roman" panose="02020603050405020304" pitchFamily="18" charset="0"/>
          </a:endParaRPr>
        </a:p>
      </cdr:txBody>
    </cdr:sp>
  </cdr:relSizeAnchor>
  <cdr:relSizeAnchor xmlns:cdr="http://schemas.openxmlformats.org/drawingml/2006/chartDrawing">
    <cdr:from>
      <cdr:x>0.61671</cdr:x>
      <cdr:y>0.57473</cdr:y>
    </cdr:from>
    <cdr:to>
      <cdr:x>0.79584</cdr:x>
      <cdr:y>0.67583</cdr:y>
    </cdr:to>
    <cdr:sp macro="" textlink="">
      <cdr:nvSpPr>
        <cdr:cNvPr id="8" name="TextBox 7"/>
        <cdr:cNvSpPr txBox="1"/>
      </cdr:nvSpPr>
      <cdr:spPr>
        <a:xfrm xmlns:a="http://schemas.openxmlformats.org/drawingml/2006/main">
          <a:off x="2772615" y="1650313"/>
          <a:ext cx="805333" cy="29030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zh-CN" altLang="en-US" sz="800">
              <a:latin typeface="楷体" pitchFamily="49" charset="-122"/>
              <a:ea typeface="楷体" pitchFamily="49" charset="-122"/>
            </a:rPr>
            <a:t>净出口</a:t>
          </a:r>
          <a:endParaRPr lang="ja-JP" altLang="en-US" sz="800">
            <a:latin typeface="楷体" pitchFamily="49" charset="-122"/>
            <a:ea typeface="楷体" pitchFamily="49" charset="-122"/>
          </a:endParaRPr>
        </a:p>
      </cdr:txBody>
    </cdr:sp>
  </cdr:relSizeAnchor>
  <cdr:relSizeAnchor xmlns:cdr="http://schemas.openxmlformats.org/drawingml/2006/chartDrawing">
    <cdr:from>
      <cdr:x>0</cdr:x>
      <cdr:y>0.81492</cdr:y>
    </cdr:from>
    <cdr:to>
      <cdr:x>1</cdr:x>
      <cdr:y>1</cdr:y>
    </cdr:to>
    <cdr:sp macro="" textlink="">
      <cdr:nvSpPr>
        <cdr:cNvPr id="9" name="TextBox 4"/>
        <cdr:cNvSpPr txBox="1"/>
      </cdr:nvSpPr>
      <cdr:spPr>
        <a:xfrm xmlns:a="http://schemas.openxmlformats.org/drawingml/2006/main">
          <a:off x="0" y="2200275"/>
          <a:ext cx="4320000" cy="4997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zh-CN" altLang="en-US" sz="800">
              <a:latin typeface="Times New Roman" panose="02020603050405020304" pitchFamily="18" charset="0"/>
              <a:ea typeface="楷体" panose="02010609060101010101" pitchFamily="49" charset="-122"/>
              <a:cs typeface="Times New Roman" panose="02020603050405020304" pitchFamily="18" charset="0"/>
            </a:rPr>
            <a:t>数据来源：</a:t>
          </a:r>
          <a:r>
            <a:rPr lang="zh-CN" altLang="en-US" sz="800">
              <a:effectLst/>
              <a:latin typeface="Times New Roman" panose="02020603050405020304" pitchFamily="18" charset="0"/>
              <a:ea typeface="楷体" panose="02010609060101010101" pitchFamily="49" charset="-122"/>
              <a:cs typeface="Times New Roman" panose="02020603050405020304" pitchFamily="18" charset="0"/>
            </a:rPr>
            <a:t>日本财务省，世界经济预测与政策模拟实验室</a:t>
          </a:r>
          <a:endParaRPr lang="en-US" altLang="zh-CN" sz="800">
            <a:effectLst/>
            <a:latin typeface="Times New Roman" panose="02020603050405020304" pitchFamily="18" charset="0"/>
            <a:ea typeface="楷体" panose="02010609060101010101" pitchFamily="49" charset="-122"/>
            <a:cs typeface="Times New Roman" panose="02020603050405020304" pitchFamily="18" charset="0"/>
          </a:endParaRPr>
        </a:p>
      </cdr:txBody>
    </cdr:sp>
  </cdr:relSizeAnchor>
  <cdr:relSizeAnchor xmlns:cdr="http://schemas.openxmlformats.org/drawingml/2006/chartDrawing">
    <cdr:from>
      <cdr:x>0</cdr:x>
      <cdr:y>0.81492</cdr:y>
    </cdr:from>
    <cdr:to>
      <cdr:x>1</cdr:x>
      <cdr:y>1</cdr:y>
    </cdr:to>
    <cdr:sp macro="" textlink="">
      <cdr:nvSpPr>
        <cdr:cNvPr id="10" name="TextBox 4"/>
        <cdr:cNvSpPr txBox="1"/>
      </cdr:nvSpPr>
      <cdr:spPr>
        <a:xfrm xmlns:a="http://schemas.openxmlformats.org/drawingml/2006/main">
          <a:off x="0" y="2200275"/>
          <a:ext cx="4320000" cy="4997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zh-CN" altLang="en-US" sz="800">
              <a:latin typeface="Times New Roman" panose="02020603050405020304" pitchFamily="18" charset="0"/>
              <a:ea typeface="楷体" panose="02010609060101010101" pitchFamily="49" charset="-122"/>
              <a:cs typeface="Times New Roman" panose="02020603050405020304" pitchFamily="18" charset="0"/>
            </a:rPr>
            <a:t>数据来源：</a:t>
          </a:r>
          <a:r>
            <a:rPr lang="zh-CN" altLang="en-US" sz="800">
              <a:effectLst/>
              <a:latin typeface="Times New Roman" panose="02020603050405020304" pitchFamily="18" charset="0"/>
              <a:ea typeface="楷体" panose="02010609060101010101" pitchFamily="49" charset="-122"/>
              <a:cs typeface="Times New Roman" panose="02020603050405020304" pitchFamily="18" charset="0"/>
            </a:rPr>
            <a:t>日本财务省，世界经济预测与政策模拟实验室。</a:t>
          </a:r>
          <a:endParaRPr lang="en-US" altLang="zh-CN" sz="800">
            <a:effectLst/>
            <a:latin typeface="Times New Roman" panose="02020603050405020304" pitchFamily="18" charset="0"/>
            <a:ea typeface="楷体" panose="02010609060101010101" pitchFamily="49" charset="-122"/>
            <a:cs typeface="Times New Roman" panose="02020603050405020304" pitchFamily="18" charset="0"/>
          </a:endParaRPr>
        </a:p>
      </cdr:txBody>
    </cdr:sp>
  </cdr:relSizeAnchor>
  <cdr:relSizeAnchor xmlns:cdr="http://schemas.openxmlformats.org/drawingml/2006/chartDrawing">
    <cdr:from>
      <cdr:x>0</cdr:x>
      <cdr:y>0.81492</cdr:y>
    </cdr:from>
    <cdr:to>
      <cdr:x>1</cdr:x>
      <cdr:y>1</cdr:y>
    </cdr:to>
    <cdr:sp macro="" textlink="">
      <cdr:nvSpPr>
        <cdr:cNvPr id="11" name="TextBox 4"/>
        <cdr:cNvSpPr txBox="1"/>
      </cdr:nvSpPr>
      <cdr:spPr>
        <a:xfrm xmlns:a="http://schemas.openxmlformats.org/drawingml/2006/main">
          <a:off x="0" y="2200275"/>
          <a:ext cx="4320000" cy="4997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zh-CN" altLang="en-US" sz="800">
              <a:latin typeface="Times New Roman" panose="02020603050405020304" pitchFamily="18" charset="0"/>
              <a:ea typeface="楷体" panose="02010609060101010101" pitchFamily="49" charset="-122"/>
              <a:cs typeface="Times New Roman" panose="02020603050405020304" pitchFamily="18" charset="0"/>
            </a:rPr>
            <a:t>数据来源：</a:t>
          </a:r>
          <a:r>
            <a:rPr lang="zh-CN" altLang="en-US" sz="800">
              <a:effectLst/>
              <a:latin typeface="Times New Roman" panose="02020603050405020304" pitchFamily="18" charset="0"/>
              <a:ea typeface="楷体" panose="02010609060101010101" pitchFamily="49" charset="-122"/>
              <a:cs typeface="Times New Roman" panose="02020603050405020304" pitchFamily="18" charset="0"/>
            </a:rPr>
            <a:t>日本财务省，世界经济预测与政策模拟实验室</a:t>
          </a:r>
          <a:endParaRPr lang="en-US" altLang="zh-CN" sz="800">
            <a:effectLst/>
            <a:latin typeface="Times New Roman" panose="02020603050405020304" pitchFamily="18" charset="0"/>
            <a:ea typeface="楷体" panose="02010609060101010101" pitchFamily="49" charset="-122"/>
            <a:cs typeface="Times New Roman" panose="02020603050405020304" pitchFamily="18" charset="0"/>
          </a:endParaRPr>
        </a:p>
      </cdr:txBody>
    </cdr:sp>
  </cdr:relSizeAnchor>
  <cdr:relSizeAnchor xmlns:cdr="http://schemas.openxmlformats.org/drawingml/2006/chartDrawing">
    <cdr:from>
      <cdr:x>0</cdr:x>
      <cdr:y>0.81492</cdr:y>
    </cdr:from>
    <cdr:to>
      <cdr:x>1</cdr:x>
      <cdr:y>1</cdr:y>
    </cdr:to>
    <cdr:sp macro="" textlink="">
      <cdr:nvSpPr>
        <cdr:cNvPr id="12" name="TextBox 4"/>
        <cdr:cNvSpPr txBox="1"/>
      </cdr:nvSpPr>
      <cdr:spPr>
        <a:xfrm xmlns:a="http://schemas.openxmlformats.org/drawingml/2006/main">
          <a:off x="0" y="2200275"/>
          <a:ext cx="4320000" cy="4997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zh-CN" altLang="en-US" sz="800">
              <a:latin typeface="Times New Roman" panose="02020603050405020304" pitchFamily="18" charset="0"/>
              <a:ea typeface="楷体" panose="02010609060101010101" pitchFamily="49" charset="-122"/>
              <a:cs typeface="Times New Roman" panose="02020603050405020304" pitchFamily="18" charset="0"/>
            </a:rPr>
            <a:t>数据来源：</a:t>
          </a:r>
          <a:r>
            <a:rPr lang="zh-CN" altLang="en-US" sz="800">
              <a:effectLst/>
              <a:latin typeface="Times New Roman" panose="02020603050405020304" pitchFamily="18" charset="0"/>
              <a:ea typeface="楷体" panose="02010609060101010101" pitchFamily="49" charset="-122"/>
              <a:cs typeface="Times New Roman" panose="02020603050405020304" pitchFamily="18" charset="0"/>
            </a:rPr>
            <a:t>日本财务省，世界经济预测与政策模拟实验室。</a:t>
          </a:r>
          <a:endParaRPr lang="en-US" altLang="zh-CN" sz="800">
            <a:effectLst/>
            <a:latin typeface="Times New Roman" panose="02020603050405020304" pitchFamily="18" charset="0"/>
            <a:ea typeface="楷体" panose="02010609060101010101" pitchFamily="49" charset="-122"/>
            <a:cs typeface="Times New Roman" panose="02020603050405020304" pitchFamily="18" charset="0"/>
          </a:endParaRPr>
        </a:p>
      </cdr:txBody>
    </cdr:sp>
  </cdr:relSizeAnchor>
  <cdr:relSizeAnchor xmlns:cdr="http://schemas.openxmlformats.org/drawingml/2006/chartDrawing">
    <cdr:from>
      <cdr:x>0</cdr:x>
      <cdr:y>0.81492</cdr:y>
    </cdr:from>
    <cdr:to>
      <cdr:x>1</cdr:x>
      <cdr:y>1</cdr:y>
    </cdr:to>
    <cdr:sp macro="" textlink="">
      <cdr:nvSpPr>
        <cdr:cNvPr id="13" name="TextBox 4"/>
        <cdr:cNvSpPr txBox="1"/>
      </cdr:nvSpPr>
      <cdr:spPr>
        <a:xfrm xmlns:a="http://schemas.openxmlformats.org/drawingml/2006/main">
          <a:off x="0" y="2200275"/>
          <a:ext cx="4320000" cy="4997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zh-CN" altLang="en-US" sz="800">
              <a:latin typeface="Times New Roman" panose="02020603050405020304" pitchFamily="18" charset="0"/>
              <a:ea typeface="楷体" panose="02010609060101010101" pitchFamily="49" charset="-122"/>
              <a:cs typeface="Times New Roman" panose="02020603050405020304" pitchFamily="18" charset="0"/>
            </a:rPr>
            <a:t>数据来源：</a:t>
          </a:r>
          <a:r>
            <a:rPr lang="zh-CN" altLang="en-US" sz="800">
              <a:effectLst/>
              <a:latin typeface="Times New Roman" panose="02020603050405020304" pitchFamily="18" charset="0"/>
              <a:ea typeface="楷体" panose="02010609060101010101" pitchFamily="49" charset="-122"/>
              <a:cs typeface="Times New Roman" panose="02020603050405020304" pitchFamily="18" charset="0"/>
            </a:rPr>
            <a:t>日本财务省，世界经济预测与政策模拟实验室</a:t>
          </a:r>
          <a:endParaRPr lang="en-US" altLang="zh-CN" sz="800">
            <a:effectLst/>
            <a:latin typeface="Times New Roman" panose="02020603050405020304" pitchFamily="18" charset="0"/>
            <a:ea typeface="楷体" panose="02010609060101010101" pitchFamily="49" charset="-122"/>
            <a:cs typeface="Times New Roman" panose="02020603050405020304" pitchFamily="18" charset="0"/>
          </a:endParaRPr>
        </a:p>
      </cdr:txBody>
    </cdr:sp>
  </cdr:relSizeAnchor>
  <cdr:relSizeAnchor xmlns:cdr="http://schemas.openxmlformats.org/drawingml/2006/chartDrawing">
    <cdr:from>
      <cdr:x>0</cdr:x>
      <cdr:y>0.81492</cdr:y>
    </cdr:from>
    <cdr:to>
      <cdr:x>1</cdr:x>
      <cdr:y>1</cdr:y>
    </cdr:to>
    <cdr:sp macro="" textlink="">
      <cdr:nvSpPr>
        <cdr:cNvPr id="14" name="TextBox 4"/>
        <cdr:cNvSpPr txBox="1"/>
      </cdr:nvSpPr>
      <cdr:spPr>
        <a:xfrm xmlns:a="http://schemas.openxmlformats.org/drawingml/2006/main">
          <a:off x="0" y="2200275"/>
          <a:ext cx="4320000" cy="4997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zh-CN" altLang="en-US" sz="800">
              <a:latin typeface="Times New Roman" panose="02020603050405020304" pitchFamily="18" charset="0"/>
              <a:ea typeface="楷体" panose="02010609060101010101" pitchFamily="49" charset="-122"/>
              <a:cs typeface="Times New Roman" panose="02020603050405020304" pitchFamily="18" charset="0"/>
            </a:rPr>
            <a:t>数据来源：</a:t>
          </a:r>
          <a:r>
            <a:rPr lang="zh-CN" altLang="en-US" sz="800">
              <a:effectLst/>
              <a:latin typeface="Times New Roman" panose="02020603050405020304" pitchFamily="18" charset="0"/>
              <a:ea typeface="楷体" panose="02010609060101010101" pitchFamily="49" charset="-122"/>
              <a:cs typeface="Times New Roman" panose="02020603050405020304" pitchFamily="18" charset="0"/>
            </a:rPr>
            <a:t>日本财务省，世界经济预测与政策模拟实验室。</a:t>
          </a:r>
          <a:endParaRPr lang="en-US" altLang="zh-CN" sz="800">
            <a:effectLst/>
            <a:latin typeface="Times New Roman" panose="02020603050405020304" pitchFamily="18" charset="0"/>
            <a:ea typeface="楷体" panose="02010609060101010101" pitchFamily="49" charset="-122"/>
            <a:cs typeface="Times New Roman" panose="02020603050405020304" pitchFamily="18" charset="0"/>
          </a:endParaRPr>
        </a:p>
      </cdr:txBody>
    </cdr:sp>
  </cdr:relSizeAnchor>
  <cdr:relSizeAnchor xmlns:cdr="http://schemas.openxmlformats.org/drawingml/2006/chartDrawing">
    <cdr:from>
      <cdr:x>0.81003</cdr:x>
      <cdr:y>0.23109</cdr:y>
    </cdr:from>
    <cdr:to>
      <cdr:x>0.93927</cdr:x>
      <cdr:y>0.31402</cdr:y>
    </cdr:to>
    <cdr:sp macro="" textlink="">
      <cdr:nvSpPr>
        <cdr:cNvPr id="16" name="TextBox 15"/>
        <cdr:cNvSpPr txBox="1"/>
      </cdr:nvSpPr>
      <cdr:spPr>
        <a:xfrm xmlns:a="http://schemas.openxmlformats.org/drawingml/2006/main">
          <a:off x="3641724" y="663575"/>
          <a:ext cx="581025" cy="238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zh-CN" altLang="en-US" sz="800">
              <a:latin typeface="楷体" pitchFamily="49" charset="-122"/>
              <a:ea typeface="楷体" pitchFamily="49" charset="-122"/>
            </a:rPr>
            <a:t>出口</a:t>
          </a:r>
          <a:endParaRPr lang="ja-JP" altLang="en-US" sz="800">
            <a:latin typeface="楷体" pitchFamily="49" charset="-122"/>
            <a:ea typeface="楷体" pitchFamily="49" charset="-122"/>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cdr:x>
      <cdr:y>0.91655</cdr:y>
    </cdr:from>
    <cdr:to>
      <cdr:x>1</cdr:x>
      <cdr:y>1</cdr:y>
    </cdr:to>
    <cdr:sp macro="" textlink="">
      <cdr:nvSpPr>
        <cdr:cNvPr id="5" name="TextBox 4"/>
        <cdr:cNvSpPr txBox="1"/>
      </cdr:nvSpPr>
      <cdr:spPr>
        <a:xfrm xmlns:a="http://schemas.openxmlformats.org/drawingml/2006/main">
          <a:off x="0" y="2301875"/>
          <a:ext cx="4320000" cy="2095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zh-CN" altLang="en-US" sz="800">
              <a:latin typeface="Times New Roman" panose="02020603050405020304" pitchFamily="18" charset="0"/>
              <a:ea typeface="楷体" panose="02010609060101010101" pitchFamily="49" charset="-122"/>
              <a:cs typeface="Times New Roman" panose="02020603050405020304" pitchFamily="18" charset="0"/>
            </a:rPr>
            <a:t>数据来源：</a:t>
          </a:r>
          <a:r>
            <a:rPr lang="zh-CN" altLang="en-US" sz="800">
              <a:effectLst/>
              <a:latin typeface="Times New Roman" panose="02020603050405020304" pitchFamily="18" charset="0"/>
              <a:ea typeface="楷体" panose="02010609060101010101" pitchFamily="49" charset="-122"/>
              <a:cs typeface="Times New Roman" panose="02020603050405020304" pitchFamily="18" charset="0"/>
            </a:rPr>
            <a:t> 日本总务省，日本银行，世界经济预测与政策模拟实验室。</a:t>
          </a:r>
          <a:endParaRPr lang="zh-CN" altLang="en-US" sz="1100"/>
        </a:p>
      </cdr:txBody>
    </cdr:sp>
  </cdr:relSizeAnchor>
</c:userShapes>
</file>

<file path=word/drawings/drawing5.xml><?xml version="1.0" encoding="utf-8"?>
<c:userShapes xmlns:c="http://schemas.openxmlformats.org/drawingml/2006/chart">
  <cdr:relSizeAnchor xmlns:cdr="http://schemas.openxmlformats.org/drawingml/2006/chartDrawing">
    <cdr:from>
      <cdr:x>0</cdr:x>
      <cdr:y>0.79531</cdr:y>
    </cdr:from>
    <cdr:to>
      <cdr:x>1</cdr:x>
      <cdr:y>0.98989</cdr:y>
    </cdr:to>
    <cdr:sp macro="" textlink="">
      <cdr:nvSpPr>
        <cdr:cNvPr id="5" name="TextBox 4"/>
        <cdr:cNvSpPr txBox="1"/>
      </cdr:nvSpPr>
      <cdr:spPr>
        <a:xfrm xmlns:a="http://schemas.openxmlformats.org/drawingml/2006/main">
          <a:off x="0" y="2368551"/>
          <a:ext cx="4320000" cy="57948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zh-CN" altLang="en-US" sz="800">
              <a:latin typeface="Times New Roman" panose="02020603050405020304" pitchFamily="18" charset="0"/>
              <a:ea typeface="楷体" panose="02010609060101010101" pitchFamily="49" charset="-122"/>
              <a:cs typeface="Times New Roman" panose="02020603050405020304" pitchFamily="18" charset="0"/>
            </a:rPr>
            <a:t>数据来源：</a:t>
          </a:r>
          <a:r>
            <a:rPr lang="en-US" altLang="zh-CN" sz="800">
              <a:effectLst/>
              <a:latin typeface="Times New Roman" panose="02020603050405020304" pitchFamily="18" charset="0"/>
              <a:ea typeface="楷体" panose="02010609060101010101" pitchFamily="49" charset="-122"/>
              <a:cs typeface="Times New Roman" panose="02020603050405020304" pitchFamily="18" charset="0"/>
            </a:rPr>
            <a:t>Wind</a:t>
          </a:r>
          <a:r>
            <a:rPr lang="zh-CN" altLang="en-US" sz="800">
              <a:effectLst/>
              <a:latin typeface="Times New Roman" panose="02020603050405020304" pitchFamily="18" charset="0"/>
              <a:ea typeface="楷体" panose="02010609060101010101" pitchFamily="49" charset="-122"/>
              <a:cs typeface="Times New Roman" panose="02020603050405020304" pitchFamily="18" charset="0"/>
            </a:rPr>
            <a:t>，日本银行，国际清算银行，世界经济预测与政策模拟实验室。</a:t>
          </a:r>
          <a:endParaRPr lang="en-US" altLang="zh-CN" sz="800">
            <a:effectLst/>
            <a:latin typeface="Times New Roman" panose="02020603050405020304" pitchFamily="18" charset="0"/>
            <a:ea typeface="楷体" panose="02010609060101010101" pitchFamily="49" charset="-122"/>
            <a:cs typeface="Times New Roman" panose="02020603050405020304" pitchFamily="18" charset="0"/>
          </a:endParaRPr>
        </a:p>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zh-CN" altLang="en-US" sz="800">
              <a:effectLst/>
              <a:latin typeface="Times New Roman" panose="02020603050405020304" pitchFamily="18" charset="0"/>
              <a:ea typeface="楷体" panose="02010609060101010101" pitchFamily="49" charset="-122"/>
              <a:cs typeface="Times New Roman" panose="02020603050405020304" pitchFamily="18" charset="0"/>
            </a:rPr>
            <a:t>注：美元兑日元汇率月度数据为当月最后一个交易日收盘值。日经</a:t>
          </a:r>
          <a:r>
            <a:rPr lang="en-US" altLang="zh-CN" sz="800">
              <a:effectLst/>
              <a:latin typeface="Times New Roman" panose="02020603050405020304" pitchFamily="18" charset="0"/>
              <a:ea typeface="楷体" panose="02010609060101010101" pitchFamily="49" charset="-122"/>
              <a:cs typeface="Times New Roman" panose="02020603050405020304" pitchFamily="18" charset="0"/>
            </a:rPr>
            <a:t>225</a:t>
          </a:r>
          <a:r>
            <a:rPr lang="zh-CN" altLang="en-US" sz="800">
              <a:effectLst/>
              <a:latin typeface="Times New Roman" panose="02020603050405020304" pitchFamily="18" charset="0"/>
              <a:ea typeface="楷体" panose="02010609060101010101" pitchFamily="49" charset="-122"/>
              <a:cs typeface="Times New Roman" panose="02020603050405020304" pitchFamily="18" charset="0"/>
            </a:rPr>
            <a:t>指数为月度最后一个交易日值。</a:t>
          </a:r>
          <a:endParaRPr lang="zh-CN" altLang="en-US" sz="1100"/>
        </a:p>
      </cdr:txBody>
    </cdr:sp>
  </cdr:relSizeAnchor>
</c:userShapes>
</file>

<file path=word/drawings/drawing6.xml><?xml version="1.0" encoding="utf-8"?>
<c:userShapes xmlns:c="http://schemas.openxmlformats.org/drawingml/2006/chart">
  <cdr:relSizeAnchor xmlns:cdr="http://schemas.openxmlformats.org/drawingml/2006/chartDrawing">
    <cdr:from>
      <cdr:x>0</cdr:x>
      <cdr:y>0.85525</cdr:y>
    </cdr:from>
    <cdr:to>
      <cdr:x>1</cdr:x>
      <cdr:y>1</cdr:y>
    </cdr:to>
    <cdr:sp macro="" textlink="">
      <cdr:nvSpPr>
        <cdr:cNvPr id="5" name="TextBox 4"/>
        <cdr:cNvSpPr txBox="1"/>
      </cdr:nvSpPr>
      <cdr:spPr>
        <a:xfrm xmlns:a="http://schemas.openxmlformats.org/drawingml/2006/main">
          <a:off x="0" y="2301876"/>
          <a:ext cx="4320000" cy="38957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zh-CN" altLang="en-US" sz="800">
              <a:latin typeface="Times New Roman" panose="02020603050405020304" pitchFamily="18" charset="0"/>
              <a:ea typeface="楷体" panose="02010609060101010101" pitchFamily="49" charset="-122"/>
              <a:cs typeface="Times New Roman" panose="02020603050405020304" pitchFamily="18" charset="0"/>
            </a:rPr>
            <a:t>数据来源：</a:t>
          </a:r>
          <a:r>
            <a:rPr lang="zh-CN" altLang="en-US" sz="800">
              <a:effectLst/>
              <a:latin typeface="Times New Roman" panose="02020603050405020304" pitchFamily="18" charset="0"/>
              <a:ea typeface="楷体" panose="02010609060101010101" pitchFamily="49" charset="-122"/>
              <a:cs typeface="Times New Roman" panose="02020603050405020304" pitchFamily="18" charset="0"/>
            </a:rPr>
            <a:t>日本财务省，日本银行，世界经济预测与政策模拟实验室。</a:t>
          </a:r>
          <a:endParaRPr lang="en-US" altLang="zh-CN" sz="800">
            <a:effectLst/>
            <a:latin typeface="Times New Roman" panose="02020603050405020304" pitchFamily="18" charset="0"/>
            <a:ea typeface="楷体" panose="02010609060101010101" pitchFamily="49" charset="-122"/>
            <a:cs typeface="Times New Roman" panose="02020603050405020304" pitchFamily="18" charset="0"/>
          </a:endParaRPr>
        </a:p>
      </cdr:txBody>
    </cdr:sp>
  </cdr:relSizeAnchor>
</c:userShapes>
</file>

<file path=word/drawings/drawing7.xml><?xml version="1.0" encoding="utf-8"?>
<c:userShapes xmlns:c="http://schemas.openxmlformats.org/drawingml/2006/chart">
  <cdr:relSizeAnchor xmlns:cdr="http://schemas.openxmlformats.org/drawingml/2006/chartDrawing">
    <cdr:from>
      <cdr:x>0</cdr:x>
      <cdr:y>0.91994</cdr:y>
    </cdr:from>
    <cdr:to>
      <cdr:x>0.99305</cdr:x>
      <cdr:y>1</cdr:y>
    </cdr:to>
    <cdr:sp macro="" textlink="">
      <cdr:nvSpPr>
        <cdr:cNvPr id="2" name="矩形 1"/>
        <cdr:cNvSpPr/>
      </cdr:nvSpPr>
      <cdr:spPr>
        <a:xfrm xmlns:a="http://schemas.openxmlformats.org/drawingml/2006/main">
          <a:off x="0" y="2152651"/>
          <a:ext cx="2752726" cy="18734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indent="0" defTabSz="914400" eaLnBrk="1" fontAlgn="auto" latinLnBrk="0" hangingPunct="1">
            <a:lnSpc>
              <a:spcPct val="100000"/>
            </a:lnSpc>
            <a:spcBef>
              <a:spcPts val="0"/>
            </a:spcBef>
            <a:spcAft>
              <a:spcPts val="0"/>
            </a:spcAft>
            <a:buClrTx/>
            <a:buSzTx/>
            <a:buFontTx/>
            <a:buNone/>
            <a:defRPr/>
          </a:pPr>
          <a:r>
            <a:rPr lang="zh-CN" altLang="zh-CN" sz="800">
              <a:effectLst/>
              <a:latin typeface="Cambria" panose="02040503050406030204" pitchFamily="18" charset="0"/>
              <a:ea typeface="楷体" panose="02010609060101010101" pitchFamily="49" charset="-122"/>
              <a:cs typeface="+mn-cs"/>
            </a:rPr>
            <a:t>数据来源：</a:t>
          </a:r>
          <a:r>
            <a:rPr lang="en-US" altLang="zh-CN" sz="800">
              <a:effectLst/>
              <a:latin typeface="Cambria" panose="02040503050406030204" pitchFamily="18" charset="0"/>
              <a:ea typeface="楷体" panose="02010609060101010101" pitchFamily="49" charset="-122"/>
              <a:cs typeface="+mn-cs"/>
            </a:rPr>
            <a:t>CEIC, Markit,</a:t>
          </a:r>
          <a:r>
            <a:rPr lang="en-US" altLang="zh-CN" sz="800" baseline="0">
              <a:effectLst/>
              <a:latin typeface="Cambria" panose="02040503050406030204" pitchFamily="18" charset="0"/>
              <a:ea typeface="楷体" panose="02010609060101010101" pitchFamily="49" charset="-122"/>
              <a:cs typeface="+mn-cs"/>
            </a:rPr>
            <a:t> </a:t>
          </a:r>
          <a:r>
            <a:rPr lang="zh-CN" altLang="zh-CN" sz="800">
              <a:effectLst/>
              <a:latin typeface="Cambria" panose="02040503050406030204" pitchFamily="18" charset="0"/>
              <a:ea typeface="楷体" panose="02010609060101010101" pitchFamily="49" charset="-122"/>
              <a:cs typeface="+mn-cs"/>
            </a:rPr>
            <a:t>世界经济预测与政策模拟实验室</a:t>
          </a:r>
          <a:r>
            <a:rPr lang="zh-CN" altLang="en-US" sz="800">
              <a:effectLst/>
              <a:latin typeface="Cambria" panose="02040503050406030204" pitchFamily="18" charset="0"/>
              <a:ea typeface="楷体" panose="02010609060101010101" pitchFamily="49" charset="-122"/>
              <a:cs typeface="+mn-cs"/>
            </a:rPr>
            <a:t>。</a:t>
          </a:r>
          <a:endParaRPr lang="zh-CN" altLang="zh-CN" sz="800">
            <a:effectLst/>
            <a:latin typeface="Cambria" panose="02040503050406030204" pitchFamily="18" charset="0"/>
            <a:ea typeface="楷体" panose="02010609060101010101" pitchFamily="49" charset="-122"/>
          </a:endParaRPr>
        </a:p>
        <a:p xmlns:a="http://schemas.openxmlformats.org/drawingml/2006/main">
          <a:endParaRPr lang="zh-CN" altLang="en-US" sz="800">
            <a:latin typeface="Cambria" panose="02040503050406030204" pitchFamily="18" charset="0"/>
            <a:ea typeface="楷体" panose="02010609060101010101" pitchFamily="49" charset="-122"/>
          </a:endParaRPr>
        </a:p>
      </cdr:txBody>
    </cdr:sp>
  </cdr:relSizeAnchor>
</c:userShapes>
</file>

<file path=word/drawings/drawing8.xml><?xml version="1.0" encoding="utf-8"?>
<c:userShapes xmlns:c="http://schemas.openxmlformats.org/drawingml/2006/chart">
  <cdr:relSizeAnchor xmlns:cdr="http://schemas.openxmlformats.org/drawingml/2006/chartDrawing">
    <cdr:from>
      <cdr:x>0</cdr:x>
      <cdr:y>0.91994</cdr:y>
    </cdr:from>
    <cdr:to>
      <cdr:x>0.99133</cdr:x>
      <cdr:y>1</cdr:y>
    </cdr:to>
    <cdr:sp macro="" textlink="">
      <cdr:nvSpPr>
        <cdr:cNvPr id="2" name="矩形 1"/>
        <cdr:cNvSpPr/>
      </cdr:nvSpPr>
      <cdr:spPr>
        <a:xfrm xmlns:a="http://schemas.openxmlformats.org/drawingml/2006/main">
          <a:off x="0" y="2152650"/>
          <a:ext cx="2747962" cy="1873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indent="0" defTabSz="914400" eaLnBrk="1" fontAlgn="auto" latinLnBrk="0" hangingPunct="1">
            <a:lnSpc>
              <a:spcPct val="100000"/>
            </a:lnSpc>
            <a:spcBef>
              <a:spcPts val="0"/>
            </a:spcBef>
            <a:spcAft>
              <a:spcPts val="0"/>
            </a:spcAft>
            <a:buClrTx/>
            <a:buSzTx/>
            <a:buFontTx/>
            <a:buNone/>
            <a:defRPr/>
          </a:pPr>
          <a:r>
            <a:rPr lang="zh-CN" altLang="zh-CN" sz="800">
              <a:effectLst/>
              <a:latin typeface="Cambria" panose="02040503050406030204" pitchFamily="18" charset="0"/>
              <a:ea typeface="楷体" panose="02010609060101010101" pitchFamily="49" charset="-122"/>
              <a:cs typeface="+mn-cs"/>
            </a:rPr>
            <a:t>数据来源：</a:t>
          </a:r>
          <a:r>
            <a:rPr lang="en-US" altLang="zh-CN" sz="800">
              <a:effectLst/>
              <a:latin typeface="Cambria" panose="02040503050406030204" pitchFamily="18" charset="0"/>
              <a:ea typeface="楷体" panose="02010609060101010101" pitchFamily="49" charset="-122"/>
              <a:cs typeface="+mn-cs"/>
            </a:rPr>
            <a:t>CEIC, Markit,</a:t>
          </a:r>
          <a:r>
            <a:rPr lang="en-US" altLang="zh-CN" sz="800" baseline="0">
              <a:effectLst/>
              <a:latin typeface="Cambria" panose="02040503050406030204" pitchFamily="18" charset="0"/>
              <a:ea typeface="楷体" panose="02010609060101010101" pitchFamily="49" charset="-122"/>
              <a:cs typeface="+mn-cs"/>
            </a:rPr>
            <a:t> </a:t>
          </a:r>
          <a:r>
            <a:rPr lang="zh-CN" altLang="zh-CN" sz="800">
              <a:effectLst/>
              <a:latin typeface="Cambria" panose="02040503050406030204" pitchFamily="18" charset="0"/>
              <a:ea typeface="楷体" panose="02010609060101010101" pitchFamily="49" charset="-122"/>
              <a:cs typeface="+mn-cs"/>
            </a:rPr>
            <a:t>世界经济预测与政策模拟实验室</a:t>
          </a:r>
          <a:r>
            <a:rPr lang="zh-CN" altLang="en-US" sz="800">
              <a:effectLst/>
              <a:latin typeface="Cambria" panose="02040503050406030204" pitchFamily="18" charset="0"/>
              <a:ea typeface="楷体" panose="02010609060101010101" pitchFamily="49" charset="-122"/>
              <a:cs typeface="+mn-cs"/>
            </a:rPr>
            <a:t>。</a:t>
          </a:r>
          <a:endParaRPr lang="zh-CN" altLang="zh-CN" sz="800">
            <a:effectLst/>
            <a:latin typeface="Cambria" panose="02040503050406030204" pitchFamily="18" charset="0"/>
            <a:ea typeface="楷体" panose="02010609060101010101" pitchFamily="49" charset="-122"/>
          </a:endParaRPr>
        </a:p>
        <a:p xmlns:a="http://schemas.openxmlformats.org/drawingml/2006/main">
          <a:endParaRPr lang="zh-CN" altLang="en-US" sz="800">
            <a:latin typeface="Cambria" panose="02040503050406030204" pitchFamily="18" charset="0"/>
            <a:ea typeface="楷体" panose="02010609060101010101" pitchFamily="49" charset="-122"/>
          </a:endParaRPr>
        </a:p>
      </cdr:txBody>
    </cdr:sp>
  </cdr:relSizeAnchor>
</c:userShapes>
</file>

<file path=word/drawings/drawing9.xml><?xml version="1.0" encoding="utf-8"?>
<c:userShapes xmlns:c="http://schemas.openxmlformats.org/drawingml/2006/chart">
  <cdr:relSizeAnchor xmlns:cdr="http://schemas.openxmlformats.org/drawingml/2006/chartDrawing">
    <cdr:from>
      <cdr:x>0</cdr:x>
      <cdr:y>0.87372</cdr:y>
    </cdr:from>
    <cdr:to>
      <cdr:x>0.99305</cdr:x>
      <cdr:y>0.96509</cdr:y>
    </cdr:to>
    <cdr:sp macro="" textlink="">
      <cdr:nvSpPr>
        <cdr:cNvPr id="2" name="矩形 1"/>
        <cdr:cNvSpPr/>
      </cdr:nvSpPr>
      <cdr:spPr>
        <a:xfrm xmlns:a="http://schemas.openxmlformats.org/drawingml/2006/main">
          <a:off x="0" y="2209243"/>
          <a:ext cx="4301050" cy="23101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indent="0" defTabSz="914400" eaLnBrk="1" fontAlgn="auto" latinLnBrk="0" hangingPunct="1">
            <a:lnSpc>
              <a:spcPct val="100000"/>
            </a:lnSpc>
            <a:spcBef>
              <a:spcPts val="0"/>
            </a:spcBef>
            <a:spcAft>
              <a:spcPts val="0"/>
            </a:spcAft>
            <a:buClrTx/>
            <a:buSzTx/>
            <a:buFontTx/>
            <a:buNone/>
            <a:defRPr/>
          </a:pPr>
          <a:r>
            <a:rPr lang="zh-CN" altLang="zh-CN" sz="800">
              <a:effectLst/>
              <a:latin typeface="Cambria" panose="02040503050406030204" pitchFamily="18" charset="0"/>
              <a:ea typeface="楷体" panose="02010609060101010101" pitchFamily="49" charset="-122"/>
              <a:cs typeface="+mn-cs"/>
            </a:rPr>
            <a:t>数据来源：</a:t>
          </a:r>
          <a:r>
            <a:rPr lang="en-US" altLang="zh-CN" sz="800">
              <a:effectLst/>
              <a:latin typeface="Cambria" panose="02040503050406030204" pitchFamily="18" charset="0"/>
              <a:ea typeface="楷体" panose="02010609060101010101" pitchFamily="49" charset="-122"/>
              <a:cs typeface="+mn-cs"/>
            </a:rPr>
            <a:t>Wind,</a:t>
          </a:r>
          <a:r>
            <a:rPr lang="en-US" altLang="zh-CN" sz="800" baseline="0">
              <a:effectLst/>
              <a:latin typeface="Cambria" panose="02040503050406030204" pitchFamily="18" charset="0"/>
              <a:ea typeface="楷体" panose="02010609060101010101" pitchFamily="49" charset="-122"/>
              <a:cs typeface="+mn-cs"/>
            </a:rPr>
            <a:t> </a:t>
          </a:r>
          <a:r>
            <a:rPr lang="zh-CN" altLang="zh-CN" sz="800">
              <a:effectLst/>
              <a:latin typeface="Cambria" panose="02040503050406030204" pitchFamily="18" charset="0"/>
              <a:ea typeface="楷体" panose="02010609060101010101" pitchFamily="49" charset="-122"/>
              <a:cs typeface="+mn-cs"/>
            </a:rPr>
            <a:t>世界经济预测与政策模拟实验室</a:t>
          </a:r>
          <a:r>
            <a:rPr lang="zh-CN" altLang="en-US" sz="800">
              <a:effectLst/>
              <a:latin typeface="Cambria" panose="02040503050406030204" pitchFamily="18" charset="0"/>
              <a:ea typeface="楷体" panose="02010609060101010101" pitchFamily="49" charset="-122"/>
              <a:cs typeface="+mn-cs"/>
            </a:rPr>
            <a:t>。泰国、新加坡、菲律宾、韩国为核心</a:t>
          </a:r>
          <a:r>
            <a:rPr lang="en-US" altLang="zh-CN" sz="800">
              <a:effectLst/>
              <a:latin typeface="Cambria" panose="02040503050406030204" pitchFamily="18" charset="0"/>
              <a:ea typeface="楷体" panose="02010609060101010101" pitchFamily="49" charset="-122"/>
              <a:cs typeface="+mn-cs"/>
            </a:rPr>
            <a:t>CPI</a:t>
          </a:r>
          <a:r>
            <a:rPr lang="zh-CN" altLang="en-US" sz="800">
              <a:effectLst/>
              <a:latin typeface="Cambria" panose="02040503050406030204" pitchFamily="18" charset="0"/>
              <a:ea typeface="楷体" panose="02010609060101010101" pitchFamily="49" charset="-122"/>
              <a:cs typeface="+mn-cs"/>
            </a:rPr>
            <a:t>，其余为综合</a:t>
          </a:r>
          <a:r>
            <a:rPr lang="en-US" altLang="zh-CN" sz="800">
              <a:effectLst/>
              <a:latin typeface="Cambria" panose="02040503050406030204" pitchFamily="18" charset="0"/>
              <a:ea typeface="楷体" panose="02010609060101010101" pitchFamily="49" charset="-122"/>
              <a:cs typeface="+mn-cs"/>
            </a:rPr>
            <a:t>CPI</a:t>
          </a:r>
          <a:r>
            <a:rPr lang="zh-CN" altLang="en-US" sz="800">
              <a:effectLst/>
              <a:latin typeface="Cambria" panose="02040503050406030204" pitchFamily="18" charset="0"/>
              <a:ea typeface="楷体" panose="02010609060101010101" pitchFamily="49" charset="-122"/>
              <a:cs typeface="+mn-cs"/>
            </a:rPr>
            <a:t>。</a:t>
          </a:r>
          <a:endParaRPr lang="zh-CN" altLang="zh-CN" sz="800">
            <a:effectLst/>
            <a:latin typeface="Cambria" panose="02040503050406030204" pitchFamily="18" charset="0"/>
            <a:ea typeface="楷体" panose="02010609060101010101" pitchFamily="49" charset="-122"/>
          </a:endParaRPr>
        </a:p>
        <a:p xmlns:a="http://schemas.openxmlformats.org/drawingml/2006/main">
          <a:endParaRPr lang="zh-CN" altLang="en-US" sz="800">
            <a:latin typeface="Cambria" panose="02040503050406030204" pitchFamily="18" charset="0"/>
            <a:ea typeface="楷体" panose="02010609060101010101" pitchFamily="49" charset="-122"/>
          </a:endParaRPr>
        </a:p>
      </cdr:txBody>
    </cdr:sp>
  </cdr:relSizeAnchor>
</c:userShapes>
</file>

<file path=word/theme/theme1.xml><?xml version="1.0" encoding="utf-8"?>
<a:theme xmlns:a="http://schemas.openxmlformats.org/drawingml/2006/main" name="Office 主题">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2">
            <a:lumMod val="75000"/>
            <a:alpha val="40000"/>
          </a:schemeClr>
        </a:solidFill>
        <a:ln>
          <a:noFill/>
        </a:ln>
      </a:spPr>
      <a:bodyPr rot="0" spcFirstLastPara="0" vert="horz" wrap="square" lIns="91440" tIns="45720" rIns="91440" bIns="45720" numCol="1" spcCol="0" rtlCol="0" fromWordArt="0" anchor="t" anchorCtr="0" forceAA="0" compatLnSpc="1"/>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012/3/1</PublishDate>
  <Abstract/>
  <CompanyAddress/>
  <CompanyPhone/>
  <CompanyFax/>
  <CompanyEmail/>
</CoverPageProperties>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1ABD7E39-1AB6-4069-B326-34C436CC5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TotalTime>
  <Pages>1</Pages>
  <Words>9009</Words>
  <Characters>51354</Characters>
  <Application>Microsoft Office Word</Application>
  <DocSecurity>0</DocSecurity>
  <Lines>427</Lines>
  <Paragraphs>120</Paragraphs>
  <ScaleCrop>false</ScaleCrop>
  <Company>中国社会社会科学院 世界经济与政治研究所</Company>
  <LinksUpToDate>false</LinksUpToDate>
  <CharactersWithSpaces>60243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全球宏观经济季度报告</dc:title>
  <dc:subject>2012年第1季度</dc:subject>
  <dc:creator>世界经济预测与模拟实验室/全球宏观经济研究室</dc:creator>
  <cp:lastModifiedBy>yzz</cp:lastModifiedBy>
  <cp:revision>25</cp:revision>
  <cp:lastPrinted>2025-04-24T07:27:00Z</cp:lastPrinted>
  <dcterms:created xsi:type="dcterms:W3CDTF">2025-04-23T15:35:00Z</dcterms:created>
  <dcterms:modified xsi:type="dcterms:W3CDTF">2025-04-30T02:26:00Z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ICV">
    <vt:lpwstr>9BC455807A9F4779916D3C496315CEF8_13</vt:lpwstr>
  </property>
</Properties>
</file>